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8E" w:rsidRPr="009F039C" w:rsidRDefault="00F7478E" w:rsidP="00F7478E">
      <w:pPr>
        <w:spacing w:line="360" w:lineRule="auto"/>
        <w:jc w:val="center"/>
        <w:rPr>
          <w:b/>
        </w:rPr>
      </w:pPr>
      <w:r w:rsidRPr="009F039C">
        <w:rPr>
          <w:b/>
        </w:rPr>
        <w:t>Determinants of civil society influence. The Case of International Development and Humanitarian NGOs in the Czech Republic and Hungary</w:t>
      </w:r>
      <w:r w:rsidRPr="009F039C">
        <w:rPr>
          <w:rStyle w:val="FootnoteReference"/>
          <w:b/>
        </w:rPr>
        <w:footnoteReference w:id="1"/>
      </w:r>
    </w:p>
    <w:p w:rsidR="00F7478E" w:rsidRPr="00A952D2" w:rsidRDefault="00F7478E" w:rsidP="00F7478E">
      <w:pPr>
        <w:spacing w:after="120" w:line="360" w:lineRule="auto"/>
        <w:jc w:val="center"/>
        <w:outlineLvl w:val="0"/>
      </w:pPr>
    </w:p>
    <w:p w:rsidR="00F7478E" w:rsidRPr="00A952D2" w:rsidRDefault="00F7478E" w:rsidP="00F7478E">
      <w:pPr>
        <w:spacing w:after="120" w:line="360" w:lineRule="auto"/>
        <w:jc w:val="center"/>
        <w:outlineLvl w:val="0"/>
      </w:pPr>
      <w:r w:rsidRPr="00A952D2">
        <w:t>Balázs Szent-Iványi</w:t>
      </w:r>
      <w:r w:rsidRPr="00A952D2">
        <w:rPr>
          <w:vertAlign w:val="superscript"/>
        </w:rPr>
        <w:t>a,b</w:t>
      </w:r>
      <w:r>
        <w:rPr>
          <w:vertAlign w:val="superscript"/>
        </w:rPr>
        <w:t>,</w:t>
      </w:r>
      <w:r w:rsidRPr="00A952D2">
        <w:rPr>
          <w:rStyle w:val="FootnoteReference"/>
        </w:rPr>
        <w:footnoteReference w:id="2"/>
      </w:r>
      <w:r>
        <w:rPr>
          <w:vertAlign w:val="superscript"/>
        </w:rPr>
        <w:t xml:space="preserve"> </w:t>
      </w:r>
      <w:r>
        <w:t xml:space="preserve"> and </w:t>
      </w:r>
      <w:r w:rsidRPr="00A952D2">
        <w:t>Simon Lightfoot</w:t>
      </w:r>
      <w:r>
        <w:rPr>
          <w:vertAlign w:val="superscript"/>
        </w:rPr>
        <w:t>c</w:t>
      </w:r>
    </w:p>
    <w:p w:rsidR="00F7478E" w:rsidRDefault="00F7478E" w:rsidP="00F7478E">
      <w:pPr>
        <w:spacing w:after="120" w:line="360" w:lineRule="auto"/>
        <w:jc w:val="center"/>
        <w:rPr>
          <w:i/>
          <w:sz w:val="18"/>
          <w:szCs w:val="18"/>
        </w:rPr>
      </w:pPr>
    </w:p>
    <w:p w:rsidR="00F7478E" w:rsidRDefault="00F7478E" w:rsidP="00F7478E">
      <w:pPr>
        <w:spacing w:after="120" w:line="360" w:lineRule="auto"/>
        <w:jc w:val="center"/>
        <w:rPr>
          <w:i/>
          <w:sz w:val="18"/>
          <w:szCs w:val="18"/>
        </w:rPr>
      </w:pPr>
      <w:r w:rsidRPr="000401C9">
        <w:rPr>
          <w:i/>
          <w:sz w:val="18"/>
          <w:szCs w:val="18"/>
          <w:vertAlign w:val="superscript"/>
        </w:rPr>
        <w:t>a</w:t>
      </w:r>
      <w:r>
        <w:rPr>
          <w:i/>
          <w:sz w:val="18"/>
          <w:szCs w:val="18"/>
        </w:rPr>
        <w:t xml:space="preserve"> Aston University, School of Languages and Social Sciences</w:t>
      </w:r>
    </w:p>
    <w:p w:rsidR="00F7478E" w:rsidRDefault="00F7478E" w:rsidP="00F7478E">
      <w:pPr>
        <w:spacing w:after="120" w:line="360" w:lineRule="auto"/>
        <w:jc w:val="center"/>
        <w:rPr>
          <w:sz w:val="18"/>
          <w:szCs w:val="18"/>
        </w:rPr>
      </w:pPr>
      <w:r>
        <w:rPr>
          <w:sz w:val="18"/>
          <w:szCs w:val="18"/>
        </w:rPr>
        <w:t xml:space="preserve">Aston Triangle, B4 7ET, Birmingham, UK </w:t>
      </w:r>
    </w:p>
    <w:p w:rsidR="00F7478E" w:rsidRDefault="00F7478E" w:rsidP="00F7478E">
      <w:pPr>
        <w:spacing w:after="120" w:line="360" w:lineRule="auto"/>
        <w:jc w:val="center"/>
        <w:rPr>
          <w:sz w:val="18"/>
          <w:szCs w:val="18"/>
        </w:rPr>
      </w:pPr>
      <w:r>
        <w:rPr>
          <w:sz w:val="18"/>
          <w:szCs w:val="18"/>
        </w:rPr>
        <w:t>+44 (0) 121 204 3299</w:t>
      </w:r>
    </w:p>
    <w:p w:rsidR="00F7478E" w:rsidRDefault="00F7478E" w:rsidP="00F7478E">
      <w:pPr>
        <w:spacing w:after="120" w:line="360" w:lineRule="auto"/>
        <w:jc w:val="center"/>
        <w:rPr>
          <w:sz w:val="18"/>
          <w:szCs w:val="18"/>
        </w:rPr>
      </w:pPr>
    </w:p>
    <w:p w:rsidR="00F7478E" w:rsidRPr="00FF4AC8" w:rsidRDefault="00F7478E" w:rsidP="00F7478E">
      <w:pPr>
        <w:spacing w:after="120" w:line="360" w:lineRule="auto"/>
        <w:jc w:val="center"/>
        <w:rPr>
          <w:sz w:val="18"/>
          <w:szCs w:val="18"/>
        </w:rPr>
      </w:pPr>
      <w:r w:rsidRPr="00FF4AC8">
        <w:rPr>
          <w:i/>
          <w:sz w:val="18"/>
          <w:szCs w:val="18"/>
          <w:vertAlign w:val="superscript"/>
        </w:rPr>
        <w:t>b</w:t>
      </w:r>
      <w:r w:rsidRPr="00FF4AC8">
        <w:rPr>
          <w:i/>
          <w:sz w:val="18"/>
          <w:szCs w:val="18"/>
        </w:rPr>
        <w:t xml:space="preserve"> </w:t>
      </w:r>
      <w:r>
        <w:rPr>
          <w:i/>
          <w:sz w:val="18"/>
          <w:szCs w:val="18"/>
        </w:rPr>
        <w:t xml:space="preserve">Corvinus University of Budapest, </w:t>
      </w:r>
      <w:r w:rsidRPr="00FF4AC8">
        <w:rPr>
          <w:sz w:val="18"/>
          <w:szCs w:val="18"/>
        </w:rPr>
        <w:t>Department of World Economy</w:t>
      </w:r>
    </w:p>
    <w:p w:rsidR="00F7478E" w:rsidRPr="00FF4AC8" w:rsidRDefault="00F7478E" w:rsidP="00F7478E">
      <w:pPr>
        <w:spacing w:after="120" w:line="360" w:lineRule="auto"/>
        <w:jc w:val="center"/>
        <w:rPr>
          <w:rFonts w:ascii="Times New Roman" w:hAnsi="Times New Roman"/>
          <w:sz w:val="18"/>
          <w:szCs w:val="18"/>
        </w:rPr>
      </w:pPr>
      <w:r w:rsidRPr="00FF4AC8">
        <w:rPr>
          <w:sz w:val="18"/>
          <w:szCs w:val="18"/>
        </w:rPr>
        <w:t>Fovam ter 8, Budapest H-1093 Hungary</w:t>
      </w:r>
    </w:p>
    <w:p w:rsidR="00F7478E" w:rsidRPr="00027B99" w:rsidRDefault="00F7478E" w:rsidP="00F7478E">
      <w:pPr>
        <w:spacing w:after="120" w:line="360" w:lineRule="auto"/>
        <w:jc w:val="center"/>
        <w:rPr>
          <w:sz w:val="18"/>
          <w:szCs w:val="18"/>
        </w:rPr>
      </w:pPr>
    </w:p>
    <w:p w:rsidR="00F7478E" w:rsidRPr="00FF4AC8" w:rsidRDefault="00F7478E" w:rsidP="00F7478E">
      <w:pPr>
        <w:spacing w:after="120" w:line="360" w:lineRule="auto"/>
        <w:jc w:val="center"/>
        <w:rPr>
          <w:sz w:val="18"/>
          <w:szCs w:val="18"/>
        </w:rPr>
      </w:pPr>
      <w:r w:rsidRPr="00027B99">
        <w:rPr>
          <w:i/>
          <w:sz w:val="18"/>
          <w:szCs w:val="18"/>
          <w:vertAlign w:val="superscript"/>
        </w:rPr>
        <w:t>c</w:t>
      </w:r>
      <w:r w:rsidRPr="00FF4AC8">
        <w:rPr>
          <w:i/>
          <w:sz w:val="18"/>
          <w:szCs w:val="18"/>
        </w:rPr>
        <w:t xml:space="preserve"> University</w:t>
      </w:r>
      <w:r>
        <w:rPr>
          <w:i/>
          <w:sz w:val="18"/>
          <w:szCs w:val="18"/>
        </w:rPr>
        <w:t xml:space="preserve"> of Leeds, </w:t>
      </w:r>
      <w:r w:rsidRPr="00FF4AC8">
        <w:rPr>
          <w:sz w:val="18"/>
          <w:szCs w:val="18"/>
        </w:rPr>
        <w:t>School of Politics and International Studies (POLIS)</w:t>
      </w:r>
    </w:p>
    <w:p w:rsidR="00F7478E" w:rsidRDefault="00F7478E" w:rsidP="00F7478E">
      <w:pPr>
        <w:spacing w:after="120" w:line="360" w:lineRule="auto"/>
        <w:jc w:val="center"/>
        <w:rPr>
          <w:i/>
          <w:sz w:val="18"/>
          <w:szCs w:val="18"/>
        </w:rPr>
      </w:pPr>
      <w:r w:rsidRPr="00FF4AC8">
        <w:rPr>
          <w:sz w:val="18"/>
          <w:szCs w:val="18"/>
        </w:rPr>
        <w:t>Woodhouse Lane, LS2 9JT, Leeds, UK</w:t>
      </w:r>
      <w:r w:rsidRPr="00FF4AC8">
        <w:rPr>
          <w:i/>
          <w:sz w:val="18"/>
          <w:szCs w:val="18"/>
        </w:rPr>
        <w:t xml:space="preserve"> </w:t>
      </w:r>
    </w:p>
    <w:p w:rsidR="00F7478E" w:rsidRPr="00FF4AC8" w:rsidRDefault="00F7478E" w:rsidP="00F7478E">
      <w:pPr>
        <w:spacing w:line="360" w:lineRule="auto"/>
        <w:jc w:val="center"/>
        <w:rPr>
          <w:b/>
          <w:sz w:val="18"/>
          <w:szCs w:val="18"/>
        </w:rPr>
      </w:pPr>
    </w:p>
    <w:p w:rsidR="00F7478E" w:rsidRDefault="00F7478E" w:rsidP="00F7478E">
      <w:pPr>
        <w:spacing w:line="360" w:lineRule="auto"/>
        <w:jc w:val="center"/>
        <w:rPr>
          <w:b/>
        </w:rPr>
      </w:pPr>
      <w:r>
        <w:rPr>
          <w:b/>
        </w:rPr>
        <w:t>Abstract</w:t>
      </w:r>
    </w:p>
    <w:p w:rsidR="00F7478E" w:rsidRDefault="00F7478E" w:rsidP="00F7478E">
      <w:pPr>
        <w:spacing w:line="360" w:lineRule="auto"/>
        <w:jc w:val="both"/>
      </w:pPr>
      <w:r w:rsidRPr="00FF4AC8">
        <w:t>Accession to the EU has had ambiguous effects on civil society organization</w:t>
      </w:r>
      <w:r>
        <w:t>s</w:t>
      </w:r>
      <w:r w:rsidRPr="00FF4AC8">
        <w:t xml:space="preserve"> </w:t>
      </w:r>
      <w:r>
        <w:t xml:space="preserve">(CSOs) </w:t>
      </w:r>
      <w:r w:rsidRPr="00FF4AC8">
        <w:t>in the East Central European countries</w:t>
      </w:r>
      <w:r>
        <w:t xml:space="preserve">. A general observation is that accession has not led to the systematic empowerment of CSOs in terms of growing influence on national policy making. This paper investigates the determinants of successful CSO advocacy by looking at international development and humanitarian NGOs (NGDOs) in the Czech Republic and Hungary. Reforms in the past decade in the Czech Republic have created an international development policy largely in-line with NGDO interests, while Hungary’s ministry of foreign affairs seems to have been unresponsive to reform demands from civil society. The paper argues that there is clear evidence of NGDO influence in the Czech Republic on international development policy, which is due to the fact that Czech NGDOs have been able solve problems of collective actions, while the Hungarian NGDO sector remains fragmented. They also have relatively stronger capacities, can rely on greater public support and can thus present more legitimate demands towards their government. </w:t>
      </w:r>
    </w:p>
    <w:p w:rsidR="00F7478E" w:rsidRDefault="00F7478E" w:rsidP="00F7478E">
      <w:pPr>
        <w:spacing w:line="360" w:lineRule="auto"/>
        <w:jc w:val="center"/>
        <w:rPr>
          <w:b/>
        </w:rPr>
      </w:pPr>
    </w:p>
    <w:p w:rsidR="00F7478E" w:rsidRDefault="00F7478E" w:rsidP="00F7478E">
      <w:pPr>
        <w:spacing w:line="360" w:lineRule="auto"/>
      </w:pPr>
      <w:r>
        <w:rPr>
          <w:b/>
        </w:rPr>
        <w:lastRenderedPageBreak/>
        <w:t xml:space="preserve">Keywords: </w:t>
      </w:r>
      <w:r w:rsidRPr="00AB674C">
        <w:t>foreign aid</w:t>
      </w:r>
      <w:r>
        <w:t>, civil society organizations, NGDOs, development policy, new member states, EU accession</w:t>
      </w:r>
    </w:p>
    <w:p w:rsidR="009F039C" w:rsidRPr="009F039C" w:rsidRDefault="009F039C" w:rsidP="008158F1">
      <w:pPr>
        <w:spacing w:after="120" w:line="360" w:lineRule="auto"/>
        <w:rPr>
          <w:b/>
          <w:lang w:val="en-GB"/>
        </w:rPr>
      </w:pPr>
    </w:p>
    <w:p w:rsidR="005B6B1E" w:rsidRPr="009F039C" w:rsidRDefault="005B6B1E" w:rsidP="008158F1">
      <w:pPr>
        <w:spacing w:after="120" w:line="360" w:lineRule="auto"/>
        <w:rPr>
          <w:b/>
          <w:lang w:val="en-GB"/>
        </w:rPr>
      </w:pPr>
      <w:r w:rsidRPr="009F039C">
        <w:rPr>
          <w:b/>
          <w:lang w:val="en-GB"/>
        </w:rPr>
        <w:t>1. Introduction</w:t>
      </w:r>
    </w:p>
    <w:p w:rsidR="005B6B1E" w:rsidRPr="009F039C" w:rsidRDefault="005B6B1E" w:rsidP="008158F1">
      <w:pPr>
        <w:spacing w:after="120" w:line="360" w:lineRule="auto"/>
        <w:jc w:val="both"/>
        <w:rPr>
          <w:lang w:val="en-GB"/>
        </w:rPr>
      </w:pPr>
      <w:r w:rsidRPr="009F039C">
        <w:rPr>
          <w:lang w:val="en-GB"/>
        </w:rPr>
        <w:t xml:space="preserve">Civil society organizations (CSOs) in the East Central European </w:t>
      </w:r>
      <w:r w:rsidR="008158F1" w:rsidRPr="009F039C">
        <w:rPr>
          <w:lang w:val="en-GB"/>
        </w:rPr>
        <w:t>(ECE) EU member states</w:t>
      </w:r>
      <w:r w:rsidRPr="009F039C">
        <w:rPr>
          <w:lang w:val="en-GB"/>
        </w:rPr>
        <w:t xml:space="preserve"> have been the focus of much scholarly attention in the past two decades. These organizations are historically seen as weaker compared to their Western counterparts due to the legacy of Communism, which led to a lack of interpersonal trust and low levels of civic activism (see; </w:t>
      </w:r>
      <w:proofErr w:type="spellStart"/>
      <w:r w:rsidRPr="009F039C">
        <w:rPr>
          <w:lang w:val="en-GB"/>
        </w:rPr>
        <w:t>Palubinskas</w:t>
      </w:r>
      <w:proofErr w:type="spellEnd"/>
      <w:r w:rsidRPr="009F039C">
        <w:rPr>
          <w:lang w:val="en-GB"/>
        </w:rPr>
        <w:t>, 2003; Wallace et al</w:t>
      </w:r>
      <w:r w:rsidR="007D7143" w:rsidRPr="009F039C">
        <w:rPr>
          <w:lang w:val="en-GB"/>
        </w:rPr>
        <w:t>.</w:t>
      </w:r>
      <w:r w:rsidRPr="009F039C">
        <w:rPr>
          <w:lang w:val="en-GB"/>
        </w:rPr>
        <w:t xml:space="preserve">, 2012). Membership </w:t>
      </w:r>
      <w:r w:rsidR="002C3BEB" w:rsidRPr="009F039C">
        <w:rPr>
          <w:lang w:val="en-GB"/>
        </w:rPr>
        <w:t>in</w:t>
      </w:r>
      <w:r w:rsidRPr="009F039C">
        <w:rPr>
          <w:lang w:val="en-GB"/>
        </w:rPr>
        <w:t xml:space="preserve"> the EU was a crucial element in the democratisation of the region (</w:t>
      </w:r>
      <w:proofErr w:type="spellStart"/>
      <w:r w:rsidRPr="009F039C">
        <w:rPr>
          <w:lang w:val="en-GB"/>
        </w:rPr>
        <w:t>Vachudova</w:t>
      </w:r>
      <w:proofErr w:type="spellEnd"/>
      <w:r w:rsidRPr="009F039C">
        <w:rPr>
          <w:lang w:val="en-GB"/>
        </w:rPr>
        <w:t xml:space="preserve">, 2005), but the effects of accession on CSOs seem ambiguous. On the one hand, CSOs have benefitted from the rights and responsibilities the national adoption of the EU’s </w:t>
      </w:r>
      <w:proofErr w:type="spellStart"/>
      <w:r w:rsidRPr="009F039C">
        <w:rPr>
          <w:i/>
          <w:lang w:val="en-GB"/>
        </w:rPr>
        <w:t>acquis</w:t>
      </w:r>
      <w:proofErr w:type="spellEnd"/>
      <w:r w:rsidRPr="009F039C">
        <w:rPr>
          <w:i/>
          <w:lang w:val="en-GB"/>
        </w:rPr>
        <w:t xml:space="preserve"> </w:t>
      </w:r>
      <w:proofErr w:type="spellStart"/>
      <w:r w:rsidRPr="009F039C">
        <w:rPr>
          <w:i/>
          <w:lang w:val="en-GB"/>
        </w:rPr>
        <w:t>communautaire</w:t>
      </w:r>
      <w:proofErr w:type="spellEnd"/>
      <w:r w:rsidRPr="009F039C">
        <w:rPr>
          <w:lang w:val="en-GB"/>
        </w:rPr>
        <w:t xml:space="preserve"> gives them in many policy areas and have also gained access to increased international financing (Roth, 2007). On the other hand, accession has, in general, not led to the empowerment of civil society in terms of growing influence on national policy formation (</w:t>
      </w:r>
      <w:proofErr w:type="spellStart"/>
      <w:r w:rsidRPr="009F039C">
        <w:rPr>
          <w:lang w:val="en-GB"/>
        </w:rPr>
        <w:t>Börzel</w:t>
      </w:r>
      <w:proofErr w:type="spellEnd"/>
      <w:r w:rsidRPr="009F039C">
        <w:rPr>
          <w:lang w:val="en-GB"/>
        </w:rPr>
        <w:t xml:space="preserve"> and </w:t>
      </w:r>
      <w:proofErr w:type="spellStart"/>
      <w:r w:rsidRPr="009F039C">
        <w:rPr>
          <w:lang w:val="en-GB"/>
        </w:rPr>
        <w:t>Buzogány</w:t>
      </w:r>
      <w:proofErr w:type="spellEnd"/>
      <w:r w:rsidRPr="009F039C">
        <w:rPr>
          <w:lang w:val="en-GB"/>
        </w:rPr>
        <w:t>, 2010) because accession made the state become relatively stronger (</w:t>
      </w:r>
      <w:proofErr w:type="spellStart"/>
      <w:r w:rsidRPr="009F039C">
        <w:rPr>
          <w:lang w:val="en-GB"/>
        </w:rPr>
        <w:t>Bruszt</w:t>
      </w:r>
      <w:proofErr w:type="spellEnd"/>
      <w:r w:rsidRPr="009F039C">
        <w:rPr>
          <w:lang w:val="en-GB"/>
        </w:rPr>
        <w:t>, 2008). However, this general conclusion is increasingly under challenge from evidence of CSO influence in specific cases, which points to the fact that the net effect of accession on CSO empowerment depends on a number of scope conditions. Th</w:t>
      </w:r>
      <w:r w:rsidR="00FD623F" w:rsidRPr="009F039C">
        <w:rPr>
          <w:lang w:val="en-GB"/>
        </w:rPr>
        <w:t xml:space="preserve">is </w:t>
      </w:r>
      <w:r w:rsidRPr="009F039C">
        <w:rPr>
          <w:lang w:val="en-GB"/>
        </w:rPr>
        <w:t xml:space="preserve">literature </w:t>
      </w:r>
      <w:r w:rsidR="00FD623F" w:rsidRPr="009F039C">
        <w:rPr>
          <w:lang w:val="en-GB"/>
        </w:rPr>
        <w:t xml:space="preserve">has yet failed to fully focus </w:t>
      </w:r>
      <w:r w:rsidRPr="009F039C">
        <w:rPr>
          <w:lang w:val="en-GB"/>
        </w:rPr>
        <w:t>on identifying and testing what these conditions are.</w:t>
      </w:r>
    </w:p>
    <w:p w:rsidR="006928AE" w:rsidRPr="009F039C" w:rsidRDefault="005B6B1E" w:rsidP="008158F1">
      <w:pPr>
        <w:spacing w:after="120" w:line="360" w:lineRule="auto"/>
        <w:jc w:val="both"/>
        <w:rPr>
          <w:lang w:val="en-GB"/>
        </w:rPr>
      </w:pPr>
      <w:r w:rsidRPr="009F039C">
        <w:rPr>
          <w:lang w:val="en-GB"/>
        </w:rPr>
        <w:t xml:space="preserve">International development and humanitarian aid constitutes an intriguing policy area to study this question. Non-governmental development organizations (NGDOs) play an important role in these policies of the </w:t>
      </w:r>
      <w:r w:rsidR="008158F1" w:rsidRPr="009F039C">
        <w:rPr>
          <w:lang w:val="en-GB"/>
        </w:rPr>
        <w:t>ECE states</w:t>
      </w:r>
      <w:r w:rsidRPr="009F039C">
        <w:rPr>
          <w:lang w:val="en-GB"/>
        </w:rPr>
        <w:t>: they are heavily relied on by national governments to implement state-financed development projects abroad, and are also the main actors in domestic awareness raising and development education (see OECD, 2007</w:t>
      </w:r>
      <w:r w:rsidR="002C3BEB" w:rsidRPr="009F039C">
        <w:rPr>
          <w:lang w:val="en-GB"/>
        </w:rPr>
        <w:t>)</w:t>
      </w:r>
      <w:r w:rsidRPr="009F039C">
        <w:rPr>
          <w:lang w:val="en-GB"/>
        </w:rPr>
        <w:t xml:space="preserve">. In absence of wider media interest in international development, they form the most important watchdogs of how the government spends its aid resources. NGDOs have benefitted from accession to the EU as it was mainly EU pressure which led to the creation of national foreign aid policies in the </w:t>
      </w:r>
      <w:r w:rsidR="00BB7107" w:rsidRPr="009F039C">
        <w:rPr>
          <w:lang w:val="en-GB"/>
        </w:rPr>
        <w:t>ECE countries</w:t>
      </w:r>
      <w:r w:rsidRPr="009F039C">
        <w:rPr>
          <w:lang w:val="en-GB"/>
        </w:rPr>
        <w:t xml:space="preserve"> (Szent-Iványi and Tétényi, 2008), and membership opened up possibilities for these NGDOs to engage in the work of transnational networks and apply for EU funding. As a result, there is evidence that the NGDO sectors in the </w:t>
      </w:r>
      <w:r w:rsidR="00AD2594">
        <w:rPr>
          <w:lang w:val="en-GB"/>
        </w:rPr>
        <w:t>ECE states</w:t>
      </w:r>
      <w:r w:rsidRPr="009F039C">
        <w:rPr>
          <w:lang w:val="en-GB"/>
        </w:rPr>
        <w:t xml:space="preserve"> have undergone a process of professionalization (Bučar, 2012, Selmeczi, 2013). While the growing literature on international development policies in the </w:t>
      </w:r>
      <w:r w:rsidR="002C3BEB" w:rsidRPr="009F039C">
        <w:rPr>
          <w:lang w:val="en-GB"/>
        </w:rPr>
        <w:t>ECE countries</w:t>
      </w:r>
      <w:r w:rsidRPr="009F039C">
        <w:rPr>
          <w:lang w:val="en-GB"/>
        </w:rPr>
        <w:t xml:space="preserve"> does acknowledge the importance of NGDOs, there has </w:t>
      </w:r>
      <w:r w:rsidR="007C24B5" w:rsidRPr="009F039C">
        <w:rPr>
          <w:lang w:val="en-GB"/>
        </w:rPr>
        <w:t xml:space="preserve">to date been very little </w:t>
      </w:r>
      <w:r w:rsidRPr="009F039C">
        <w:rPr>
          <w:lang w:val="en-GB"/>
        </w:rPr>
        <w:t xml:space="preserve">in-depth analysis on their role and their influence on policy making. </w:t>
      </w:r>
    </w:p>
    <w:p w:rsidR="00FE3D62" w:rsidRPr="009F039C" w:rsidRDefault="006928AE" w:rsidP="008158F1">
      <w:pPr>
        <w:spacing w:after="120" w:line="360" w:lineRule="auto"/>
        <w:jc w:val="both"/>
        <w:rPr>
          <w:lang w:val="en-GB"/>
        </w:rPr>
      </w:pPr>
      <w:r w:rsidRPr="009F039C">
        <w:rPr>
          <w:i/>
          <w:lang w:val="en-GB"/>
        </w:rPr>
        <w:lastRenderedPageBreak/>
        <w:t>This paper examine</w:t>
      </w:r>
      <w:r w:rsidR="00FE3D62" w:rsidRPr="009F039C">
        <w:rPr>
          <w:i/>
          <w:lang w:val="en-GB"/>
        </w:rPr>
        <w:t>s</w:t>
      </w:r>
      <w:r w:rsidRPr="009F039C">
        <w:rPr>
          <w:i/>
          <w:lang w:val="en-GB"/>
        </w:rPr>
        <w:t xml:space="preserve"> the role played by NGDOs in </w:t>
      </w:r>
      <w:r w:rsidR="00FE3D62" w:rsidRPr="009F039C">
        <w:rPr>
          <w:i/>
          <w:lang w:val="en-GB"/>
        </w:rPr>
        <w:t xml:space="preserve">the making of international development policy in </w:t>
      </w:r>
      <w:r w:rsidR="00AD0718" w:rsidRPr="009F039C">
        <w:rPr>
          <w:i/>
          <w:lang w:val="en-GB"/>
        </w:rPr>
        <w:t xml:space="preserve">a comparative case study of </w:t>
      </w:r>
      <w:r w:rsidR="00FE3D62" w:rsidRPr="009F039C">
        <w:rPr>
          <w:i/>
          <w:lang w:val="en-GB"/>
        </w:rPr>
        <w:t>two ECE countries, the Czech Republic and Hungary.</w:t>
      </w:r>
      <w:r w:rsidR="00FE3D62" w:rsidRPr="009F039C">
        <w:rPr>
          <w:lang w:val="en-GB"/>
        </w:rPr>
        <w:t xml:space="preserve"> </w:t>
      </w:r>
      <w:r w:rsidR="005B6B1E" w:rsidRPr="009F039C">
        <w:rPr>
          <w:lang w:val="en-GB"/>
        </w:rPr>
        <w:t>Both countries had international development policies during the Communist regimes, and when re-creating these policies around the turn of the Millennium they faced similar conditions and started off with rather similar policies and practices. However, since EU accession, the</w:t>
      </w:r>
      <w:r w:rsidR="00AD2594">
        <w:rPr>
          <w:lang w:val="en-GB"/>
        </w:rPr>
        <w:t>ir</w:t>
      </w:r>
      <w:r w:rsidR="005B6B1E" w:rsidRPr="009F039C">
        <w:rPr>
          <w:lang w:val="en-GB"/>
        </w:rPr>
        <w:t xml:space="preserve"> international development policies have taken very different courses, with the Czech Republic making the clearest steps to become one of the most advanced aid donors in the region (Horký, 2012, p. 23), while the policy area in Hungary seems to </w:t>
      </w:r>
      <w:r w:rsidR="002C3BEB" w:rsidRPr="009F039C">
        <w:rPr>
          <w:lang w:val="en-GB"/>
        </w:rPr>
        <w:t xml:space="preserve">have </w:t>
      </w:r>
      <w:r w:rsidR="005B6B1E" w:rsidRPr="009F039C">
        <w:rPr>
          <w:lang w:val="en-GB"/>
        </w:rPr>
        <w:t>show</w:t>
      </w:r>
      <w:r w:rsidR="002C3BEB" w:rsidRPr="009F039C">
        <w:rPr>
          <w:lang w:val="en-GB"/>
        </w:rPr>
        <w:t>n</w:t>
      </w:r>
      <w:r w:rsidR="005B6B1E" w:rsidRPr="009F039C">
        <w:rPr>
          <w:lang w:val="en-GB"/>
        </w:rPr>
        <w:t xml:space="preserve"> signs of stagnation and </w:t>
      </w:r>
      <w:r w:rsidR="002C3BEB" w:rsidRPr="009F039C">
        <w:rPr>
          <w:lang w:val="en-GB"/>
        </w:rPr>
        <w:t xml:space="preserve">only modest reform </w:t>
      </w:r>
      <w:r w:rsidR="005B6B1E" w:rsidRPr="009F039C">
        <w:rPr>
          <w:lang w:val="en-GB"/>
        </w:rPr>
        <w:t>(</w:t>
      </w:r>
      <w:proofErr w:type="spellStart"/>
      <w:r w:rsidR="00FE3D62" w:rsidRPr="009F039C">
        <w:rPr>
          <w:lang w:val="en-GB"/>
        </w:rPr>
        <w:t>Paragi</w:t>
      </w:r>
      <w:proofErr w:type="spellEnd"/>
      <w:r w:rsidR="00FE3D62" w:rsidRPr="009F039C">
        <w:rPr>
          <w:lang w:val="en-GB"/>
        </w:rPr>
        <w:t xml:space="preserve">, 2010, </w:t>
      </w:r>
      <w:proofErr w:type="spellStart"/>
      <w:r w:rsidR="00FE3D62" w:rsidRPr="009F039C">
        <w:rPr>
          <w:lang w:val="en-GB"/>
        </w:rPr>
        <w:t>Hódosi</w:t>
      </w:r>
      <w:proofErr w:type="spellEnd"/>
      <w:r w:rsidR="00FE3D62" w:rsidRPr="009F039C">
        <w:rPr>
          <w:lang w:val="en-GB"/>
        </w:rPr>
        <w:t xml:space="preserve"> 2012, </w:t>
      </w:r>
      <w:proofErr w:type="spellStart"/>
      <w:r w:rsidR="005B6B1E" w:rsidRPr="009F039C">
        <w:rPr>
          <w:lang w:val="en-GB"/>
        </w:rPr>
        <w:t>Szent-Iványi</w:t>
      </w:r>
      <w:proofErr w:type="spellEnd"/>
      <w:r w:rsidR="005B6B1E" w:rsidRPr="009F039C">
        <w:rPr>
          <w:lang w:val="en-GB"/>
        </w:rPr>
        <w:t>, 2012). NGDOs in both countries had very similar experiences as a result of EU accession</w:t>
      </w:r>
      <w:r w:rsidR="002C3BEB" w:rsidRPr="009F039C">
        <w:rPr>
          <w:lang w:val="en-GB"/>
        </w:rPr>
        <w:t>, and have become more professional and</w:t>
      </w:r>
      <w:r w:rsidR="005B6B1E" w:rsidRPr="009F039C">
        <w:rPr>
          <w:lang w:val="en-GB"/>
        </w:rPr>
        <w:t xml:space="preserve"> highly ‘Europeanized’ in terms of adopting the policy agendas of EU-wide NGDO groups. </w:t>
      </w:r>
      <w:r w:rsidR="002C3BEB" w:rsidRPr="009F039C">
        <w:rPr>
          <w:lang w:val="en-GB"/>
        </w:rPr>
        <w:t xml:space="preserve">They </w:t>
      </w:r>
      <w:r w:rsidR="00FE3D62" w:rsidRPr="009F039C">
        <w:rPr>
          <w:lang w:val="en-GB"/>
        </w:rPr>
        <w:t>have</w:t>
      </w:r>
      <w:r w:rsidR="002C3BEB" w:rsidRPr="009F039C">
        <w:rPr>
          <w:lang w:val="en-GB"/>
        </w:rPr>
        <w:t xml:space="preserve"> also</w:t>
      </w:r>
      <w:r w:rsidR="00FE3D62" w:rsidRPr="009F039C">
        <w:rPr>
          <w:lang w:val="en-GB"/>
        </w:rPr>
        <w:t xml:space="preserve"> been engaged in </w:t>
      </w:r>
      <w:r w:rsidR="004A7B5E" w:rsidRPr="009F039C">
        <w:rPr>
          <w:lang w:val="en-GB"/>
        </w:rPr>
        <w:t xml:space="preserve">development </w:t>
      </w:r>
      <w:r w:rsidR="00FE3D62" w:rsidRPr="009F039C">
        <w:rPr>
          <w:lang w:val="en-GB"/>
        </w:rPr>
        <w:t>policy making processes and have put forward</w:t>
      </w:r>
      <w:r w:rsidR="004A7B5E" w:rsidRPr="009F039C">
        <w:rPr>
          <w:lang w:val="en-GB"/>
        </w:rPr>
        <w:t xml:space="preserve"> clear reform demands towards their </w:t>
      </w:r>
      <w:r w:rsidR="002C3BEB" w:rsidRPr="009F039C">
        <w:rPr>
          <w:lang w:val="en-GB"/>
        </w:rPr>
        <w:t xml:space="preserve">respective </w:t>
      </w:r>
      <w:r w:rsidR="004A7B5E" w:rsidRPr="009F039C">
        <w:rPr>
          <w:lang w:val="en-GB"/>
        </w:rPr>
        <w:t>governments.</w:t>
      </w:r>
    </w:p>
    <w:p w:rsidR="009D0F41" w:rsidRPr="009F039C" w:rsidRDefault="00FE3D62" w:rsidP="009D0F41">
      <w:pPr>
        <w:spacing w:after="120" w:line="360" w:lineRule="auto"/>
        <w:jc w:val="both"/>
        <w:rPr>
          <w:lang w:val="en-GB"/>
        </w:rPr>
      </w:pPr>
      <w:r w:rsidRPr="009F039C">
        <w:rPr>
          <w:lang w:val="en-GB"/>
        </w:rPr>
        <w:t>Differences between the NGDO</w:t>
      </w:r>
      <w:r w:rsidR="004A7B5E" w:rsidRPr="009F039C">
        <w:rPr>
          <w:lang w:val="en-GB"/>
        </w:rPr>
        <w:t xml:space="preserve">’s abilities for effective </w:t>
      </w:r>
      <w:r w:rsidR="00473416" w:rsidRPr="009F039C">
        <w:rPr>
          <w:lang w:val="en-GB"/>
        </w:rPr>
        <w:t xml:space="preserve">domestic </w:t>
      </w:r>
      <w:r w:rsidR="004A7B5E" w:rsidRPr="009F039C">
        <w:rPr>
          <w:lang w:val="en-GB"/>
        </w:rPr>
        <w:t>advocacy and influence may be one potential explanatory factor o</w:t>
      </w:r>
      <w:r w:rsidR="00835D86" w:rsidRPr="009F039C">
        <w:rPr>
          <w:lang w:val="en-GB"/>
        </w:rPr>
        <w:t>f</w:t>
      </w:r>
      <w:r w:rsidR="004A7B5E" w:rsidRPr="009F039C">
        <w:rPr>
          <w:lang w:val="en-GB"/>
        </w:rPr>
        <w:t xml:space="preserve"> why international development policies in the two countries have evolved so differently in the past ten years.</w:t>
      </w:r>
      <w:r w:rsidR="00F709F1" w:rsidRPr="009F039C">
        <w:rPr>
          <w:lang w:val="en-GB"/>
        </w:rPr>
        <w:t xml:space="preserve"> </w:t>
      </w:r>
      <w:r w:rsidR="00835D86" w:rsidRPr="009F039C">
        <w:rPr>
          <w:lang w:val="en-GB"/>
        </w:rPr>
        <w:t xml:space="preserve">The paper does not attempt to untangle these different </w:t>
      </w:r>
      <w:r w:rsidR="00AD2594">
        <w:rPr>
          <w:lang w:val="en-GB"/>
        </w:rPr>
        <w:t>factors</w:t>
      </w:r>
      <w:r w:rsidR="00835D86" w:rsidRPr="009F039C">
        <w:rPr>
          <w:lang w:val="en-GB"/>
        </w:rPr>
        <w:t xml:space="preserve"> and does not claim that </w:t>
      </w:r>
      <w:r w:rsidR="009D0F41" w:rsidRPr="009F039C">
        <w:rPr>
          <w:lang w:val="en-GB"/>
        </w:rPr>
        <w:t xml:space="preserve">NGDO </w:t>
      </w:r>
      <w:r w:rsidR="00835D86" w:rsidRPr="009F039C">
        <w:rPr>
          <w:lang w:val="en-GB"/>
        </w:rPr>
        <w:t xml:space="preserve">influence (or the lack of it) is the only (or most significant) explanatory factor in the different trajectories the Czech Republic and Hungary have taken. It does however argue that there is </w:t>
      </w:r>
      <w:r w:rsidR="009D0F41" w:rsidRPr="009F039C">
        <w:rPr>
          <w:lang w:val="en-GB"/>
        </w:rPr>
        <w:t>evidence of a</w:t>
      </w:r>
      <w:r w:rsidR="00835D86" w:rsidRPr="009F039C">
        <w:rPr>
          <w:lang w:val="en-GB"/>
        </w:rPr>
        <w:t xml:space="preserve"> causal relationship </w:t>
      </w:r>
      <w:r w:rsidR="001D0CA9" w:rsidRPr="009F039C">
        <w:rPr>
          <w:lang w:val="en-GB"/>
        </w:rPr>
        <w:t>from</w:t>
      </w:r>
      <w:r w:rsidR="00835D86" w:rsidRPr="009F039C">
        <w:rPr>
          <w:lang w:val="en-GB"/>
        </w:rPr>
        <w:t xml:space="preserve"> </w:t>
      </w:r>
      <w:r w:rsidR="009D0F41" w:rsidRPr="009F039C">
        <w:rPr>
          <w:lang w:val="en-GB"/>
        </w:rPr>
        <w:t xml:space="preserve">the characteristics and advocacy capabilities of the NGDO sectors </w:t>
      </w:r>
      <w:r w:rsidR="001D0CA9" w:rsidRPr="009F039C">
        <w:rPr>
          <w:lang w:val="en-GB"/>
        </w:rPr>
        <w:t xml:space="preserve">towards </w:t>
      </w:r>
      <w:r w:rsidR="009D0F41" w:rsidRPr="009F039C">
        <w:rPr>
          <w:lang w:val="en-GB"/>
        </w:rPr>
        <w:t>the shape international development policies in the two countries have taken.</w:t>
      </w:r>
      <w:r w:rsidR="001D0CA9" w:rsidRPr="009F039C">
        <w:rPr>
          <w:lang w:val="en-GB"/>
        </w:rPr>
        <w:t xml:space="preserve"> The fact that NGDO </w:t>
      </w:r>
      <w:r w:rsidR="009D0F41" w:rsidRPr="009F039C">
        <w:rPr>
          <w:lang w:val="en-GB"/>
        </w:rPr>
        <w:t>influence seems to vary b</w:t>
      </w:r>
      <w:r w:rsidR="001D0CA9" w:rsidRPr="009F039C">
        <w:rPr>
          <w:lang w:val="en-GB"/>
        </w:rPr>
        <w:t>etween the two countries</w:t>
      </w:r>
      <w:r w:rsidR="009D0F41" w:rsidRPr="009F039C">
        <w:rPr>
          <w:lang w:val="en-GB"/>
        </w:rPr>
        <w:t xml:space="preserve"> suggest</w:t>
      </w:r>
      <w:r w:rsidR="001D0CA9" w:rsidRPr="009F039C">
        <w:rPr>
          <w:lang w:val="en-GB"/>
        </w:rPr>
        <w:t>s</w:t>
      </w:r>
      <w:r w:rsidR="009D0F41" w:rsidRPr="009F039C">
        <w:rPr>
          <w:lang w:val="en-GB"/>
        </w:rPr>
        <w:t xml:space="preserve"> that empowerment is not an automatic consequence of EU accession. </w:t>
      </w:r>
      <w:r w:rsidR="001D0CA9" w:rsidRPr="009F039C">
        <w:rPr>
          <w:lang w:val="en-GB"/>
        </w:rPr>
        <w:t>I</w:t>
      </w:r>
      <w:r w:rsidR="009D0F41" w:rsidRPr="009F039C">
        <w:rPr>
          <w:lang w:val="en-GB"/>
        </w:rPr>
        <w:t>dentif</w:t>
      </w:r>
      <w:r w:rsidR="001D0CA9" w:rsidRPr="009F039C">
        <w:rPr>
          <w:lang w:val="en-GB"/>
        </w:rPr>
        <w:t xml:space="preserve">ying </w:t>
      </w:r>
      <w:r w:rsidR="009D0F41" w:rsidRPr="009F039C">
        <w:rPr>
          <w:lang w:val="en-GB"/>
        </w:rPr>
        <w:t>the key conditions which allow NGDOs to translate the direct and indirect benefits of EU accession into increased influence on the national policy formation process</w:t>
      </w:r>
      <w:r w:rsidR="001D0CA9" w:rsidRPr="009F039C">
        <w:rPr>
          <w:lang w:val="en-GB"/>
        </w:rPr>
        <w:t xml:space="preserve"> is therefore a key contribution of the paper</w:t>
      </w:r>
      <w:r w:rsidR="009D0F41" w:rsidRPr="009F039C">
        <w:rPr>
          <w:lang w:val="en-GB"/>
        </w:rPr>
        <w:t xml:space="preserve">. </w:t>
      </w:r>
    </w:p>
    <w:p w:rsidR="00F709F1" w:rsidRPr="009F039C" w:rsidRDefault="001D0CA9" w:rsidP="00525B34">
      <w:pPr>
        <w:spacing w:line="360" w:lineRule="auto"/>
        <w:jc w:val="both"/>
        <w:rPr>
          <w:lang w:val="en-GB"/>
        </w:rPr>
      </w:pPr>
      <w:r w:rsidRPr="009F039C">
        <w:rPr>
          <w:lang w:val="en-GB"/>
        </w:rPr>
        <w:t>T</w:t>
      </w:r>
      <w:r w:rsidR="009D0F41" w:rsidRPr="009F039C">
        <w:rPr>
          <w:lang w:val="en-GB"/>
        </w:rPr>
        <w:t xml:space="preserve">he paper uses an inductive methodology and compares the characteristics and activities of NGDOs in the two countries in order to determine what characteristics are necessary for influence. </w:t>
      </w:r>
      <w:r w:rsidR="00525B34" w:rsidRPr="009F039C">
        <w:rPr>
          <w:lang w:val="en-GB"/>
        </w:rPr>
        <w:t xml:space="preserve">Data was collected through 24 qualitative interviews between 2012 and 2013 in the Czech Republic and Hungary. Respondents included representatives from national NGDO associations, individual NGDOs, </w:t>
      </w:r>
      <w:r w:rsidR="00A45BAC">
        <w:rPr>
          <w:lang w:val="en-GB"/>
        </w:rPr>
        <w:t>as well as ministry of foreign affairs (</w:t>
      </w:r>
      <w:r w:rsidR="00525B34" w:rsidRPr="009F039C">
        <w:rPr>
          <w:lang w:val="en-GB"/>
        </w:rPr>
        <w:t>MFA</w:t>
      </w:r>
      <w:r w:rsidR="00A45BAC">
        <w:rPr>
          <w:lang w:val="en-GB"/>
        </w:rPr>
        <w:t>)</w:t>
      </w:r>
      <w:r w:rsidR="00525B34" w:rsidRPr="009F039C">
        <w:rPr>
          <w:lang w:val="en-GB"/>
        </w:rPr>
        <w:t xml:space="preserve"> and aid agency officials. For reasons of confidentiality, respondents will remain anonymous. The interview data was complemented by a number of other sources, including national strategic and legal documents, as well as government, NGDO and international organization reports. </w:t>
      </w:r>
    </w:p>
    <w:p w:rsidR="005B6B1E" w:rsidRPr="009F039C" w:rsidRDefault="001D0CA9" w:rsidP="008158F1">
      <w:pPr>
        <w:spacing w:after="120" w:line="360" w:lineRule="auto"/>
        <w:jc w:val="both"/>
        <w:rPr>
          <w:lang w:val="en-GB"/>
        </w:rPr>
      </w:pPr>
      <w:r w:rsidRPr="009F039C">
        <w:rPr>
          <w:lang w:val="en-GB"/>
        </w:rPr>
        <w:t xml:space="preserve">By </w:t>
      </w:r>
      <w:r w:rsidR="005B6B1E" w:rsidRPr="009F039C">
        <w:rPr>
          <w:lang w:val="en-GB"/>
        </w:rPr>
        <w:t xml:space="preserve">identifying the scope conditions which have led to </w:t>
      </w:r>
      <w:r w:rsidR="00A45BAC">
        <w:rPr>
          <w:lang w:val="en-GB"/>
        </w:rPr>
        <w:t xml:space="preserve">the </w:t>
      </w:r>
      <w:r w:rsidR="005B6B1E" w:rsidRPr="009F039C">
        <w:rPr>
          <w:lang w:val="en-GB"/>
        </w:rPr>
        <w:t xml:space="preserve">successful empowerment of NGDOs, </w:t>
      </w:r>
      <w:r w:rsidRPr="009F039C">
        <w:rPr>
          <w:lang w:val="en-GB"/>
        </w:rPr>
        <w:t>the paper</w:t>
      </w:r>
      <w:r w:rsidR="005B6B1E" w:rsidRPr="009F039C">
        <w:rPr>
          <w:lang w:val="en-GB"/>
        </w:rPr>
        <w:t xml:space="preserve"> contributes to the wider literature on the effects EU accession has had on CSOs in the </w:t>
      </w:r>
      <w:r w:rsidR="009D0F41" w:rsidRPr="009F039C">
        <w:rPr>
          <w:lang w:val="en-GB"/>
        </w:rPr>
        <w:t xml:space="preserve">new </w:t>
      </w:r>
      <w:r w:rsidR="009D0F41" w:rsidRPr="009F039C">
        <w:rPr>
          <w:lang w:val="en-GB"/>
        </w:rPr>
        <w:lastRenderedPageBreak/>
        <w:t>member states</w:t>
      </w:r>
      <w:r w:rsidR="005B6B1E" w:rsidRPr="009F039C">
        <w:rPr>
          <w:lang w:val="en-GB"/>
        </w:rPr>
        <w:t xml:space="preserve">. </w:t>
      </w:r>
      <w:r w:rsidRPr="009F039C">
        <w:rPr>
          <w:lang w:val="en-GB"/>
        </w:rPr>
        <w:t xml:space="preserve">It also addresses an important gap in the literature on international development policies in the ECE countries: </w:t>
      </w:r>
      <w:r w:rsidR="005B6B1E" w:rsidRPr="009F039C">
        <w:rPr>
          <w:lang w:val="en-GB"/>
        </w:rPr>
        <w:t xml:space="preserve">given the significance of NGDOs in </w:t>
      </w:r>
      <w:r w:rsidRPr="009F039C">
        <w:rPr>
          <w:lang w:val="en-GB"/>
        </w:rPr>
        <w:t>these</w:t>
      </w:r>
      <w:r w:rsidR="005B6B1E" w:rsidRPr="009F039C">
        <w:rPr>
          <w:lang w:val="en-GB"/>
        </w:rPr>
        <w:t xml:space="preserve"> policies, it is surprising that there has not been much research on their roles, or from a wider perspective, the influence they have on governments (with </w:t>
      </w:r>
      <w:proofErr w:type="spellStart"/>
      <w:r w:rsidR="005B6B1E" w:rsidRPr="009F039C">
        <w:rPr>
          <w:lang w:val="en-GB"/>
        </w:rPr>
        <w:t>Bučar’s</w:t>
      </w:r>
      <w:proofErr w:type="spellEnd"/>
      <w:r w:rsidR="005B6B1E" w:rsidRPr="009F039C">
        <w:rPr>
          <w:lang w:val="en-GB"/>
        </w:rPr>
        <w:t xml:space="preserve"> 2012 case study on Slovenia being a notable exception). The following section </w:t>
      </w:r>
      <w:r w:rsidR="009D0F41" w:rsidRPr="009F039C">
        <w:rPr>
          <w:lang w:val="en-GB"/>
        </w:rPr>
        <w:t xml:space="preserve">presents the international development policies of the Czech Republic and Hungary, which is followed by a </w:t>
      </w:r>
      <w:r w:rsidR="005B6B1E" w:rsidRPr="009F039C">
        <w:rPr>
          <w:lang w:val="en-GB"/>
        </w:rPr>
        <w:t>discuss</w:t>
      </w:r>
      <w:r w:rsidR="009D0F41" w:rsidRPr="009F039C">
        <w:rPr>
          <w:lang w:val="en-GB"/>
        </w:rPr>
        <w:t>ion of</w:t>
      </w:r>
      <w:r w:rsidR="005B6B1E" w:rsidRPr="009F039C">
        <w:rPr>
          <w:lang w:val="en-GB"/>
        </w:rPr>
        <w:t xml:space="preserve"> the impacts of EU accession on CSOs in general, </w:t>
      </w:r>
      <w:r w:rsidR="009D0F41" w:rsidRPr="009F039C">
        <w:rPr>
          <w:lang w:val="en-GB"/>
        </w:rPr>
        <w:t xml:space="preserve">and NGDOs in particular. </w:t>
      </w:r>
      <w:r w:rsidR="005B6B1E" w:rsidRPr="009F039C">
        <w:rPr>
          <w:lang w:val="en-GB"/>
        </w:rPr>
        <w:t xml:space="preserve">This is followed by the Czech and Hungarian case studies, and the final section </w:t>
      </w:r>
      <w:r w:rsidRPr="009F039C">
        <w:rPr>
          <w:lang w:val="en-GB"/>
        </w:rPr>
        <w:t xml:space="preserve">inductively </w:t>
      </w:r>
      <w:r w:rsidR="009D0F41" w:rsidRPr="009F039C">
        <w:rPr>
          <w:lang w:val="en-GB"/>
        </w:rPr>
        <w:t>draw</w:t>
      </w:r>
      <w:r w:rsidRPr="009F039C">
        <w:rPr>
          <w:lang w:val="en-GB"/>
        </w:rPr>
        <w:t>s</w:t>
      </w:r>
      <w:r w:rsidR="009D0F41" w:rsidRPr="009F039C">
        <w:rPr>
          <w:lang w:val="en-GB"/>
        </w:rPr>
        <w:t xml:space="preserve"> theoretical conclusions</w:t>
      </w:r>
      <w:r w:rsidRPr="009F039C">
        <w:rPr>
          <w:lang w:val="en-GB"/>
        </w:rPr>
        <w:t xml:space="preserve"> which can guide future research on the topic.</w:t>
      </w:r>
    </w:p>
    <w:p w:rsidR="00BB7107" w:rsidRPr="009F039C" w:rsidRDefault="00BB7107" w:rsidP="008158F1">
      <w:pPr>
        <w:spacing w:after="120" w:line="360" w:lineRule="auto"/>
        <w:rPr>
          <w:lang w:val="en-GB"/>
        </w:rPr>
      </w:pPr>
    </w:p>
    <w:p w:rsidR="00BB7107" w:rsidRPr="009F039C" w:rsidRDefault="000535D3" w:rsidP="008158F1">
      <w:pPr>
        <w:spacing w:after="120" w:line="360" w:lineRule="auto"/>
        <w:rPr>
          <w:b/>
          <w:lang w:val="en-GB"/>
        </w:rPr>
      </w:pPr>
      <w:r w:rsidRPr="009F039C">
        <w:rPr>
          <w:b/>
          <w:lang w:val="en-GB"/>
        </w:rPr>
        <w:t>2. International development policies in the Czech Republic and Hungary: Different trajectories</w:t>
      </w:r>
    </w:p>
    <w:p w:rsidR="00BE30A2" w:rsidRPr="009F039C" w:rsidRDefault="00BE30A2" w:rsidP="000535D3">
      <w:pPr>
        <w:spacing w:after="120" w:line="360" w:lineRule="auto"/>
        <w:jc w:val="both"/>
        <w:rPr>
          <w:lang w:val="en-GB"/>
        </w:rPr>
      </w:pPr>
      <w:r w:rsidRPr="009F039C">
        <w:rPr>
          <w:lang w:val="en-GB"/>
        </w:rPr>
        <w:t xml:space="preserve">While starting from rather similar situations in the early 2000s, the international development policies of the Czech Republic and Hungary have taken </w:t>
      </w:r>
      <w:r w:rsidR="00A45BAC">
        <w:rPr>
          <w:lang w:val="en-GB"/>
        </w:rPr>
        <w:t>quite</w:t>
      </w:r>
      <w:r w:rsidRPr="009F039C">
        <w:rPr>
          <w:lang w:val="en-GB"/>
        </w:rPr>
        <w:t xml:space="preserve"> divergent paths. </w:t>
      </w:r>
      <w:r w:rsidR="00E244A1" w:rsidRPr="009F039C">
        <w:rPr>
          <w:lang w:val="en-GB"/>
        </w:rPr>
        <w:t xml:space="preserve">Both countries were donors of </w:t>
      </w:r>
      <w:r w:rsidR="000535D3" w:rsidRPr="009F039C">
        <w:rPr>
          <w:lang w:val="en-GB"/>
        </w:rPr>
        <w:t xml:space="preserve">foreign </w:t>
      </w:r>
      <w:r w:rsidR="00E244A1" w:rsidRPr="009F039C">
        <w:rPr>
          <w:lang w:val="en-GB"/>
        </w:rPr>
        <w:t xml:space="preserve">aid during Communism, and both terminated these policies after 1989. Foreign aid </w:t>
      </w:r>
      <w:r w:rsidR="00840B64" w:rsidRPr="009F039C">
        <w:rPr>
          <w:lang w:val="en-GB"/>
        </w:rPr>
        <w:t>was</w:t>
      </w:r>
      <w:r w:rsidR="00E244A1" w:rsidRPr="009F039C">
        <w:rPr>
          <w:lang w:val="en-GB"/>
        </w:rPr>
        <w:t xml:space="preserve"> re-started in the run-up to EU accession during the late 1990s in the Czech Republic and early 2000s in Hungary. </w:t>
      </w:r>
      <w:r w:rsidRPr="009F039C">
        <w:rPr>
          <w:lang w:val="en-GB"/>
        </w:rPr>
        <w:t xml:space="preserve">Both countries may </w:t>
      </w:r>
      <w:r w:rsidR="00E244A1" w:rsidRPr="009F039C">
        <w:rPr>
          <w:lang w:val="en-GB"/>
        </w:rPr>
        <w:t xml:space="preserve">thus </w:t>
      </w:r>
      <w:r w:rsidRPr="009F039C">
        <w:rPr>
          <w:lang w:val="en-GB"/>
        </w:rPr>
        <w:t>be considered ‘new’ or ‘emerging’ donors of foreign aid</w:t>
      </w:r>
      <w:r w:rsidR="00DD18D5" w:rsidRPr="009F039C">
        <w:rPr>
          <w:lang w:val="en-GB"/>
        </w:rPr>
        <w:t>, but the Czech Republic has done much</w:t>
      </w:r>
      <w:r w:rsidRPr="009F039C">
        <w:rPr>
          <w:lang w:val="en-GB"/>
        </w:rPr>
        <w:t xml:space="preserve"> </w:t>
      </w:r>
      <w:r w:rsidR="000535D3" w:rsidRPr="009F039C">
        <w:rPr>
          <w:lang w:val="en-GB"/>
        </w:rPr>
        <w:t xml:space="preserve">more </w:t>
      </w:r>
      <w:r w:rsidR="00DD18D5" w:rsidRPr="009F039C">
        <w:rPr>
          <w:lang w:val="en-GB"/>
        </w:rPr>
        <w:t xml:space="preserve">to approximate its policies to globally agreed practices </w:t>
      </w:r>
      <w:r w:rsidR="00E244A1" w:rsidRPr="009F039C">
        <w:rPr>
          <w:lang w:val="en-GB"/>
        </w:rPr>
        <w:t xml:space="preserve">in the past </w:t>
      </w:r>
      <w:r w:rsidR="00840B64" w:rsidRPr="009F039C">
        <w:rPr>
          <w:lang w:val="en-GB"/>
        </w:rPr>
        <w:t>decade</w:t>
      </w:r>
      <w:r w:rsidR="00E244A1" w:rsidRPr="009F039C">
        <w:rPr>
          <w:lang w:val="en-GB"/>
        </w:rPr>
        <w:t xml:space="preserve"> as </w:t>
      </w:r>
      <w:r w:rsidR="00DD18D5" w:rsidRPr="009F039C">
        <w:rPr>
          <w:lang w:val="en-GB"/>
        </w:rPr>
        <w:t>compared to Hungary</w:t>
      </w:r>
      <w:r w:rsidR="00456E0F" w:rsidRPr="009F039C">
        <w:rPr>
          <w:lang w:val="en-GB"/>
        </w:rPr>
        <w:t xml:space="preserve"> (Horký, 2010</w:t>
      </w:r>
      <w:r w:rsidR="00840B64" w:rsidRPr="009F039C">
        <w:rPr>
          <w:lang w:val="en-GB"/>
        </w:rPr>
        <w:t>,</w:t>
      </w:r>
      <w:r w:rsidR="00A45BAC">
        <w:rPr>
          <w:lang w:val="en-GB"/>
        </w:rPr>
        <w:t xml:space="preserve"> </w:t>
      </w:r>
      <w:r w:rsidR="00840B64" w:rsidRPr="009F039C">
        <w:rPr>
          <w:lang w:val="en-GB"/>
        </w:rPr>
        <w:t>Paragi, 2010,</w:t>
      </w:r>
      <w:r w:rsidR="00456E0F" w:rsidRPr="009F039C">
        <w:rPr>
          <w:lang w:val="en-GB"/>
        </w:rPr>
        <w:t xml:space="preserve"> Szent-Iványi, 2012)</w:t>
      </w:r>
      <w:r w:rsidR="00DD18D5" w:rsidRPr="009F039C">
        <w:rPr>
          <w:lang w:val="en-GB"/>
        </w:rPr>
        <w:t>.</w:t>
      </w:r>
      <w:r w:rsidR="00E244A1" w:rsidRPr="009F039C">
        <w:rPr>
          <w:lang w:val="en-GB"/>
        </w:rPr>
        <w:t xml:space="preserve"> </w:t>
      </w:r>
      <w:r w:rsidR="00840B64" w:rsidRPr="009F039C">
        <w:rPr>
          <w:lang w:val="en-GB"/>
        </w:rPr>
        <w:t>We briefly review</w:t>
      </w:r>
      <w:r w:rsidR="00E244A1" w:rsidRPr="009F039C">
        <w:rPr>
          <w:lang w:val="en-GB"/>
        </w:rPr>
        <w:t xml:space="preserve"> four areas where the divergence between the two countries is evident: aid volumes, aid delivery structures, aid allocation and transparency.</w:t>
      </w:r>
    </w:p>
    <w:p w:rsidR="00984DE0" w:rsidRDefault="00E244A1">
      <w:pPr>
        <w:spacing w:after="120" w:line="360" w:lineRule="auto"/>
        <w:jc w:val="both"/>
        <w:rPr>
          <w:lang w:val="en-GB"/>
        </w:rPr>
      </w:pPr>
      <w:r w:rsidRPr="009F039C">
        <w:rPr>
          <w:lang w:val="en-GB"/>
        </w:rPr>
        <w:t>Concerning aid volumes, i</w:t>
      </w:r>
      <w:r w:rsidR="00DD18D5" w:rsidRPr="009F039C">
        <w:rPr>
          <w:lang w:val="en-GB"/>
        </w:rPr>
        <w:t xml:space="preserve">n 2012, the Czech Republic provided almost 220 million dollars in foreign aid (or 21 dollars for each Czech citizen), while Hungary gave 118 million (12 dollars per capita). </w:t>
      </w:r>
      <w:r w:rsidR="00840B64" w:rsidRPr="009F039C">
        <w:rPr>
          <w:lang w:val="en-GB"/>
        </w:rPr>
        <w:t xml:space="preserve">The </w:t>
      </w:r>
      <w:r w:rsidR="00DD18D5" w:rsidRPr="009F039C">
        <w:rPr>
          <w:lang w:val="en-GB"/>
        </w:rPr>
        <w:t xml:space="preserve">Czech aid effort per capita </w:t>
      </w:r>
      <w:r w:rsidR="000535D3" w:rsidRPr="009F039C">
        <w:rPr>
          <w:lang w:val="en-GB"/>
        </w:rPr>
        <w:t>wa</w:t>
      </w:r>
      <w:r w:rsidR="00DD18D5" w:rsidRPr="009F039C">
        <w:rPr>
          <w:lang w:val="en-GB"/>
        </w:rPr>
        <w:t>s therefore 75% higher than that of Hungary</w:t>
      </w:r>
      <w:r w:rsidRPr="009F039C">
        <w:rPr>
          <w:lang w:val="en-GB"/>
        </w:rPr>
        <w:t>. This difference in relative aid levels has been rather constant since 2007</w:t>
      </w:r>
      <w:r w:rsidR="00840B64" w:rsidRPr="009F039C">
        <w:rPr>
          <w:lang w:val="en-GB"/>
        </w:rPr>
        <w:t>, as shown on</w:t>
      </w:r>
      <w:r w:rsidRPr="009F039C">
        <w:rPr>
          <w:lang w:val="en-GB"/>
        </w:rPr>
        <w:t xml:space="preserve"> Figure 1. </w:t>
      </w:r>
    </w:p>
    <w:p w:rsidR="00A45BAC" w:rsidRPr="009F039C" w:rsidRDefault="00A45BAC">
      <w:pPr>
        <w:spacing w:after="120" w:line="360" w:lineRule="auto"/>
        <w:jc w:val="both"/>
        <w:rPr>
          <w:lang w:val="en-GB"/>
        </w:rPr>
      </w:pPr>
    </w:p>
    <w:p w:rsidR="00984DE0" w:rsidRPr="009F039C" w:rsidRDefault="00984DE0" w:rsidP="00A45BAC">
      <w:pPr>
        <w:spacing w:after="120" w:line="360" w:lineRule="auto"/>
        <w:jc w:val="center"/>
        <w:rPr>
          <w:lang w:val="en-GB"/>
        </w:rPr>
      </w:pPr>
      <w:r w:rsidRPr="009F039C">
        <w:rPr>
          <w:noProof/>
          <w:lang w:val="en-GB" w:eastAsia="en-GB"/>
        </w:rPr>
        <w:drawing>
          <wp:inline distT="0" distB="0" distL="0" distR="0">
            <wp:extent cx="3822848" cy="2197395"/>
            <wp:effectExtent l="19050" t="0" r="25252"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4DE0" w:rsidRPr="009F039C" w:rsidRDefault="00DD18D5" w:rsidP="00A45BAC">
      <w:pPr>
        <w:spacing w:after="120" w:line="360" w:lineRule="auto"/>
        <w:jc w:val="center"/>
        <w:rPr>
          <w:lang w:val="en-GB"/>
        </w:rPr>
      </w:pPr>
      <w:proofErr w:type="gramStart"/>
      <w:r w:rsidRPr="009F039C">
        <w:rPr>
          <w:lang w:val="en-GB"/>
        </w:rPr>
        <w:lastRenderedPageBreak/>
        <w:t>Figure 1.</w:t>
      </w:r>
      <w:proofErr w:type="gramEnd"/>
      <w:r w:rsidRPr="009F039C">
        <w:rPr>
          <w:lang w:val="en-GB"/>
        </w:rPr>
        <w:t xml:space="preserve"> Czech and Hungarian Official Development Assistance, in million dollars and constant 2012 prices and exchange rates</w:t>
      </w:r>
    </w:p>
    <w:p w:rsidR="00984DE0" w:rsidRPr="009F039C" w:rsidRDefault="00DD18D5" w:rsidP="00A45BAC">
      <w:pPr>
        <w:spacing w:after="120" w:line="360" w:lineRule="auto"/>
        <w:jc w:val="center"/>
        <w:rPr>
          <w:sz w:val="20"/>
          <w:szCs w:val="20"/>
          <w:lang w:val="en-GB"/>
        </w:rPr>
      </w:pPr>
      <w:r w:rsidRPr="009F039C">
        <w:rPr>
          <w:sz w:val="20"/>
          <w:szCs w:val="20"/>
          <w:lang w:val="en-GB"/>
        </w:rPr>
        <w:t xml:space="preserve">Source: OECD </w:t>
      </w:r>
      <w:r w:rsidR="00127D59" w:rsidRPr="009F039C">
        <w:rPr>
          <w:sz w:val="20"/>
          <w:szCs w:val="20"/>
          <w:lang w:val="en-GB"/>
        </w:rPr>
        <w:t>(</w:t>
      </w:r>
      <w:r w:rsidRPr="009F039C">
        <w:rPr>
          <w:sz w:val="20"/>
          <w:szCs w:val="20"/>
          <w:lang w:val="en-GB"/>
        </w:rPr>
        <w:t>2014</w:t>
      </w:r>
      <w:r w:rsidR="00127D59" w:rsidRPr="009F039C">
        <w:rPr>
          <w:sz w:val="20"/>
          <w:szCs w:val="20"/>
          <w:lang w:val="en-GB"/>
        </w:rPr>
        <w:t>)</w:t>
      </w:r>
      <w:r w:rsidRPr="009F039C">
        <w:rPr>
          <w:sz w:val="20"/>
          <w:szCs w:val="20"/>
          <w:lang w:val="en-GB"/>
        </w:rPr>
        <w:t>.</w:t>
      </w:r>
    </w:p>
    <w:p w:rsidR="00DD18D5" w:rsidRPr="009F039C" w:rsidRDefault="00DD18D5" w:rsidP="008158F1">
      <w:pPr>
        <w:spacing w:after="120" w:line="360" w:lineRule="auto"/>
        <w:rPr>
          <w:lang w:val="en-GB"/>
        </w:rPr>
      </w:pPr>
    </w:p>
    <w:p w:rsidR="00CD1928" w:rsidRPr="009F039C" w:rsidRDefault="00E244A1" w:rsidP="000535D3">
      <w:pPr>
        <w:spacing w:after="120" w:line="360" w:lineRule="auto"/>
        <w:jc w:val="both"/>
        <w:rPr>
          <w:lang w:val="en-GB"/>
        </w:rPr>
      </w:pPr>
      <w:proofErr w:type="gramStart"/>
      <w:r w:rsidRPr="009F039C">
        <w:rPr>
          <w:lang w:val="en-GB"/>
        </w:rPr>
        <w:t xml:space="preserve">Looking at the institutional structures for aid delivery, </w:t>
      </w:r>
      <w:r w:rsidR="00CD1928" w:rsidRPr="009F039C">
        <w:rPr>
          <w:lang w:val="en-GB"/>
        </w:rPr>
        <w:t>both countries started with structures seen as highly inefficient</w:t>
      </w:r>
      <w:r w:rsidR="0022371C" w:rsidRPr="009F039C">
        <w:rPr>
          <w:lang w:val="en-GB"/>
        </w:rPr>
        <w:t>: the responsibi</w:t>
      </w:r>
      <w:r w:rsidR="000535D3" w:rsidRPr="009F039C">
        <w:rPr>
          <w:lang w:val="en-GB"/>
        </w:rPr>
        <w:t>lity for foreign aid was disper</w:t>
      </w:r>
      <w:r w:rsidR="0022371C" w:rsidRPr="009F039C">
        <w:rPr>
          <w:lang w:val="en-GB"/>
        </w:rPr>
        <w:t xml:space="preserve">sed along several government ministries, each of which had its own aid budget, with the MFA </w:t>
      </w:r>
      <w:r w:rsidR="000535D3" w:rsidRPr="009F039C">
        <w:rPr>
          <w:lang w:val="en-GB"/>
        </w:rPr>
        <w:t>acting as</w:t>
      </w:r>
      <w:r w:rsidR="0022371C" w:rsidRPr="009F039C">
        <w:rPr>
          <w:lang w:val="en-GB"/>
        </w:rPr>
        <w:t xml:space="preserve"> the main coordinator.</w:t>
      </w:r>
      <w:proofErr w:type="gramEnd"/>
      <w:r w:rsidR="0022371C" w:rsidRPr="009F039C">
        <w:rPr>
          <w:lang w:val="en-GB"/>
        </w:rPr>
        <w:t xml:space="preserve"> However, the MFA did not have any strong authority to influence decisions made by other ministries, and thus development policies in both countries were </w:t>
      </w:r>
      <w:r w:rsidR="0034679E" w:rsidRPr="009F039C">
        <w:rPr>
          <w:lang w:val="en-GB"/>
        </w:rPr>
        <w:t>seen as</w:t>
      </w:r>
      <w:r w:rsidR="0022371C" w:rsidRPr="009F039C">
        <w:rPr>
          <w:lang w:val="en-GB"/>
        </w:rPr>
        <w:t xml:space="preserve"> lack</w:t>
      </w:r>
      <w:r w:rsidR="0034679E" w:rsidRPr="009F039C">
        <w:rPr>
          <w:lang w:val="en-GB"/>
        </w:rPr>
        <w:t>ing</w:t>
      </w:r>
      <w:r w:rsidR="0022371C" w:rsidRPr="009F039C">
        <w:rPr>
          <w:lang w:val="en-GB"/>
        </w:rPr>
        <w:t xml:space="preserve"> strategic guidance (OECD</w:t>
      </w:r>
      <w:r w:rsidR="0034679E" w:rsidRPr="009F039C">
        <w:rPr>
          <w:lang w:val="en-GB"/>
        </w:rPr>
        <w:t>,</w:t>
      </w:r>
      <w:r w:rsidR="0022371C" w:rsidRPr="009F039C">
        <w:rPr>
          <w:lang w:val="en-GB"/>
        </w:rPr>
        <w:t xml:space="preserve"> 2007</w:t>
      </w:r>
      <w:r w:rsidR="0034679E" w:rsidRPr="009F039C">
        <w:rPr>
          <w:lang w:val="en-GB"/>
        </w:rPr>
        <w:t>,</w:t>
      </w:r>
      <w:r w:rsidR="0022371C" w:rsidRPr="009F039C">
        <w:rPr>
          <w:lang w:val="en-GB"/>
        </w:rPr>
        <w:t xml:space="preserve"> Paragi</w:t>
      </w:r>
      <w:r w:rsidR="0034679E" w:rsidRPr="009F039C">
        <w:rPr>
          <w:lang w:val="en-GB"/>
        </w:rPr>
        <w:t>,</w:t>
      </w:r>
      <w:r w:rsidR="0022371C" w:rsidRPr="009F039C">
        <w:rPr>
          <w:lang w:val="en-GB"/>
        </w:rPr>
        <w:t xml:space="preserve"> 2010). Lancaster (2007: 19) argues that aid fragmentation in government equals weak development purpose in government aid programmes. The OECD</w:t>
      </w:r>
      <w:r w:rsidR="0034679E" w:rsidRPr="009F039C">
        <w:rPr>
          <w:lang w:val="en-GB"/>
        </w:rPr>
        <w:t>’s</w:t>
      </w:r>
      <w:r w:rsidR="0022371C" w:rsidRPr="009F039C">
        <w:rPr>
          <w:lang w:val="en-GB"/>
        </w:rPr>
        <w:t xml:space="preserve"> D</w:t>
      </w:r>
      <w:r w:rsidR="0034679E" w:rsidRPr="009F039C">
        <w:rPr>
          <w:lang w:val="en-GB"/>
        </w:rPr>
        <w:t xml:space="preserve">evelopment Assistance Committee (DAC), an organization responsible for coordinating the activities of foreign aid donors, </w:t>
      </w:r>
      <w:r w:rsidR="0022371C" w:rsidRPr="009F039C">
        <w:rPr>
          <w:lang w:val="en-GB"/>
        </w:rPr>
        <w:t>has acknowledged this and encourag</w:t>
      </w:r>
      <w:r w:rsidR="0034679E" w:rsidRPr="009F039C">
        <w:rPr>
          <w:lang w:val="en-GB"/>
        </w:rPr>
        <w:t>es</w:t>
      </w:r>
      <w:r w:rsidR="0022371C" w:rsidRPr="009F039C">
        <w:rPr>
          <w:lang w:val="en-GB"/>
        </w:rPr>
        <w:t xml:space="preserve"> donors to ‘rationalize aid administrations by placing all development-oriented work across government departments under a common strategic umbrella and increasing the coherence of country-level oversight of aid programmes’ (</w:t>
      </w:r>
      <w:proofErr w:type="spellStart"/>
      <w:r w:rsidR="0022371C" w:rsidRPr="009F039C">
        <w:rPr>
          <w:lang w:val="en-GB"/>
        </w:rPr>
        <w:t>Lumsgaarde</w:t>
      </w:r>
      <w:proofErr w:type="spellEnd"/>
      <w:r w:rsidR="0022371C" w:rsidRPr="009F039C">
        <w:rPr>
          <w:lang w:val="en-GB"/>
        </w:rPr>
        <w:t xml:space="preserve"> 2013: 3). Czech development cooperation underwent major restructuring between 2007 and 2011, which strengthened the role of the MFA </w:t>
      </w:r>
      <w:r w:rsidR="0034679E" w:rsidRPr="009F039C">
        <w:rPr>
          <w:lang w:val="en-GB"/>
        </w:rPr>
        <w:t>by</w:t>
      </w:r>
      <w:r w:rsidR="0022371C" w:rsidRPr="009F039C">
        <w:rPr>
          <w:lang w:val="en-GB"/>
        </w:rPr>
        <w:t xml:space="preserve"> centraliz</w:t>
      </w:r>
      <w:r w:rsidR="0034679E" w:rsidRPr="009F039C">
        <w:rPr>
          <w:lang w:val="en-GB"/>
        </w:rPr>
        <w:t>ing</w:t>
      </w:r>
      <w:r w:rsidR="0022371C" w:rsidRPr="009F039C">
        <w:rPr>
          <w:lang w:val="en-GB"/>
        </w:rPr>
        <w:t xml:space="preserve"> </w:t>
      </w:r>
      <w:r w:rsidR="0034679E" w:rsidRPr="009F039C">
        <w:rPr>
          <w:lang w:val="en-GB"/>
        </w:rPr>
        <w:t xml:space="preserve">the foreign </w:t>
      </w:r>
      <w:r w:rsidR="0022371C" w:rsidRPr="009F039C">
        <w:rPr>
          <w:lang w:val="en-GB"/>
        </w:rPr>
        <w:t xml:space="preserve">aid </w:t>
      </w:r>
      <w:r w:rsidR="0034679E" w:rsidRPr="009F039C">
        <w:rPr>
          <w:lang w:val="en-GB"/>
        </w:rPr>
        <w:t>budget under the ministry</w:t>
      </w:r>
      <w:r w:rsidR="0022371C" w:rsidRPr="009F039C">
        <w:rPr>
          <w:lang w:val="en-GB"/>
        </w:rPr>
        <w:t>. All implementing tasks were given to a new MFA agency, the Czech Development Agency (</w:t>
      </w:r>
      <w:proofErr w:type="spellStart"/>
      <w:r w:rsidR="0022371C" w:rsidRPr="009F039C">
        <w:rPr>
          <w:lang w:val="en-GB"/>
        </w:rPr>
        <w:t>C</w:t>
      </w:r>
      <w:r w:rsidR="0034679E" w:rsidRPr="009F039C">
        <w:rPr>
          <w:lang w:val="en-GB"/>
        </w:rPr>
        <w:t>z</w:t>
      </w:r>
      <w:r w:rsidR="0022371C" w:rsidRPr="009F039C">
        <w:rPr>
          <w:lang w:val="en-GB"/>
        </w:rPr>
        <w:t>DA</w:t>
      </w:r>
      <w:proofErr w:type="spellEnd"/>
      <w:r w:rsidR="0022371C" w:rsidRPr="009F039C">
        <w:rPr>
          <w:lang w:val="en-GB"/>
        </w:rPr>
        <w:t>). The law regulating the policy area (Act 151 of 10 April 2010) made poverty reduction a key priority</w:t>
      </w:r>
      <w:r w:rsidR="007F1327" w:rsidRPr="009F039C">
        <w:rPr>
          <w:lang w:val="en-GB"/>
        </w:rPr>
        <w:t xml:space="preserve">, and the MFA formulates regular medium-term strategies based on the law. </w:t>
      </w:r>
      <w:r w:rsidR="0022371C" w:rsidRPr="009F039C">
        <w:rPr>
          <w:lang w:val="en-GB"/>
        </w:rPr>
        <w:t>The new Czech system is seen by observers as more effective than the previous fragmented system (</w:t>
      </w:r>
      <w:proofErr w:type="spellStart"/>
      <w:r w:rsidR="0022371C" w:rsidRPr="009F039C">
        <w:rPr>
          <w:lang w:val="en-GB"/>
        </w:rPr>
        <w:t>Sládková</w:t>
      </w:r>
      <w:proofErr w:type="spellEnd"/>
      <w:r w:rsidR="00A45BAC">
        <w:rPr>
          <w:lang w:val="en-GB"/>
        </w:rPr>
        <w:t>,</w:t>
      </w:r>
      <w:r w:rsidR="0022371C" w:rsidRPr="009F039C">
        <w:rPr>
          <w:lang w:val="en-GB"/>
        </w:rPr>
        <w:t xml:space="preserve"> 2011). Hungarian development policy </w:t>
      </w:r>
      <w:r w:rsidR="000535D3" w:rsidRPr="009F039C">
        <w:rPr>
          <w:lang w:val="en-GB"/>
        </w:rPr>
        <w:t xml:space="preserve">on the other hand </w:t>
      </w:r>
      <w:r w:rsidR="0022371C" w:rsidRPr="009F039C">
        <w:rPr>
          <w:lang w:val="en-GB"/>
        </w:rPr>
        <w:t>did not undergo any such reform</w:t>
      </w:r>
      <w:r w:rsidR="007F1327" w:rsidRPr="009F039C">
        <w:rPr>
          <w:lang w:val="en-GB"/>
        </w:rPr>
        <w:t>: the fragmented system remains</w:t>
      </w:r>
      <w:r w:rsidR="0022371C" w:rsidRPr="009F039C">
        <w:rPr>
          <w:lang w:val="en-GB"/>
        </w:rPr>
        <w:t>, and as of mid-2014 there is no law regulating the policy area</w:t>
      </w:r>
      <w:r w:rsidR="004271B5" w:rsidRPr="009F039C">
        <w:rPr>
          <w:lang w:val="en-GB"/>
        </w:rPr>
        <w:t xml:space="preserve"> and no implementing agency</w:t>
      </w:r>
      <w:r w:rsidR="0022371C" w:rsidRPr="009F039C">
        <w:rPr>
          <w:lang w:val="en-GB"/>
        </w:rPr>
        <w:t xml:space="preserve">. Hungary’s first </w:t>
      </w:r>
      <w:r w:rsidR="007F1327" w:rsidRPr="009F039C">
        <w:rPr>
          <w:lang w:val="en-GB"/>
        </w:rPr>
        <w:t xml:space="preserve">foreign </w:t>
      </w:r>
      <w:r w:rsidR="0022371C" w:rsidRPr="009F039C">
        <w:rPr>
          <w:lang w:val="en-GB"/>
        </w:rPr>
        <w:t>aid strategy was only accepted by the government in early 2014</w:t>
      </w:r>
      <w:r w:rsidR="000535D3" w:rsidRPr="009F039C">
        <w:rPr>
          <w:lang w:val="en-GB"/>
        </w:rPr>
        <w:t>.</w:t>
      </w:r>
    </w:p>
    <w:p w:rsidR="00AF36B8" w:rsidRPr="009F039C" w:rsidRDefault="000535D3" w:rsidP="00CA4093">
      <w:pPr>
        <w:spacing w:after="120" w:line="360" w:lineRule="auto"/>
        <w:jc w:val="both"/>
        <w:rPr>
          <w:lang w:val="en-GB"/>
        </w:rPr>
      </w:pPr>
      <w:r w:rsidRPr="009F039C">
        <w:rPr>
          <w:lang w:val="en-GB"/>
        </w:rPr>
        <w:t>In terms of aid allocation, t</w:t>
      </w:r>
      <w:r w:rsidR="00AF36B8" w:rsidRPr="009F039C">
        <w:rPr>
          <w:lang w:val="en-GB"/>
        </w:rPr>
        <w:t xml:space="preserve">he Czech Republic is seen to place greater emphasis on providing aid to the poorest countries and </w:t>
      </w:r>
      <w:r w:rsidRPr="009F039C">
        <w:rPr>
          <w:lang w:val="en-GB"/>
        </w:rPr>
        <w:t xml:space="preserve">countries in </w:t>
      </w:r>
      <w:r w:rsidR="00AF36B8" w:rsidRPr="009F039C">
        <w:rPr>
          <w:lang w:val="en-GB"/>
        </w:rPr>
        <w:t xml:space="preserve">Sub-Saharan Africa, as advocated by </w:t>
      </w:r>
      <w:r w:rsidR="00127D59" w:rsidRPr="009F039C">
        <w:rPr>
          <w:lang w:val="en-GB"/>
        </w:rPr>
        <w:t>recommendations from the OECD DAC or the EU</w:t>
      </w:r>
      <w:r w:rsidR="00AF36B8" w:rsidRPr="009F039C">
        <w:rPr>
          <w:lang w:val="en-GB"/>
        </w:rPr>
        <w:t>.</w:t>
      </w:r>
      <w:r w:rsidR="00ED51C7" w:rsidRPr="009F039C">
        <w:rPr>
          <w:lang w:val="en-GB"/>
        </w:rPr>
        <w:t xml:space="preserve"> More than a third of Czech bilateral aid is targeted to Least Developed Countries</w:t>
      </w:r>
      <w:r w:rsidR="00127D59" w:rsidRPr="009F039C">
        <w:rPr>
          <w:lang w:val="en-GB"/>
        </w:rPr>
        <w:t xml:space="preserve"> (LDCs)</w:t>
      </w:r>
      <w:r w:rsidR="00ED51C7" w:rsidRPr="009F039C">
        <w:rPr>
          <w:lang w:val="en-GB"/>
        </w:rPr>
        <w:t>, while only a fourth of Hungary’s assistance reaches these countries (Table 1).</w:t>
      </w:r>
      <w:r w:rsidR="00AF36B8" w:rsidRPr="009F039C">
        <w:rPr>
          <w:lang w:val="en-GB"/>
        </w:rPr>
        <w:t xml:space="preserve"> </w:t>
      </w:r>
      <w:r w:rsidR="00ED51C7" w:rsidRPr="009F039C">
        <w:rPr>
          <w:lang w:val="en-GB"/>
        </w:rPr>
        <w:t>Czech aid to Africa has shown a slow but steady increasing trend in the past decade</w:t>
      </w:r>
      <w:r w:rsidR="00127D59" w:rsidRPr="009F039C">
        <w:rPr>
          <w:lang w:val="en-GB"/>
        </w:rPr>
        <w:t xml:space="preserve"> (see OECD 2014)</w:t>
      </w:r>
      <w:r w:rsidR="00ED51C7" w:rsidRPr="009F039C">
        <w:rPr>
          <w:lang w:val="en-GB"/>
        </w:rPr>
        <w:t xml:space="preserve">, while Hungary’s has not. </w:t>
      </w:r>
      <w:r w:rsidR="00CA4093" w:rsidRPr="009F039C">
        <w:rPr>
          <w:lang w:val="en-GB"/>
        </w:rPr>
        <w:t>Hungary seems to favour giving aid to European countries, especially Ukraine and Serbia where supporting Hungarian minorities is seen as an important goal.</w:t>
      </w:r>
    </w:p>
    <w:p w:rsidR="00CA4093" w:rsidRPr="009F039C" w:rsidRDefault="00CA4093" w:rsidP="008158F1">
      <w:pPr>
        <w:spacing w:after="120" w:line="360" w:lineRule="auto"/>
        <w:rPr>
          <w:lang w:val="en-GB"/>
        </w:rPr>
      </w:pPr>
    </w:p>
    <w:p w:rsidR="00AF36B8" w:rsidRPr="009F039C" w:rsidRDefault="00AF36B8" w:rsidP="008158F1">
      <w:pPr>
        <w:spacing w:after="120" w:line="360" w:lineRule="auto"/>
        <w:jc w:val="center"/>
        <w:rPr>
          <w:bCs/>
          <w:lang w:val="en-GB"/>
        </w:rPr>
      </w:pPr>
      <w:proofErr w:type="gramStart"/>
      <w:r w:rsidRPr="009F039C">
        <w:rPr>
          <w:bCs/>
          <w:lang w:val="en-GB"/>
        </w:rPr>
        <w:t>Table 1.</w:t>
      </w:r>
      <w:proofErr w:type="gramEnd"/>
      <w:r w:rsidRPr="009F039C">
        <w:rPr>
          <w:bCs/>
          <w:lang w:val="en-GB"/>
        </w:rPr>
        <w:t xml:space="preserve"> </w:t>
      </w:r>
      <w:r w:rsidR="00ED51C7" w:rsidRPr="009F039C">
        <w:rPr>
          <w:bCs/>
          <w:lang w:val="en-GB"/>
        </w:rPr>
        <w:t>Czech and Hungarian a</w:t>
      </w:r>
      <w:r w:rsidRPr="009F039C">
        <w:rPr>
          <w:bCs/>
          <w:lang w:val="en-GB"/>
        </w:rPr>
        <w:t xml:space="preserve">id allocation </w:t>
      </w:r>
      <w:r w:rsidR="00ED51C7" w:rsidRPr="009F039C">
        <w:rPr>
          <w:bCs/>
          <w:lang w:val="en-GB"/>
        </w:rPr>
        <w:t>by region</w:t>
      </w:r>
      <w:r w:rsidRPr="009F039C">
        <w:rPr>
          <w:bCs/>
          <w:lang w:val="en-GB"/>
        </w:rPr>
        <w:t>, 2008-2012, in percentages</w:t>
      </w:r>
      <w:r w:rsidR="00127D59" w:rsidRPr="009F039C">
        <w:rPr>
          <w:bCs/>
          <w:lang w:val="en-GB"/>
        </w:rPr>
        <w:t xml:space="preserve"> of total bilateral aid</w:t>
      </w:r>
    </w:p>
    <w:tbl>
      <w:tblPr>
        <w:tblW w:w="5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64"/>
        <w:gridCol w:w="1414"/>
        <w:gridCol w:w="1134"/>
      </w:tblGrid>
      <w:tr w:rsidR="00AF36B8" w:rsidRPr="009F039C" w:rsidTr="00AF36B8">
        <w:trPr>
          <w:trHeight w:val="255"/>
          <w:jc w:val="center"/>
        </w:trPr>
        <w:tc>
          <w:tcPr>
            <w:tcW w:w="2564" w:type="dxa"/>
            <w:noWrap/>
            <w:vAlign w:val="bottom"/>
          </w:tcPr>
          <w:p w:rsidR="00AF36B8" w:rsidRPr="009F039C" w:rsidRDefault="00AF36B8" w:rsidP="00CA4093">
            <w:pPr>
              <w:spacing w:after="120"/>
              <w:rPr>
                <w:rFonts w:cs="Times New Roman"/>
                <w:sz w:val="20"/>
                <w:szCs w:val="20"/>
                <w:lang w:val="en-GB" w:eastAsia="hu-HU"/>
              </w:rPr>
            </w:pPr>
          </w:p>
        </w:tc>
        <w:tc>
          <w:tcPr>
            <w:tcW w:w="1414" w:type="dxa"/>
            <w:noWrap/>
            <w:vAlign w:val="center"/>
          </w:tcPr>
          <w:p w:rsidR="00AF36B8" w:rsidRPr="009F039C" w:rsidRDefault="00AF36B8" w:rsidP="00CA4093">
            <w:pPr>
              <w:spacing w:after="120"/>
              <w:jc w:val="center"/>
              <w:rPr>
                <w:rFonts w:cs="Times New Roman"/>
                <w:b/>
                <w:sz w:val="20"/>
                <w:szCs w:val="20"/>
                <w:lang w:val="en-GB" w:eastAsia="hu-HU"/>
              </w:rPr>
            </w:pPr>
            <w:r w:rsidRPr="009F039C">
              <w:rPr>
                <w:rFonts w:cs="Times New Roman"/>
                <w:b/>
                <w:sz w:val="20"/>
                <w:szCs w:val="20"/>
                <w:lang w:val="en-GB" w:eastAsia="hu-HU"/>
              </w:rPr>
              <w:t>Czech Republic</w:t>
            </w:r>
          </w:p>
        </w:tc>
        <w:tc>
          <w:tcPr>
            <w:tcW w:w="1134" w:type="dxa"/>
            <w:noWrap/>
            <w:vAlign w:val="center"/>
          </w:tcPr>
          <w:p w:rsidR="00AF36B8" w:rsidRPr="009F039C" w:rsidRDefault="00AF36B8" w:rsidP="00CA4093">
            <w:pPr>
              <w:spacing w:after="120"/>
              <w:jc w:val="center"/>
              <w:rPr>
                <w:rFonts w:cs="Times New Roman"/>
                <w:b/>
                <w:sz w:val="20"/>
                <w:szCs w:val="20"/>
                <w:lang w:val="en-GB" w:eastAsia="hu-HU"/>
              </w:rPr>
            </w:pPr>
            <w:r w:rsidRPr="009F039C">
              <w:rPr>
                <w:rFonts w:cs="Times New Roman"/>
                <w:b/>
                <w:sz w:val="20"/>
                <w:szCs w:val="20"/>
                <w:lang w:val="en-GB" w:eastAsia="hu-HU"/>
              </w:rPr>
              <w:t>Hungary</w:t>
            </w:r>
          </w:p>
        </w:tc>
      </w:tr>
      <w:tr w:rsidR="00AF36B8" w:rsidRPr="009F039C" w:rsidTr="00AF36B8">
        <w:trPr>
          <w:trHeight w:val="255"/>
          <w:jc w:val="center"/>
        </w:trPr>
        <w:tc>
          <w:tcPr>
            <w:tcW w:w="2564" w:type="dxa"/>
            <w:noWrap/>
            <w:vAlign w:val="bottom"/>
          </w:tcPr>
          <w:p w:rsidR="00AF36B8" w:rsidRPr="009F039C" w:rsidRDefault="00AF36B8" w:rsidP="00CA4093">
            <w:pPr>
              <w:spacing w:after="120"/>
              <w:rPr>
                <w:rFonts w:cs="Times New Roman"/>
                <w:sz w:val="20"/>
                <w:szCs w:val="20"/>
                <w:lang w:val="en-GB" w:eastAsia="hu-HU"/>
              </w:rPr>
            </w:pPr>
            <w:r w:rsidRPr="009F039C">
              <w:rPr>
                <w:rFonts w:cs="Times New Roman"/>
                <w:sz w:val="20"/>
                <w:szCs w:val="20"/>
                <w:lang w:val="en-GB" w:eastAsia="hu-HU"/>
              </w:rPr>
              <w:t>Europe</w:t>
            </w:r>
          </w:p>
        </w:tc>
        <w:tc>
          <w:tcPr>
            <w:tcW w:w="141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25.4</w:t>
            </w:r>
          </w:p>
        </w:tc>
        <w:tc>
          <w:tcPr>
            <w:tcW w:w="113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37.6</w:t>
            </w:r>
          </w:p>
        </w:tc>
      </w:tr>
      <w:tr w:rsidR="00AF36B8" w:rsidRPr="009F039C" w:rsidTr="00AF36B8">
        <w:trPr>
          <w:trHeight w:val="257"/>
          <w:jc w:val="center"/>
        </w:trPr>
        <w:tc>
          <w:tcPr>
            <w:tcW w:w="2564" w:type="dxa"/>
            <w:noWrap/>
            <w:vAlign w:val="bottom"/>
          </w:tcPr>
          <w:p w:rsidR="00AF36B8" w:rsidRPr="009F039C" w:rsidRDefault="00AF36B8" w:rsidP="00CA4093">
            <w:pPr>
              <w:spacing w:after="120"/>
              <w:rPr>
                <w:rFonts w:cs="Times New Roman"/>
                <w:sz w:val="20"/>
                <w:szCs w:val="20"/>
                <w:lang w:val="en-GB" w:eastAsia="hu-HU"/>
              </w:rPr>
            </w:pPr>
            <w:r w:rsidRPr="009F039C">
              <w:rPr>
                <w:rFonts w:cs="Times New Roman"/>
                <w:sz w:val="20"/>
                <w:szCs w:val="20"/>
                <w:lang w:val="en-GB" w:eastAsia="hu-HU"/>
              </w:rPr>
              <w:t>North Africa and Middle East</w:t>
            </w:r>
          </w:p>
        </w:tc>
        <w:tc>
          <w:tcPr>
            <w:tcW w:w="141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6.3</w:t>
            </w:r>
          </w:p>
        </w:tc>
        <w:tc>
          <w:tcPr>
            <w:tcW w:w="113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0.7</w:t>
            </w:r>
          </w:p>
        </w:tc>
      </w:tr>
      <w:tr w:rsidR="00AF36B8" w:rsidRPr="009F039C" w:rsidTr="00AF36B8">
        <w:trPr>
          <w:trHeight w:val="275"/>
          <w:jc w:val="center"/>
        </w:trPr>
        <w:tc>
          <w:tcPr>
            <w:tcW w:w="2564" w:type="dxa"/>
            <w:noWrap/>
            <w:vAlign w:val="bottom"/>
          </w:tcPr>
          <w:p w:rsidR="00AF36B8" w:rsidRPr="009F039C" w:rsidRDefault="00AF36B8" w:rsidP="00CA4093">
            <w:pPr>
              <w:spacing w:after="120"/>
              <w:rPr>
                <w:rFonts w:cs="Times New Roman"/>
                <w:sz w:val="20"/>
                <w:szCs w:val="20"/>
                <w:lang w:val="en-GB" w:eastAsia="hu-HU"/>
              </w:rPr>
            </w:pPr>
            <w:r w:rsidRPr="009F039C">
              <w:rPr>
                <w:rFonts w:cs="Times New Roman"/>
                <w:sz w:val="20"/>
                <w:szCs w:val="20"/>
                <w:lang w:val="en-GB" w:eastAsia="hu-HU"/>
              </w:rPr>
              <w:t>Sub-Saharan Africa</w:t>
            </w:r>
          </w:p>
        </w:tc>
        <w:tc>
          <w:tcPr>
            <w:tcW w:w="141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9.5</w:t>
            </w:r>
          </w:p>
        </w:tc>
        <w:tc>
          <w:tcPr>
            <w:tcW w:w="113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2.1</w:t>
            </w:r>
          </w:p>
        </w:tc>
      </w:tr>
      <w:tr w:rsidR="00AF36B8" w:rsidRPr="009F039C" w:rsidTr="00AF36B8">
        <w:trPr>
          <w:trHeight w:val="255"/>
          <w:jc w:val="center"/>
        </w:trPr>
        <w:tc>
          <w:tcPr>
            <w:tcW w:w="2564" w:type="dxa"/>
            <w:noWrap/>
            <w:vAlign w:val="bottom"/>
          </w:tcPr>
          <w:p w:rsidR="00AF36B8" w:rsidRPr="009F039C" w:rsidRDefault="00AF36B8" w:rsidP="00CA4093">
            <w:pPr>
              <w:spacing w:after="120"/>
              <w:rPr>
                <w:rFonts w:cs="Times New Roman"/>
                <w:sz w:val="20"/>
                <w:szCs w:val="20"/>
                <w:lang w:val="en-GB" w:eastAsia="hu-HU"/>
              </w:rPr>
            </w:pPr>
            <w:r w:rsidRPr="009F039C">
              <w:rPr>
                <w:rFonts w:cs="Times New Roman"/>
                <w:sz w:val="20"/>
                <w:szCs w:val="20"/>
                <w:lang w:val="en-GB" w:eastAsia="hu-HU"/>
              </w:rPr>
              <w:t>America</w:t>
            </w:r>
          </w:p>
        </w:tc>
        <w:tc>
          <w:tcPr>
            <w:tcW w:w="141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3.9</w:t>
            </w:r>
          </w:p>
        </w:tc>
        <w:tc>
          <w:tcPr>
            <w:tcW w:w="113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0.8</w:t>
            </w:r>
          </w:p>
        </w:tc>
      </w:tr>
      <w:tr w:rsidR="00AF36B8" w:rsidRPr="009F039C" w:rsidTr="00AF36B8">
        <w:trPr>
          <w:trHeight w:val="283"/>
          <w:jc w:val="center"/>
        </w:trPr>
        <w:tc>
          <w:tcPr>
            <w:tcW w:w="2564" w:type="dxa"/>
            <w:noWrap/>
            <w:vAlign w:val="bottom"/>
          </w:tcPr>
          <w:p w:rsidR="00AF36B8" w:rsidRPr="009F039C" w:rsidRDefault="00AF36B8" w:rsidP="00CA4093">
            <w:pPr>
              <w:spacing w:after="120"/>
              <w:rPr>
                <w:rFonts w:cs="Times New Roman"/>
                <w:sz w:val="20"/>
                <w:szCs w:val="20"/>
                <w:lang w:val="en-GB" w:eastAsia="hu-HU"/>
              </w:rPr>
            </w:pPr>
            <w:r w:rsidRPr="009F039C">
              <w:rPr>
                <w:rFonts w:cs="Times New Roman"/>
                <w:sz w:val="20"/>
                <w:szCs w:val="20"/>
                <w:lang w:val="en-GB" w:eastAsia="hu-HU"/>
              </w:rPr>
              <w:t>East Asia and Oceania</w:t>
            </w:r>
          </w:p>
        </w:tc>
        <w:tc>
          <w:tcPr>
            <w:tcW w:w="141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11.8</w:t>
            </w:r>
          </w:p>
        </w:tc>
        <w:tc>
          <w:tcPr>
            <w:tcW w:w="113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7.4</w:t>
            </w:r>
          </w:p>
        </w:tc>
      </w:tr>
      <w:tr w:rsidR="00AF36B8" w:rsidRPr="009F039C" w:rsidTr="00AF36B8">
        <w:trPr>
          <w:trHeight w:val="287"/>
          <w:jc w:val="center"/>
        </w:trPr>
        <w:tc>
          <w:tcPr>
            <w:tcW w:w="2564" w:type="dxa"/>
            <w:noWrap/>
            <w:vAlign w:val="bottom"/>
          </w:tcPr>
          <w:p w:rsidR="00AF36B8" w:rsidRPr="009F039C" w:rsidRDefault="00AF36B8" w:rsidP="00CA4093">
            <w:pPr>
              <w:spacing w:after="120"/>
              <w:rPr>
                <w:rFonts w:cs="Times New Roman"/>
                <w:sz w:val="20"/>
                <w:szCs w:val="20"/>
                <w:lang w:val="en-GB" w:eastAsia="hu-HU"/>
              </w:rPr>
            </w:pPr>
            <w:r w:rsidRPr="009F039C">
              <w:rPr>
                <w:rFonts w:cs="Times New Roman"/>
                <w:sz w:val="20"/>
                <w:szCs w:val="20"/>
                <w:lang w:val="en-GB" w:eastAsia="hu-HU"/>
              </w:rPr>
              <w:t>South &amp; Central Asia</w:t>
            </w:r>
          </w:p>
        </w:tc>
        <w:tc>
          <w:tcPr>
            <w:tcW w:w="141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33.2</w:t>
            </w:r>
          </w:p>
        </w:tc>
        <w:tc>
          <w:tcPr>
            <w:tcW w:w="113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24.0</w:t>
            </w:r>
          </w:p>
        </w:tc>
      </w:tr>
      <w:tr w:rsidR="00AF36B8" w:rsidRPr="009F039C" w:rsidTr="00AF36B8">
        <w:trPr>
          <w:trHeight w:val="255"/>
          <w:jc w:val="center"/>
        </w:trPr>
        <w:tc>
          <w:tcPr>
            <w:tcW w:w="2564" w:type="dxa"/>
            <w:noWrap/>
            <w:vAlign w:val="bottom"/>
          </w:tcPr>
          <w:p w:rsidR="00AF36B8" w:rsidRPr="009F039C" w:rsidRDefault="00AF36B8" w:rsidP="00CA4093">
            <w:pPr>
              <w:spacing w:after="120"/>
              <w:rPr>
                <w:rFonts w:cs="Times New Roman"/>
                <w:sz w:val="20"/>
                <w:szCs w:val="20"/>
                <w:lang w:val="en-GB" w:eastAsia="hu-HU"/>
              </w:rPr>
            </w:pPr>
            <w:r w:rsidRPr="009F039C">
              <w:rPr>
                <w:rFonts w:cs="Times New Roman"/>
                <w:sz w:val="20"/>
                <w:szCs w:val="20"/>
                <w:lang w:val="en-GB" w:eastAsia="hu-HU"/>
              </w:rPr>
              <w:t>Unspecified</w:t>
            </w:r>
          </w:p>
        </w:tc>
        <w:tc>
          <w:tcPr>
            <w:tcW w:w="141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10.0</w:t>
            </w:r>
          </w:p>
        </w:tc>
        <w:tc>
          <w:tcPr>
            <w:tcW w:w="113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27.5</w:t>
            </w:r>
          </w:p>
        </w:tc>
      </w:tr>
      <w:tr w:rsidR="00AF36B8" w:rsidRPr="009F039C" w:rsidTr="00AF36B8">
        <w:trPr>
          <w:trHeight w:val="255"/>
          <w:jc w:val="center"/>
        </w:trPr>
        <w:tc>
          <w:tcPr>
            <w:tcW w:w="2564" w:type="dxa"/>
            <w:noWrap/>
            <w:vAlign w:val="bottom"/>
          </w:tcPr>
          <w:p w:rsidR="00AF36B8" w:rsidRPr="009F039C" w:rsidRDefault="00AF36B8" w:rsidP="00CA4093">
            <w:pPr>
              <w:spacing w:after="120"/>
              <w:rPr>
                <w:rFonts w:cs="Times New Roman"/>
                <w:sz w:val="20"/>
                <w:szCs w:val="20"/>
                <w:lang w:val="en-GB" w:eastAsia="hu-HU"/>
              </w:rPr>
            </w:pPr>
          </w:p>
        </w:tc>
        <w:tc>
          <w:tcPr>
            <w:tcW w:w="1414" w:type="dxa"/>
            <w:noWrap/>
            <w:tcMar>
              <w:right w:w="284" w:type="dxa"/>
            </w:tcMar>
            <w:vAlign w:val="bottom"/>
          </w:tcPr>
          <w:p w:rsidR="00AF36B8" w:rsidRPr="009F039C" w:rsidRDefault="00AF36B8" w:rsidP="00CA4093">
            <w:pPr>
              <w:spacing w:after="120"/>
              <w:rPr>
                <w:rFonts w:cs="Times New Roman"/>
                <w:sz w:val="20"/>
                <w:szCs w:val="20"/>
                <w:lang w:val="en-GB" w:eastAsia="hu-HU"/>
              </w:rPr>
            </w:pPr>
          </w:p>
        </w:tc>
        <w:tc>
          <w:tcPr>
            <w:tcW w:w="1134" w:type="dxa"/>
            <w:noWrap/>
            <w:tcMar>
              <w:right w:w="284" w:type="dxa"/>
            </w:tcMar>
            <w:vAlign w:val="bottom"/>
          </w:tcPr>
          <w:p w:rsidR="00AF36B8" w:rsidRPr="009F039C" w:rsidRDefault="00AF36B8" w:rsidP="00CA4093">
            <w:pPr>
              <w:spacing w:after="120"/>
              <w:rPr>
                <w:rFonts w:cs="Times New Roman"/>
                <w:sz w:val="20"/>
                <w:szCs w:val="20"/>
                <w:lang w:val="en-GB" w:eastAsia="hu-HU"/>
              </w:rPr>
            </w:pPr>
          </w:p>
        </w:tc>
      </w:tr>
      <w:tr w:rsidR="00AF36B8" w:rsidRPr="009F039C" w:rsidTr="00AF36B8">
        <w:trPr>
          <w:trHeight w:val="255"/>
          <w:jc w:val="center"/>
        </w:trPr>
        <w:tc>
          <w:tcPr>
            <w:tcW w:w="2564" w:type="dxa"/>
            <w:noWrap/>
            <w:vAlign w:val="bottom"/>
          </w:tcPr>
          <w:p w:rsidR="00AF36B8" w:rsidRPr="009F039C" w:rsidRDefault="00AF36B8" w:rsidP="00CA4093">
            <w:pPr>
              <w:spacing w:after="120"/>
              <w:rPr>
                <w:rFonts w:cs="Times New Roman"/>
                <w:sz w:val="20"/>
                <w:szCs w:val="20"/>
                <w:lang w:val="en-GB" w:eastAsia="hu-HU"/>
              </w:rPr>
            </w:pPr>
            <w:r w:rsidRPr="009F039C">
              <w:rPr>
                <w:rFonts w:cs="Times New Roman"/>
                <w:sz w:val="20"/>
                <w:szCs w:val="20"/>
                <w:lang w:val="en-GB" w:eastAsia="hu-HU"/>
              </w:rPr>
              <w:t>Memo: LDCs</w:t>
            </w:r>
          </w:p>
        </w:tc>
        <w:tc>
          <w:tcPr>
            <w:tcW w:w="141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35.8</w:t>
            </w:r>
          </w:p>
        </w:tc>
        <w:tc>
          <w:tcPr>
            <w:tcW w:w="1134" w:type="dxa"/>
            <w:noWrap/>
            <w:tcMar>
              <w:right w:w="284" w:type="dxa"/>
            </w:tcMar>
            <w:vAlign w:val="bottom"/>
          </w:tcPr>
          <w:p w:rsidR="00AF36B8" w:rsidRPr="009F039C" w:rsidRDefault="00AF36B8" w:rsidP="00CA4093">
            <w:pPr>
              <w:spacing w:after="120"/>
              <w:jc w:val="right"/>
              <w:rPr>
                <w:rFonts w:cs="Times New Roman"/>
                <w:sz w:val="20"/>
                <w:szCs w:val="20"/>
                <w:lang w:val="en-GB" w:eastAsia="hu-HU"/>
              </w:rPr>
            </w:pPr>
            <w:r w:rsidRPr="009F039C">
              <w:rPr>
                <w:rFonts w:cs="Times New Roman"/>
                <w:sz w:val="20"/>
                <w:szCs w:val="20"/>
                <w:lang w:val="en-GB" w:eastAsia="hu-HU"/>
              </w:rPr>
              <w:t>24.7</w:t>
            </w:r>
          </w:p>
        </w:tc>
      </w:tr>
    </w:tbl>
    <w:p w:rsidR="00AF36B8" w:rsidRPr="009F039C" w:rsidRDefault="00AF36B8" w:rsidP="004271B5">
      <w:pPr>
        <w:spacing w:before="120" w:after="120" w:line="360" w:lineRule="auto"/>
        <w:jc w:val="center"/>
        <w:rPr>
          <w:sz w:val="20"/>
          <w:szCs w:val="20"/>
          <w:lang w:val="en-GB"/>
        </w:rPr>
      </w:pPr>
      <w:r w:rsidRPr="009F039C">
        <w:rPr>
          <w:sz w:val="20"/>
          <w:szCs w:val="20"/>
          <w:lang w:val="en-GB"/>
        </w:rPr>
        <w:t>Source: Calculations of the authors based on OECD (2014).</w:t>
      </w:r>
    </w:p>
    <w:p w:rsidR="00CA4093" w:rsidRPr="009F039C" w:rsidRDefault="00CA4093" w:rsidP="008158F1">
      <w:pPr>
        <w:spacing w:after="120" w:line="360" w:lineRule="auto"/>
        <w:rPr>
          <w:lang w:val="en-GB"/>
        </w:rPr>
      </w:pPr>
    </w:p>
    <w:p w:rsidR="005B6B1E" w:rsidRPr="00FA5A0E" w:rsidRDefault="005B6B1E" w:rsidP="00CA4093">
      <w:pPr>
        <w:spacing w:after="120" w:line="360" w:lineRule="auto"/>
        <w:jc w:val="both"/>
        <w:rPr>
          <w:bCs/>
          <w:lang w:val="en-GB"/>
        </w:rPr>
      </w:pPr>
      <w:r w:rsidRPr="009F039C">
        <w:rPr>
          <w:lang w:val="en-GB"/>
        </w:rPr>
        <w:t>Finally, in terms of transparency, t</w:t>
      </w:r>
      <w:r w:rsidRPr="009F039C">
        <w:rPr>
          <w:bCs/>
          <w:lang w:val="en-GB"/>
        </w:rPr>
        <w:t>he 2013 Aid Transparency Index ranks the Czech Republic 35</w:t>
      </w:r>
      <w:r w:rsidRPr="009F039C">
        <w:rPr>
          <w:bCs/>
          <w:vertAlign w:val="superscript"/>
          <w:lang w:val="en-GB"/>
        </w:rPr>
        <w:t>th</w:t>
      </w:r>
      <w:r w:rsidRPr="009F039C">
        <w:rPr>
          <w:bCs/>
          <w:lang w:val="en-GB"/>
        </w:rPr>
        <w:t xml:space="preserve"> out of 67 donor countries and organizations, while Hungary seems to be one of the least transparent donors in the world, ranking at position 64 (Publish What You Fund 2013: 16-17). Czech Aid is actually more transparent than </w:t>
      </w:r>
      <w:r w:rsidR="00CA4093" w:rsidRPr="009F039C">
        <w:rPr>
          <w:bCs/>
          <w:lang w:val="en-GB"/>
        </w:rPr>
        <w:t>aid provided by</w:t>
      </w:r>
      <w:r w:rsidRPr="009F039C">
        <w:rPr>
          <w:bCs/>
          <w:lang w:val="en-GB"/>
        </w:rPr>
        <w:t xml:space="preserve"> Finland, Luxemburg, or the US State Department. The Czech Republic publishes rather detailed information on the </w:t>
      </w:r>
      <w:proofErr w:type="spellStart"/>
      <w:r w:rsidRPr="009F039C">
        <w:rPr>
          <w:bCs/>
          <w:lang w:val="en-GB"/>
        </w:rPr>
        <w:t>Cz</w:t>
      </w:r>
      <w:r w:rsidR="004271B5" w:rsidRPr="009F039C">
        <w:rPr>
          <w:bCs/>
          <w:lang w:val="en-GB"/>
        </w:rPr>
        <w:t>DA</w:t>
      </w:r>
      <w:r w:rsidRPr="009F039C">
        <w:rPr>
          <w:bCs/>
          <w:lang w:val="en-GB"/>
        </w:rPr>
        <w:t>’s</w:t>
      </w:r>
      <w:proofErr w:type="spellEnd"/>
      <w:r w:rsidRPr="009F039C">
        <w:rPr>
          <w:bCs/>
          <w:lang w:val="en-GB"/>
        </w:rPr>
        <w:t xml:space="preserve"> website, and the results of evaluation reports are also made public, some in English. It is almost impossible to find project level </w:t>
      </w:r>
      <w:r w:rsidRPr="00FA5A0E">
        <w:rPr>
          <w:bCs/>
          <w:lang w:val="en-GB"/>
        </w:rPr>
        <w:t xml:space="preserve">data in </w:t>
      </w:r>
      <w:r w:rsidR="00CA4093" w:rsidRPr="00FA5A0E">
        <w:rPr>
          <w:bCs/>
          <w:lang w:val="en-GB"/>
        </w:rPr>
        <w:t xml:space="preserve">the </w:t>
      </w:r>
      <w:r w:rsidRPr="00FA5A0E">
        <w:rPr>
          <w:bCs/>
          <w:lang w:val="en-GB"/>
        </w:rPr>
        <w:t xml:space="preserve">case of Hungary, and no evaluation reports </w:t>
      </w:r>
      <w:r w:rsidR="00CA4093" w:rsidRPr="00FA5A0E">
        <w:rPr>
          <w:bCs/>
          <w:lang w:val="en-GB"/>
        </w:rPr>
        <w:t xml:space="preserve">(if ever commissioned) </w:t>
      </w:r>
      <w:r w:rsidRPr="00FA5A0E">
        <w:rPr>
          <w:bCs/>
          <w:lang w:val="en-GB"/>
        </w:rPr>
        <w:t xml:space="preserve">are public. </w:t>
      </w:r>
    </w:p>
    <w:p w:rsidR="007A6EF8" w:rsidRPr="009F039C" w:rsidRDefault="00FD623F" w:rsidP="00FD623F">
      <w:pPr>
        <w:spacing w:after="120" w:line="360" w:lineRule="auto"/>
        <w:jc w:val="both"/>
        <w:rPr>
          <w:lang w:val="en-GB"/>
        </w:rPr>
      </w:pPr>
      <w:r w:rsidRPr="00FA5A0E">
        <w:rPr>
          <w:lang w:val="en-GB"/>
        </w:rPr>
        <w:t xml:space="preserve">Explanations for the diverging paths of the two countries in this policy field vary. Seeking international prestige </w:t>
      </w:r>
      <w:r w:rsidR="00FA5A0E" w:rsidRPr="00FA5A0E">
        <w:rPr>
          <w:lang w:val="en-GB"/>
        </w:rPr>
        <w:t>may have a</w:t>
      </w:r>
      <w:r w:rsidRPr="00FA5A0E">
        <w:rPr>
          <w:lang w:val="en-GB"/>
        </w:rPr>
        <w:t xml:space="preserve"> higher priority for the Czech government than the Hungarian government. </w:t>
      </w:r>
      <w:r w:rsidR="004271B5" w:rsidRPr="00FA5A0E">
        <w:rPr>
          <w:lang w:val="en-GB"/>
        </w:rPr>
        <w:t xml:space="preserve">Budget austerity after 2006 in Hungary, </w:t>
      </w:r>
      <w:r w:rsidRPr="00FA5A0E">
        <w:rPr>
          <w:lang w:val="en-GB"/>
        </w:rPr>
        <w:t xml:space="preserve">plus the </w:t>
      </w:r>
      <w:r w:rsidR="004271B5" w:rsidRPr="00FA5A0E">
        <w:rPr>
          <w:lang w:val="en-GB"/>
        </w:rPr>
        <w:t xml:space="preserve">fact that the 2008 crisis hit Hungary </w:t>
      </w:r>
      <w:r w:rsidRPr="00FA5A0E">
        <w:rPr>
          <w:lang w:val="en-GB"/>
        </w:rPr>
        <w:t xml:space="preserve">extremely strongly </w:t>
      </w:r>
      <w:r w:rsidR="004271B5" w:rsidRPr="00FA5A0E">
        <w:rPr>
          <w:lang w:val="en-GB"/>
        </w:rPr>
        <w:t xml:space="preserve">could also have been factors. </w:t>
      </w:r>
      <w:r w:rsidRPr="00FA5A0E">
        <w:rPr>
          <w:lang w:val="en-GB"/>
        </w:rPr>
        <w:t>However, we contend that d</w:t>
      </w:r>
      <w:r w:rsidR="00CA4093" w:rsidRPr="00FA5A0E">
        <w:rPr>
          <w:lang w:val="en-GB"/>
        </w:rPr>
        <w:t xml:space="preserve">ifferences between civil </w:t>
      </w:r>
      <w:proofErr w:type="gramStart"/>
      <w:r w:rsidR="00CA4093" w:rsidRPr="00FA5A0E">
        <w:rPr>
          <w:lang w:val="en-GB"/>
        </w:rPr>
        <w:t>society</w:t>
      </w:r>
      <w:proofErr w:type="gramEnd"/>
      <w:r w:rsidR="00CA4093" w:rsidRPr="00FA5A0E">
        <w:rPr>
          <w:lang w:val="en-GB"/>
        </w:rPr>
        <w:t xml:space="preserve"> in terms of influence on policy making can be </w:t>
      </w:r>
      <w:r w:rsidR="007A6EF8" w:rsidRPr="00FA5A0E">
        <w:rPr>
          <w:lang w:val="en-GB"/>
        </w:rPr>
        <w:t>a further potential explanation</w:t>
      </w:r>
      <w:r w:rsidR="00CA4093" w:rsidRPr="00FA5A0E">
        <w:rPr>
          <w:lang w:val="en-GB"/>
        </w:rPr>
        <w:t xml:space="preserve">. </w:t>
      </w:r>
      <w:r w:rsidR="00525B34" w:rsidRPr="00FA5A0E">
        <w:rPr>
          <w:lang w:val="en-GB"/>
        </w:rPr>
        <w:t>As discussed, we dot attempt to u</w:t>
      </w:r>
      <w:r w:rsidR="00CA4093" w:rsidRPr="00FA5A0E">
        <w:rPr>
          <w:lang w:val="en-GB"/>
        </w:rPr>
        <w:t>ntang</w:t>
      </w:r>
      <w:r w:rsidR="00525B34" w:rsidRPr="00FA5A0E">
        <w:rPr>
          <w:lang w:val="en-GB"/>
        </w:rPr>
        <w:t>le</w:t>
      </w:r>
      <w:r w:rsidR="00CA4093" w:rsidRPr="00FA5A0E">
        <w:rPr>
          <w:lang w:val="en-GB"/>
        </w:rPr>
        <w:t xml:space="preserve"> the partial effect of civil society </w:t>
      </w:r>
      <w:r w:rsidR="007A6EF8" w:rsidRPr="00FA5A0E">
        <w:rPr>
          <w:lang w:val="en-GB"/>
        </w:rPr>
        <w:t xml:space="preserve">pressure </w:t>
      </w:r>
      <w:r w:rsidR="00CA4093" w:rsidRPr="00FA5A0E">
        <w:rPr>
          <w:lang w:val="en-GB"/>
        </w:rPr>
        <w:t xml:space="preserve">from </w:t>
      </w:r>
      <w:r w:rsidR="007A6EF8" w:rsidRPr="00FA5A0E">
        <w:rPr>
          <w:lang w:val="en-GB"/>
        </w:rPr>
        <w:t xml:space="preserve">the </w:t>
      </w:r>
      <w:r w:rsidR="00CA4093" w:rsidRPr="00FA5A0E">
        <w:rPr>
          <w:lang w:val="en-GB"/>
        </w:rPr>
        <w:t xml:space="preserve">other </w:t>
      </w:r>
      <w:r w:rsidR="007A6EF8" w:rsidRPr="00FA5A0E">
        <w:rPr>
          <w:lang w:val="en-GB"/>
        </w:rPr>
        <w:t xml:space="preserve">potential </w:t>
      </w:r>
      <w:r w:rsidR="00FA5A0E" w:rsidRPr="00FA5A0E">
        <w:rPr>
          <w:lang w:val="en-GB"/>
        </w:rPr>
        <w:t xml:space="preserve">explanatory </w:t>
      </w:r>
      <w:r w:rsidR="00CA4093" w:rsidRPr="00FA5A0E">
        <w:rPr>
          <w:lang w:val="en-GB"/>
        </w:rPr>
        <w:t>factors</w:t>
      </w:r>
      <w:r w:rsidR="00525B34" w:rsidRPr="00FA5A0E">
        <w:rPr>
          <w:lang w:val="en-GB"/>
        </w:rPr>
        <w:t>. To understand the role NGDOs have played in forming international development policies in the two countries, the following section looks at the context in which CSOs and NGDOs especially have emerged from.</w:t>
      </w:r>
    </w:p>
    <w:p w:rsidR="007A6EF8" w:rsidRPr="009F039C" w:rsidRDefault="007A6EF8" w:rsidP="007A6EF8">
      <w:pPr>
        <w:spacing w:after="120" w:line="360" w:lineRule="auto"/>
        <w:rPr>
          <w:lang w:val="en-GB"/>
        </w:rPr>
      </w:pPr>
    </w:p>
    <w:p w:rsidR="007A6EF8" w:rsidRPr="009F039C" w:rsidRDefault="007A6EF8" w:rsidP="007A6EF8">
      <w:pPr>
        <w:spacing w:line="360" w:lineRule="auto"/>
        <w:rPr>
          <w:b/>
          <w:lang w:val="en-GB"/>
        </w:rPr>
      </w:pPr>
      <w:r w:rsidRPr="009F039C">
        <w:rPr>
          <w:b/>
          <w:lang w:val="en-GB"/>
        </w:rPr>
        <w:t xml:space="preserve">3. Civil </w:t>
      </w:r>
      <w:r w:rsidR="00525B34" w:rsidRPr="009F039C">
        <w:rPr>
          <w:b/>
          <w:lang w:val="en-GB"/>
        </w:rPr>
        <w:t>s</w:t>
      </w:r>
      <w:r w:rsidRPr="009F039C">
        <w:rPr>
          <w:b/>
          <w:lang w:val="en-GB"/>
        </w:rPr>
        <w:t xml:space="preserve">ociety, EU </w:t>
      </w:r>
      <w:r w:rsidR="00525B34" w:rsidRPr="009F039C">
        <w:rPr>
          <w:b/>
          <w:lang w:val="en-GB"/>
        </w:rPr>
        <w:t>a</w:t>
      </w:r>
      <w:r w:rsidRPr="009F039C">
        <w:rPr>
          <w:b/>
          <w:lang w:val="en-GB"/>
        </w:rPr>
        <w:t xml:space="preserve">ccession, and the emergence of development and humanitarian NGOs </w:t>
      </w:r>
    </w:p>
    <w:p w:rsidR="007A6EF8" w:rsidRPr="009F039C" w:rsidRDefault="004072F8" w:rsidP="007A6EF8">
      <w:pPr>
        <w:spacing w:line="360" w:lineRule="auto"/>
        <w:jc w:val="both"/>
        <w:rPr>
          <w:lang w:val="en-GB"/>
        </w:rPr>
      </w:pPr>
      <w:r>
        <w:rPr>
          <w:lang w:val="en-GB"/>
        </w:rPr>
        <w:t>EU a</w:t>
      </w:r>
      <w:r w:rsidR="007A6EF8" w:rsidRPr="009F039C">
        <w:rPr>
          <w:lang w:val="en-GB"/>
        </w:rPr>
        <w:t xml:space="preserve">ccession has had direct and indirect impacts on CSOs in </w:t>
      </w:r>
      <w:r w:rsidR="00525B34" w:rsidRPr="009F039C">
        <w:rPr>
          <w:lang w:val="en-GB"/>
        </w:rPr>
        <w:t>ECE</w:t>
      </w:r>
      <w:r w:rsidR="007A6EF8" w:rsidRPr="009F039C">
        <w:rPr>
          <w:lang w:val="en-GB"/>
        </w:rPr>
        <w:t xml:space="preserve">. Direct effects mainly relate to the new possibilities that have opened up for CSOs at the European level. Accession had made </w:t>
      </w:r>
      <w:r>
        <w:rPr>
          <w:lang w:val="en-GB"/>
        </w:rPr>
        <w:t>ECE</w:t>
      </w:r>
      <w:r w:rsidR="007A6EF8" w:rsidRPr="009F039C">
        <w:rPr>
          <w:lang w:val="en-GB"/>
        </w:rPr>
        <w:t xml:space="preserve"> CSOs </w:t>
      </w:r>
      <w:r w:rsidR="007A6EF8" w:rsidRPr="009F039C">
        <w:rPr>
          <w:lang w:val="en-GB"/>
        </w:rPr>
        <w:lastRenderedPageBreak/>
        <w:t>eligible to apply for project grants from the EU institutions directly. It also opened possibilities for them to interact and become more involved in the work of EU-wide advocacy groups and epistemic communities, exposing them to a wide range of learning dynamics and allowing them not only to master new skills and techniques, but also socializing them and raising their domestic profile (</w:t>
      </w:r>
      <w:proofErr w:type="spellStart"/>
      <w:r w:rsidR="007A6EF8" w:rsidRPr="009F039C">
        <w:rPr>
          <w:lang w:val="en-GB"/>
        </w:rPr>
        <w:t>Börzel</w:t>
      </w:r>
      <w:proofErr w:type="spellEnd"/>
      <w:r w:rsidR="007A6EF8" w:rsidRPr="009F039C">
        <w:rPr>
          <w:lang w:val="en-GB"/>
        </w:rPr>
        <w:t xml:space="preserve">, 2010, p. 3; </w:t>
      </w:r>
      <w:proofErr w:type="spellStart"/>
      <w:r w:rsidR="007A6EF8" w:rsidRPr="009F039C">
        <w:rPr>
          <w:lang w:val="en-GB"/>
        </w:rPr>
        <w:t>Kutter</w:t>
      </w:r>
      <w:proofErr w:type="spellEnd"/>
      <w:r w:rsidR="007A6EF8" w:rsidRPr="009F039C">
        <w:rPr>
          <w:lang w:val="en-GB"/>
        </w:rPr>
        <w:t xml:space="preserve"> and </w:t>
      </w:r>
      <w:proofErr w:type="spellStart"/>
      <w:r w:rsidR="007A6EF8" w:rsidRPr="009F039C">
        <w:rPr>
          <w:lang w:val="en-GB"/>
        </w:rPr>
        <w:t>Trappmann</w:t>
      </w:r>
      <w:proofErr w:type="spellEnd"/>
      <w:r w:rsidR="007A6EF8" w:rsidRPr="009F039C">
        <w:rPr>
          <w:lang w:val="en-GB"/>
        </w:rPr>
        <w:t>, 2010). Indirect impacts on CSOs on the other hand come from the fact that due to EU membership</w:t>
      </w:r>
      <w:r>
        <w:rPr>
          <w:lang w:val="en-GB"/>
        </w:rPr>
        <w:t xml:space="preserve"> and </w:t>
      </w:r>
      <w:r w:rsidRPr="009F039C">
        <w:rPr>
          <w:lang w:val="en-GB"/>
        </w:rPr>
        <w:t xml:space="preserve">the adoption of the </w:t>
      </w:r>
      <w:proofErr w:type="spellStart"/>
      <w:r w:rsidRPr="009F039C">
        <w:rPr>
          <w:i/>
          <w:lang w:val="en-GB"/>
        </w:rPr>
        <w:t>acquis</w:t>
      </w:r>
      <w:proofErr w:type="spellEnd"/>
      <w:r w:rsidR="007A6EF8" w:rsidRPr="009F039C">
        <w:rPr>
          <w:lang w:val="en-GB"/>
        </w:rPr>
        <w:t xml:space="preserve">, national legislation and policy making processes have changed, and thus so has the context in which CSOs work. In most policy areas, the EU has pushed the </w:t>
      </w:r>
      <w:r>
        <w:rPr>
          <w:lang w:val="en-GB"/>
        </w:rPr>
        <w:t>ECE states</w:t>
      </w:r>
      <w:r w:rsidR="007A6EF8" w:rsidRPr="009F039C">
        <w:rPr>
          <w:lang w:val="en-GB"/>
        </w:rPr>
        <w:t xml:space="preserve"> to involve civil society in policy making, which means making these processes more transparent and open, and also instituting regular consultations with key CSOs. In addition, CSOs have become more professional in dealing with the state (</w:t>
      </w:r>
      <w:proofErr w:type="spellStart"/>
      <w:r w:rsidR="007A6EF8" w:rsidRPr="009F039C">
        <w:rPr>
          <w:lang w:val="en-GB"/>
        </w:rPr>
        <w:t>Petrova</w:t>
      </w:r>
      <w:proofErr w:type="spellEnd"/>
      <w:r w:rsidR="007A6EF8" w:rsidRPr="009F039C">
        <w:rPr>
          <w:lang w:val="en-GB"/>
        </w:rPr>
        <w:t xml:space="preserve"> and </w:t>
      </w:r>
      <w:proofErr w:type="spellStart"/>
      <w:r w:rsidR="007A6EF8" w:rsidRPr="009F039C">
        <w:rPr>
          <w:lang w:val="en-GB"/>
        </w:rPr>
        <w:t>Tarrow</w:t>
      </w:r>
      <w:proofErr w:type="spellEnd"/>
      <w:r w:rsidR="007A6EF8" w:rsidRPr="009F039C">
        <w:rPr>
          <w:lang w:val="en-GB"/>
        </w:rPr>
        <w:t xml:space="preserve">, 2007). Despite the new opportunities offered by EU accession, there seems to be an emerging consensus in the literature that its legacy has not been fully positive (Fagan, 2005; </w:t>
      </w:r>
      <w:proofErr w:type="spellStart"/>
      <w:r w:rsidR="007A6EF8" w:rsidRPr="009F039C">
        <w:rPr>
          <w:lang w:val="en-GB"/>
        </w:rPr>
        <w:t>Börzel</w:t>
      </w:r>
      <w:proofErr w:type="spellEnd"/>
      <w:r w:rsidR="007A6EF8" w:rsidRPr="009F039C">
        <w:rPr>
          <w:lang w:val="en-GB"/>
        </w:rPr>
        <w:t xml:space="preserve"> and </w:t>
      </w:r>
      <w:proofErr w:type="spellStart"/>
      <w:r w:rsidR="007A6EF8" w:rsidRPr="009F039C">
        <w:rPr>
          <w:lang w:val="en-GB"/>
        </w:rPr>
        <w:t>Buzogány</w:t>
      </w:r>
      <w:proofErr w:type="spellEnd"/>
      <w:r w:rsidR="007A6EF8" w:rsidRPr="009F039C">
        <w:rPr>
          <w:lang w:val="en-GB"/>
        </w:rPr>
        <w:t>, 2010</w:t>
      </w:r>
      <w:r>
        <w:rPr>
          <w:lang w:val="en-GB"/>
        </w:rPr>
        <w:t>,</w:t>
      </w:r>
      <w:r w:rsidR="007A6EF8" w:rsidRPr="009F039C">
        <w:rPr>
          <w:lang w:val="en-GB"/>
        </w:rPr>
        <w:t xml:space="preserve"> </w:t>
      </w:r>
      <w:proofErr w:type="spellStart"/>
      <w:r w:rsidR="007A6EF8" w:rsidRPr="009F039C">
        <w:rPr>
          <w:lang w:val="en-GB"/>
        </w:rPr>
        <w:t>Batory</w:t>
      </w:r>
      <w:proofErr w:type="spellEnd"/>
      <w:r w:rsidR="007A6EF8" w:rsidRPr="009F039C">
        <w:rPr>
          <w:lang w:val="en-GB"/>
        </w:rPr>
        <w:t xml:space="preserve"> and Cartwright, 2011). Adopting the EU </w:t>
      </w:r>
      <w:proofErr w:type="spellStart"/>
      <w:r w:rsidR="007A6EF8" w:rsidRPr="009F039C">
        <w:rPr>
          <w:i/>
          <w:lang w:val="en-GB"/>
        </w:rPr>
        <w:t>acquis</w:t>
      </w:r>
      <w:proofErr w:type="spellEnd"/>
      <w:r w:rsidR="007A6EF8" w:rsidRPr="009F039C">
        <w:rPr>
          <w:lang w:val="en-GB"/>
        </w:rPr>
        <w:t xml:space="preserve"> by the state was often done under high time pressures, not leaving enough room for meaningful CSO involvement in the process</w:t>
      </w:r>
      <w:r>
        <w:rPr>
          <w:lang w:val="en-GB"/>
        </w:rPr>
        <w:t>, which</w:t>
      </w:r>
      <w:r w:rsidR="007A6EF8" w:rsidRPr="009F039C">
        <w:rPr>
          <w:lang w:val="en-GB"/>
        </w:rPr>
        <w:t xml:space="preserve"> sent mixed signals to </w:t>
      </w:r>
      <w:r>
        <w:rPr>
          <w:lang w:val="en-GB"/>
        </w:rPr>
        <w:t xml:space="preserve">civil society. </w:t>
      </w:r>
      <w:r w:rsidR="007A6EF8" w:rsidRPr="009F039C">
        <w:rPr>
          <w:lang w:val="en-GB"/>
        </w:rPr>
        <w:t>CSOs have often also been too weak and lacking capacities to truly engage with the state in policy making, mobilize protest or invoke their rights domestically and abroad (</w:t>
      </w:r>
      <w:proofErr w:type="spellStart"/>
      <w:r w:rsidR="007A6EF8" w:rsidRPr="009F039C">
        <w:rPr>
          <w:lang w:val="en-GB"/>
        </w:rPr>
        <w:t>Börzel</w:t>
      </w:r>
      <w:proofErr w:type="spellEnd"/>
      <w:r w:rsidR="007A6EF8" w:rsidRPr="009F039C">
        <w:rPr>
          <w:lang w:val="en-GB"/>
        </w:rPr>
        <w:t xml:space="preserve"> and </w:t>
      </w:r>
      <w:proofErr w:type="spellStart"/>
      <w:r w:rsidR="007A6EF8" w:rsidRPr="009F039C">
        <w:rPr>
          <w:lang w:val="en-GB"/>
        </w:rPr>
        <w:t>Buzogány</w:t>
      </w:r>
      <w:proofErr w:type="spellEnd"/>
      <w:r w:rsidR="007A6EF8" w:rsidRPr="009F039C">
        <w:rPr>
          <w:lang w:val="en-GB"/>
        </w:rPr>
        <w:t xml:space="preserve">, 2010). EU accession has </w:t>
      </w:r>
      <w:r>
        <w:rPr>
          <w:lang w:val="en-GB"/>
        </w:rPr>
        <w:t xml:space="preserve">also partially </w:t>
      </w:r>
      <w:r w:rsidR="007A6EF8" w:rsidRPr="009F039C">
        <w:rPr>
          <w:lang w:val="en-GB"/>
        </w:rPr>
        <w:t xml:space="preserve">offset the pressure </w:t>
      </w:r>
      <w:r>
        <w:rPr>
          <w:lang w:val="en-GB"/>
        </w:rPr>
        <w:t>ECE</w:t>
      </w:r>
      <w:r w:rsidR="007A6EF8" w:rsidRPr="009F039C">
        <w:rPr>
          <w:lang w:val="en-GB"/>
        </w:rPr>
        <w:t xml:space="preserve"> CSOs would otherwise face to seek out different sources of funding, including grassroots fundraising</w:t>
      </w:r>
      <w:r>
        <w:rPr>
          <w:lang w:val="en-GB"/>
        </w:rPr>
        <w:t xml:space="preserve"> (Fagan 2005)</w:t>
      </w:r>
      <w:r w:rsidR="007A6EF8" w:rsidRPr="009F039C">
        <w:rPr>
          <w:lang w:val="en-GB"/>
        </w:rPr>
        <w:t xml:space="preserve">. </w:t>
      </w:r>
    </w:p>
    <w:p w:rsidR="00A16942" w:rsidRPr="009F039C" w:rsidRDefault="00A16942" w:rsidP="00A16942">
      <w:pPr>
        <w:spacing w:line="360" w:lineRule="auto"/>
        <w:jc w:val="both"/>
        <w:rPr>
          <w:lang w:val="en-GB"/>
        </w:rPr>
      </w:pPr>
      <w:r w:rsidRPr="009F039C">
        <w:rPr>
          <w:lang w:val="en-GB"/>
        </w:rPr>
        <w:t>Turning to the specific case of NGDOs, these CSOs developed in the Czech Republic and Hungary more or less in parallel with the emergence of international development policies in the late 1990</w:t>
      </w:r>
      <w:r w:rsidR="006E77DD">
        <w:rPr>
          <w:lang w:val="en-GB"/>
        </w:rPr>
        <w:t>s</w:t>
      </w:r>
      <w:r w:rsidR="00F778BC">
        <w:rPr>
          <w:lang w:val="en-GB"/>
        </w:rPr>
        <w:t xml:space="preserve"> (</w:t>
      </w:r>
      <w:proofErr w:type="spellStart"/>
      <w:r w:rsidR="00F778BC">
        <w:rPr>
          <w:lang w:val="en-GB"/>
        </w:rPr>
        <w:t>Szent-</w:t>
      </w:r>
      <w:r w:rsidR="00F778BC" w:rsidRPr="00371F6B">
        <w:rPr>
          <w:lang w:val="en-GB"/>
        </w:rPr>
        <w:t>Iványi</w:t>
      </w:r>
      <w:proofErr w:type="spellEnd"/>
      <w:r w:rsidR="00F778BC">
        <w:rPr>
          <w:lang w:val="en-GB"/>
        </w:rPr>
        <w:t xml:space="preserve"> and Lightfoot 2015)</w:t>
      </w:r>
      <w:r w:rsidRPr="009F039C">
        <w:rPr>
          <w:lang w:val="en-GB"/>
        </w:rPr>
        <w:t xml:space="preserve">. The roots of NGDOs are mainly in large faith-based domestic social care and relief CSOs, which emerged in the early 1990s with the renewed autonomy of churches. In the early days, the focus of their activities tended towards the alleviation of domestic poverty aggravated by the transition crisis. During the mid-1990s, these faith-based CSOs and others increasingly started to venture abroad, by providing </w:t>
      </w:r>
      <w:r w:rsidRPr="009F039C">
        <w:rPr>
          <w:i/>
          <w:lang w:val="en-GB"/>
        </w:rPr>
        <w:t>ad hoc</w:t>
      </w:r>
      <w:r w:rsidRPr="009F039C">
        <w:rPr>
          <w:lang w:val="en-GB"/>
        </w:rPr>
        <w:t xml:space="preserve"> humanitarian assistance to people hit by humanitarian catastrophes. Helping the victims of the wars in Yugoslavia and Chechnya were strong catalysts for the emergence of secular NGDOs as well (</w:t>
      </w:r>
      <w:proofErr w:type="spellStart"/>
      <w:r w:rsidRPr="009F039C">
        <w:rPr>
          <w:lang w:val="en-GB"/>
        </w:rPr>
        <w:t>Drazkiewicz-Grodzicka</w:t>
      </w:r>
      <w:proofErr w:type="spellEnd"/>
      <w:r w:rsidRPr="009F039C">
        <w:rPr>
          <w:lang w:val="en-GB"/>
        </w:rPr>
        <w:t>, 2013, p. 68), such as People in Need (</w:t>
      </w:r>
      <w:proofErr w:type="spellStart"/>
      <w:r w:rsidRPr="009F039C">
        <w:rPr>
          <w:lang w:val="en-GB"/>
        </w:rPr>
        <w:t>PiN</w:t>
      </w:r>
      <w:proofErr w:type="spellEnd"/>
      <w:r w:rsidRPr="009F039C">
        <w:rPr>
          <w:lang w:val="en-GB"/>
        </w:rPr>
        <w:t>) in the Czech Republic. Gradually, in the late 1990s, many of these NGDOs became engaged in longer term development projects by moving from humanitarian relief activities to rehabilitation.</w:t>
      </w:r>
      <w:r w:rsidRPr="009F039C">
        <w:rPr>
          <w:rStyle w:val="EndnoteReference"/>
          <w:lang w:val="en-GB"/>
        </w:rPr>
        <w:endnoteReference w:id="1"/>
      </w:r>
      <w:r w:rsidRPr="009F039C">
        <w:rPr>
          <w:lang w:val="en-GB"/>
        </w:rPr>
        <w:t xml:space="preserve"> A smaller group of today’s NGDOs however have a very different background: these were founded in the 1990s to promote and monitor the development of democracy in their own countries and often received large amounts of US funding. These NGDOs, such as </w:t>
      </w:r>
      <w:proofErr w:type="spellStart"/>
      <w:r w:rsidRPr="009F039C">
        <w:rPr>
          <w:lang w:val="en-GB"/>
        </w:rPr>
        <w:t>DemNet</w:t>
      </w:r>
      <w:proofErr w:type="spellEnd"/>
      <w:r w:rsidRPr="009F039C">
        <w:rPr>
          <w:lang w:val="en-GB"/>
        </w:rPr>
        <w:t xml:space="preserve"> </w:t>
      </w:r>
      <w:r w:rsidRPr="009F039C">
        <w:rPr>
          <w:lang w:val="en-GB"/>
        </w:rPr>
        <w:lastRenderedPageBreak/>
        <w:t xml:space="preserve">Foundation in Hungary, were forced to seek new mandates after EU accession, and supporting democracy-enhancing projects abroad </w:t>
      </w:r>
      <w:r w:rsidR="00AB6232" w:rsidRPr="009F039C">
        <w:rPr>
          <w:lang w:val="en-GB"/>
        </w:rPr>
        <w:t>was</w:t>
      </w:r>
      <w:r w:rsidRPr="009F039C">
        <w:rPr>
          <w:lang w:val="en-GB"/>
        </w:rPr>
        <w:t xml:space="preserve"> a viable survival option. </w:t>
      </w:r>
    </w:p>
    <w:p w:rsidR="00A16942" w:rsidRPr="009F039C" w:rsidRDefault="00A16942" w:rsidP="00A16942">
      <w:pPr>
        <w:spacing w:line="360" w:lineRule="auto"/>
        <w:jc w:val="both"/>
        <w:rPr>
          <w:lang w:val="en-GB"/>
        </w:rPr>
      </w:pPr>
      <w:r w:rsidRPr="009F039C">
        <w:rPr>
          <w:lang w:val="en-GB"/>
        </w:rPr>
        <w:t xml:space="preserve">The creation of official </w:t>
      </w:r>
      <w:r w:rsidR="006F47C5">
        <w:rPr>
          <w:lang w:val="en-GB"/>
        </w:rPr>
        <w:t>foreign aid</w:t>
      </w:r>
      <w:r w:rsidRPr="009F039C">
        <w:rPr>
          <w:lang w:val="en-GB"/>
        </w:rPr>
        <w:t xml:space="preserve"> and accession to the EU opened up new possibilities for Czech and Hungarian NGDOs. NGDO representatives interviewed all emphasized the positive effects of EU accession on their work, some even crediting the EU for their very existence. Both indirect and direct effects of accession were highly pronounced. The main indirect effect was through the creation of government development policies, as governments mainly turned to the national NGDO communities to implement state-financed projects abroad. Due to the need to communicate with governments, NGDOs created formal associational organizations called national ‘NGDO platforms’ to promote advocacy: </w:t>
      </w:r>
      <w:r w:rsidR="006F47C5" w:rsidRPr="009F039C">
        <w:rPr>
          <w:lang w:val="en-GB"/>
        </w:rPr>
        <w:t>the Czech Forum for Development Cooperation (FoRS)</w:t>
      </w:r>
      <w:r w:rsidR="006F47C5">
        <w:rPr>
          <w:lang w:val="en-GB"/>
        </w:rPr>
        <w:t xml:space="preserve"> and </w:t>
      </w:r>
      <w:r w:rsidRPr="009F039C">
        <w:rPr>
          <w:lang w:val="en-GB"/>
        </w:rPr>
        <w:t xml:space="preserve">the Hungarian Association of NGOs for Development and Humanitarian Aid (HAND). Direct effects were also numerous and substantial. National NGDOs gained access to development project grants administered by the European Commission (EC). NGDO platforms swiftly became members of the CONCORD, the pan-European ‘platform of platforms’, exposing them to EU level advocacy and ties with NGDOs from other countries. CONCORD included the new members in its </w:t>
      </w:r>
      <w:proofErr w:type="spellStart"/>
      <w:r w:rsidRPr="009F039C">
        <w:rPr>
          <w:lang w:val="en-GB"/>
        </w:rPr>
        <w:t>AidWatch</w:t>
      </w:r>
      <w:proofErr w:type="spellEnd"/>
      <w:r w:rsidRPr="009F039C">
        <w:rPr>
          <w:lang w:val="en-GB"/>
        </w:rPr>
        <w:t xml:space="preserve"> initiative, an EU-wide program to monitor </w:t>
      </w:r>
      <w:r w:rsidR="006F47C5">
        <w:rPr>
          <w:lang w:val="en-GB"/>
        </w:rPr>
        <w:t>official</w:t>
      </w:r>
      <w:r w:rsidRPr="009F039C">
        <w:rPr>
          <w:lang w:val="en-GB"/>
        </w:rPr>
        <w:t xml:space="preserve"> aid policies. Both platforms produce national versions of these </w:t>
      </w:r>
      <w:proofErr w:type="spellStart"/>
      <w:r w:rsidRPr="009F039C">
        <w:rPr>
          <w:lang w:val="en-GB"/>
        </w:rPr>
        <w:t>AidWatch</w:t>
      </w:r>
      <w:proofErr w:type="spellEnd"/>
      <w:r w:rsidRPr="009F039C">
        <w:rPr>
          <w:lang w:val="en-GB"/>
        </w:rPr>
        <w:t xml:space="preserve"> Reports, which are perhaps their most visible monitoring and advocacy documents. </w:t>
      </w:r>
    </w:p>
    <w:p w:rsidR="00176F30" w:rsidRPr="009F039C" w:rsidRDefault="00A16942" w:rsidP="00A16942">
      <w:pPr>
        <w:spacing w:line="360" w:lineRule="auto"/>
        <w:jc w:val="both"/>
        <w:rPr>
          <w:lang w:val="en-GB"/>
        </w:rPr>
      </w:pPr>
      <w:r w:rsidRPr="009F039C">
        <w:rPr>
          <w:lang w:val="en-GB"/>
        </w:rPr>
        <w:t>The direct and indirect effects of EU accession have undoubtedly given a huge push to the development of the NGDO sector in the Czech Republic and Hungary. However, the sectors still displays much of the weaknesses that CSOs in general face in the region, mainly along the ‘lack of funds, people and capacities’ argument.</w:t>
      </w:r>
      <w:r w:rsidRPr="009F039C">
        <w:rPr>
          <w:rStyle w:val="EndnoteReference"/>
          <w:lang w:val="en-GB"/>
        </w:rPr>
        <w:endnoteReference w:id="2"/>
      </w:r>
      <w:r w:rsidRPr="009F039C">
        <w:rPr>
          <w:lang w:val="en-GB"/>
        </w:rPr>
        <w:t xml:space="preserve"> The links NGDOs have with their grassroots are also weak, which is exacerbated by low public awareness on development issues (Selmeczi, 2013). A cross-national examination of the total level of engagement in voluntary associations, especially those connected with aid issues, was ‘very low</w:t>
      </w:r>
      <w:r w:rsidR="006F47C5">
        <w:rPr>
          <w:lang w:val="en-GB"/>
        </w:rPr>
        <w:t xml:space="preserve">’ in ECE </w:t>
      </w:r>
      <w:r w:rsidRPr="009F039C">
        <w:rPr>
          <w:lang w:val="en-GB"/>
        </w:rPr>
        <w:t xml:space="preserve">(Wallace </w:t>
      </w:r>
      <w:r w:rsidRPr="009F039C">
        <w:rPr>
          <w:i/>
          <w:lang w:val="en-GB"/>
        </w:rPr>
        <w:t>et al</w:t>
      </w:r>
      <w:r w:rsidR="00B86AFE" w:rsidRPr="009F039C">
        <w:rPr>
          <w:i/>
          <w:lang w:val="en-GB"/>
        </w:rPr>
        <w:t>.</w:t>
      </w:r>
      <w:r w:rsidRPr="009F039C">
        <w:rPr>
          <w:i/>
          <w:lang w:val="en-GB"/>
        </w:rPr>
        <w:t xml:space="preserve">, </w:t>
      </w:r>
      <w:r w:rsidRPr="009F039C">
        <w:rPr>
          <w:lang w:val="en-GB"/>
        </w:rPr>
        <w:t>2012, p. 10). However, there are also clear differences between the NGDO communities, which can serve as possible explanations as to why the Czech Republic’s international development policy can be seen as more developed than Hungary’s.</w:t>
      </w:r>
      <w:r w:rsidR="00176F30" w:rsidRPr="009F039C">
        <w:rPr>
          <w:lang w:val="en-GB"/>
        </w:rPr>
        <w:t xml:space="preserve"> </w:t>
      </w:r>
    </w:p>
    <w:p w:rsidR="00176F30" w:rsidRPr="009F039C" w:rsidRDefault="00176F30" w:rsidP="00A16942">
      <w:pPr>
        <w:spacing w:line="360" w:lineRule="auto"/>
        <w:jc w:val="both"/>
        <w:rPr>
          <w:lang w:val="en-GB"/>
        </w:rPr>
      </w:pPr>
      <w:r w:rsidRPr="009F039C">
        <w:rPr>
          <w:lang w:val="en-GB"/>
        </w:rPr>
        <w:t>The remainder of this paper explores these differences in order to show (1) that there is evidence of NGDO influence on development policies in the Czech case, and lack of it in the Hungarian one; and (2) to identify the key conditions which have led to this situation. T</w:t>
      </w:r>
      <w:r w:rsidR="00456E0F" w:rsidRPr="009F039C">
        <w:rPr>
          <w:lang w:val="en-GB"/>
        </w:rPr>
        <w:t xml:space="preserve">here has been little systematic research </w:t>
      </w:r>
      <w:r w:rsidRPr="009F039C">
        <w:rPr>
          <w:lang w:val="en-GB"/>
        </w:rPr>
        <w:t xml:space="preserve">in the wider literature </w:t>
      </w:r>
      <w:r w:rsidR="00456E0F" w:rsidRPr="009F039C">
        <w:rPr>
          <w:lang w:val="en-GB"/>
        </w:rPr>
        <w:t xml:space="preserve">on what the conditions </w:t>
      </w:r>
      <w:r w:rsidRPr="009F039C">
        <w:rPr>
          <w:lang w:val="en-GB"/>
        </w:rPr>
        <w:t>for CSO influence are in the ECE countries post-accession</w:t>
      </w:r>
      <w:r w:rsidR="00456E0F" w:rsidRPr="009F039C">
        <w:rPr>
          <w:lang w:val="en-GB"/>
        </w:rPr>
        <w:t>.</w:t>
      </w:r>
      <w:r w:rsidR="00525B34" w:rsidRPr="009F039C">
        <w:rPr>
          <w:lang w:val="en-GB"/>
        </w:rPr>
        <w:t xml:space="preserve"> While some research has been carried out in areas like environmental issues (see </w:t>
      </w:r>
      <w:proofErr w:type="spellStart"/>
      <w:r w:rsidR="00525B34" w:rsidRPr="009F039C">
        <w:rPr>
          <w:rFonts w:cs="CMR10"/>
          <w:color w:val="000000"/>
          <w:lang w:val="en-GB"/>
        </w:rPr>
        <w:t>Carmin</w:t>
      </w:r>
      <w:proofErr w:type="spellEnd"/>
      <w:r w:rsidR="00525B34" w:rsidRPr="009F039C">
        <w:rPr>
          <w:rFonts w:cs="CMR10"/>
          <w:color w:val="000000"/>
          <w:lang w:val="en-GB"/>
        </w:rPr>
        <w:t xml:space="preserve"> and Fagan, 2010), these results may not be</w:t>
      </w:r>
      <w:r w:rsidR="002357FC" w:rsidRPr="009F039C">
        <w:rPr>
          <w:rFonts w:cs="CMR10"/>
          <w:color w:val="000000"/>
          <w:lang w:val="en-GB"/>
        </w:rPr>
        <w:t xml:space="preserve"> </w:t>
      </w:r>
      <w:r w:rsidR="002357FC" w:rsidRPr="009F039C">
        <w:rPr>
          <w:lang w:val="en-GB"/>
        </w:rPr>
        <w:t xml:space="preserve">transferable to international development, which </w:t>
      </w:r>
      <w:r w:rsidR="002357FC" w:rsidRPr="009F039C">
        <w:rPr>
          <w:lang w:val="en-GB"/>
        </w:rPr>
        <w:lastRenderedPageBreak/>
        <w:t>is part of foreign policy</w:t>
      </w:r>
      <w:r w:rsidR="00A16942" w:rsidRPr="009F039C">
        <w:rPr>
          <w:lang w:val="en-GB"/>
        </w:rPr>
        <w:t xml:space="preserve">. Rather than adapting a theoretical framework developed for other fields which may not be appropriate, the paper opts for an inductive approach </w:t>
      </w:r>
      <w:r w:rsidR="00B86AFE" w:rsidRPr="009F039C">
        <w:rPr>
          <w:lang w:val="en-GB"/>
        </w:rPr>
        <w:t xml:space="preserve">and examines three broad areas in the two countries: characteristics of the NGDO platforms, the wider NGDO community and public support for aid, and government attitudes towards NGDOs. </w:t>
      </w:r>
    </w:p>
    <w:p w:rsidR="00F43C23" w:rsidRPr="009F039C" w:rsidRDefault="00F43C23" w:rsidP="007A6EF8">
      <w:pPr>
        <w:spacing w:line="360" w:lineRule="auto"/>
        <w:jc w:val="both"/>
        <w:rPr>
          <w:lang w:val="en-GB"/>
        </w:rPr>
      </w:pPr>
    </w:p>
    <w:p w:rsidR="00B86AFE" w:rsidRPr="009F039C" w:rsidRDefault="00B86AFE" w:rsidP="007A6EF8">
      <w:pPr>
        <w:spacing w:line="360" w:lineRule="auto"/>
        <w:jc w:val="both"/>
        <w:rPr>
          <w:b/>
          <w:lang w:val="en-GB"/>
        </w:rPr>
      </w:pPr>
      <w:r w:rsidRPr="009F039C">
        <w:rPr>
          <w:b/>
          <w:lang w:val="en-GB"/>
        </w:rPr>
        <w:t xml:space="preserve">4. Different levels of influence </w:t>
      </w:r>
    </w:p>
    <w:p w:rsidR="00F43C23" w:rsidRPr="009F039C" w:rsidRDefault="00B86AFE" w:rsidP="007A6EF8">
      <w:pPr>
        <w:spacing w:line="360" w:lineRule="auto"/>
        <w:jc w:val="both"/>
        <w:rPr>
          <w:b/>
          <w:i/>
          <w:lang w:val="en-GB"/>
        </w:rPr>
      </w:pPr>
      <w:r w:rsidRPr="009F039C">
        <w:rPr>
          <w:b/>
          <w:i/>
          <w:lang w:val="en-GB"/>
        </w:rPr>
        <w:t>4.1. NGDO platforms</w:t>
      </w:r>
    </w:p>
    <w:p w:rsidR="00A06D81" w:rsidRPr="009F039C" w:rsidRDefault="00A06D81" w:rsidP="007A6EF8">
      <w:pPr>
        <w:spacing w:line="360" w:lineRule="auto"/>
        <w:jc w:val="both"/>
        <w:rPr>
          <w:lang w:val="en-GB"/>
        </w:rPr>
      </w:pPr>
      <w:r w:rsidRPr="009F039C">
        <w:rPr>
          <w:lang w:val="en-GB"/>
        </w:rPr>
        <w:t xml:space="preserve">As it is the NGDO platforms which play a key role in engaging the government in both countries, we first compare the </w:t>
      </w:r>
      <w:r w:rsidR="00C24D6A" w:rsidRPr="009F039C">
        <w:rPr>
          <w:lang w:val="en-GB"/>
        </w:rPr>
        <w:t>advocacy activities</w:t>
      </w:r>
      <w:r w:rsidRPr="009F039C">
        <w:rPr>
          <w:lang w:val="en-GB"/>
        </w:rPr>
        <w:t xml:space="preserve"> and capacities of FoRS and HAND.</w:t>
      </w:r>
    </w:p>
    <w:p w:rsidR="0094537F" w:rsidRPr="009F039C" w:rsidRDefault="009B144C" w:rsidP="0094537F">
      <w:pPr>
        <w:spacing w:line="360" w:lineRule="auto"/>
        <w:jc w:val="both"/>
        <w:rPr>
          <w:lang w:val="en-GB"/>
        </w:rPr>
      </w:pPr>
      <w:r w:rsidRPr="009F039C">
        <w:rPr>
          <w:lang w:val="en-GB"/>
        </w:rPr>
        <w:t>FoRS, founded in 2002, had 37 full member organisations and 10 observer organisations in 2010, including both big and small organizations,</w:t>
      </w:r>
      <w:r w:rsidRPr="009F039C">
        <w:rPr>
          <w:rStyle w:val="EndnoteReference"/>
          <w:lang w:val="en-GB"/>
        </w:rPr>
        <w:endnoteReference w:id="3"/>
      </w:r>
      <w:r w:rsidRPr="009F039C">
        <w:rPr>
          <w:lang w:val="en-GB"/>
        </w:rPr>
        <w:t xml:space="preserve"> most importantly </w:t>
      </w:r>
      <w:proofErr w:type="spellStart"/>
      <w:r w:rsidRPr="009F039C">
        <w:rPr>
          <w:lang w:val="en-GB"/>
        </w:rPr>
        <w:t>PiN</w:t>
      </w:r>
      <w:proofErr w:type="spellEnd"/>
      <w:r w:rsidRPr="009F039C">
        <w:rPr>
          <w:lang w:val="en-GB"/>
        </w:rPr>
        <w:t>, the Adventist Agency for Relief and Development (ADRA) and Caritas, the three biggest NGDOs in the Czech Republic. This structure increases the legitimacy of the platform, because FoRS is used as the single advocacy body for the sector, and large NGDOs have made it clear that they will not bypass it.</w:t>
      </w:r>
      <w:r w:rsidRPr="009F039C">
        <w:rPr>
          <w:rStyle w:val="EndnoteReference"/>
          <w:lang w:val="en-GB"/>
        </w:rPr>
        <w:endnoteReference w:id="4"/>
      </w:r>
      <w:r w:rsidRPr="009F039C">
        <w:rPr>
          <w:lang w:val="en-GB"/>
        </w:rPr>
        <w:t xml:space="preserve"> A relatively large number of fee paying members, including the largest NGDOs means that FoRS is rather healthy from a financial perspective and can maintain a permanent staff of 5 people, including a full time policy officer whose main duty is to engage the MFA on policy issues, and support such efforts of the chairman and the board members.</w:t>
      </w:r>
      <w:r w:rsidR="0094537F" w:rsidRPr="009F039C">
        <w:rPr>
          <w:lang w:val="en-GB"/>
        </w:rPr>
        <w:t xml:space="preserve"> FoRS also actively pursues grant funding, mainly from international sources. There has been a steady increase in </w:t>
      </w:r>
      <w:proofErr w:type="spellStart"/>
      <w:r w:rsidR="0094537F" w:rsidRPr="009F039C">
        <w:rPr>
          <w:lang w:val="en-GB"/>
        </w:rPr>
        <w:t>FoRS’s</w:t>
      </w:r>
      <w:proofErr w:type="spellEnd"/>
      <w:r w:rsidR="0094537F" w:rsidRPr="009F039C">
        <w:rPr>
          <w:lang w:val="en-GB"/>
        </w:rPr>
        <w:t xml:space="preserve"> income from membership fees in the past years, meaning that it </w:t>
      </w:r>
      <w:r w:rsidR="000E7788">
        <w:rPr>
          <w:lang w:val="en-GB"/>
        </w:rPr>
        <w:t>can</w:t>
      </w:r>
      <w:r w:rsidR="0094537F" w:rsidRPr="009F039C">
        <w:rPr>
          <w:lang w:val="en-GB"/>
        </w:rPr>
        <w:t xml:space="preserve"> </w:t>
      </w:r>
      <w:proofErr w:type="gramStart"/>
      <w:r w:rsidR="0094537F" w:rsidRPr="009F039C">
        <w:rPr>
          <w:lang w:val="en-GB"/>
        </w:rPr>
        <w:t>rely</w:t>
      </w:r>
      <w:proofErr w:type="gramEnd"/>
      <w:r w:rsidR="0094537F" w:rsidRPr="009F039C">
        <w:rPr>
          <w:lang w:val="en-GB"/>
        </w:rPr>
        <w:t xml:space="preserve"> less on grant funding,</w:t>
      </w:r>
      <w:r w:rsidR="0094537F" w:rsidRPr="009F039C">
        <w:rPr>
          <w:rStyle w:val="EndnoteReference"/>
          <w:lang w:val="en-GB"/>
        </w:rPr>
        <w:endnoteReference w:id="5"/>
      </w:r>
      <w:r w:rsidR="0094537F" w:rsidRPr="009F039C">
        <w:rPr>
          <w:lang w:val="en-GB"/>
        </w:rPr>
        <w:t xml:space="preserve"> and that its growing capacities are not results of MFA support.</w:t>
      </w:r>
    </w:p>
    <w:p w:rsidR="0094537F" w:rsidRPr="009F039C" w:rsidRDefault="0094537F" w:rsidP="0094537F">
      <w:pPr>
        <w:spacing w:line="360" w:lineRule="auto"/>
        <w:jc w:val="both"/>
        <w:rPr>
          <w:lang w:val="en-GB"/>
        </w:rPr>
      </w:pPr>
      <w:r w:rsidRPr="009F039C">
        <w:rPr>
          <w:lang w:val="en-GB"/>
        </w:rPr>
        <w:t xml:space="preserve">FoRS was one of the key drivers of the Czech development policy reform process between 2007 and 2011. An early CONCORD </w:t>
      </w:r>
      <w:proofErr w:type="spellStart"/>
      <w:r w:rsidRPr="009F039C">
        <w:rPr>
          <w:lang w:val="en-GB"/>
        </w:rPr>
        <w:t>AidWatch</w:t>
      </w:r>
      <w:proofErr w:type="spellEnd"/>
      <w:r w:rsidRPr="009F039C">
        <w:rPr>
          <w:lang w:val="en-GB"/>
        </w:rPr>
        <w:t xml:space="preserve"> Report (CONCORD 2007) shows that FoRS was pushing for the centralizing of resources, the creation of an agency</w:t>
      </w:r>
      <w:r w:rsidR="000E7788">
        <w:rPr>
          <w:lang w:val="en-GB"/>
        </w:rPr>
        <w:t>,</w:t>
      </w:r>
      <w:r w:rsidRPr="009F039C">
        <w:rPr>
          <w:lang w:val="en-GB"/>
        </w:rPr>
        <w:t xml:space="preserve"> making poverty reduction a goal of Czech aid, increasing the share of Sub-Saharan African and LDCs in aid allocation</w:t>
      </w:r>
      <w:r w:rsidR="000E7788">
        <w:rPr>
          <w:lang w:val="en-GB"/>
        </w:rPr>
        <w:t>,</w:t>
      </w:r>
      <w:r w:rsidRPr="009F039C">
        <w:rPr>
          <w:lang w:val="en-GB"/>
        </w:rPr>
        <w:t xml:space="preserve"> and increasing transparency. After the transformation, the reports published by FoRS have changed their tone</w:t>
      </w:r>
      <w:r w:rsidR="000E7788">
        <w:rPr>
          <w:lang w:val="en-GB"/>
        </w:rPr>
        <w:t>,</w:t>
      </w:r>
      <w:r w:rsidRPr="009F039C">
        <w:rPr>
          <w:lang w:val="en-GB"/>
        </w:rPr>
        <w:t xml:space="preserve"> giv</w:t>
      </w:r>
      <w:r w:rsidR="000E7788">
        <w:rPr>
          <w:lang w:val="en-GB"/>
        </w:rPr>
        <w:t>ing</w:t>
      </w:r>
      <w:r w:rsidRPr="009F039C">
        <w:rPr>
          <w:lang w:val="en-GB"/>
        </w:rPr>
        <w:t xml:space="preserve"> the impression that the platform is generally satisfied with the new system, and focusing on more minor technical issues as opposed to policy level criticism. The 2012 </w:t>
      </w:r>
      <w:proofErr w:type="spellStart"/>
      <w:r w:rsidRPr="009F039C">
        <w:rPr>
          <w:lang w:val="en-GB"/>
        </w:rPr>
        <w:t>FoRS</w:t>
      </w:r>
      <w:proofErr w:type="spellEnd"/>
      <w:r w:rsidRPr="009F039C">
        <w:rPr>
          <w:lang w:val="en-GB"/>
        </w:rPr>
        <w:t xml:space="preserve"> </w:t>
      </w:r>
      <w:proofErr w:type="spellStart"/>
      <w:r w:rsidRPr="009F039C">
        <w:rPr>
          <w:lang w:val="en-GB"/>
        </w:rPr>
        <w:t>AidWatch</w:t>
      </w:r>
      <w:proofErr w:type="spellEnd"/>
      <w:r w:rsidRPr="009F039C">
        <w:rPr>
          <w:lang w:val="en-GB"/>
        </w:rPr>
        <w:t xml:space="preserve"> Report (</w:t>
      </w:r>
      <w:proofErr w:type="spellStart"/>
      <w:r w:rsidRPr="009F039C">
        <w:rPr>
          <w:lang w:val="en-GB"/>
        </w:rPr>
        <w:t>FoRS</w:t>
      </w:r>
      <w:proofErr w:type="spellEnd"/>
      <w:r w:rsidRPr="009F039C">
        <w:rPr>
          <w:lang w:val="en-GB"/>
        </w:rPr>
        <w:t xml:space="preserve"> 2012) praises the increasing transparency and effectiveness of the system, welcomes many initiatives of the MFA like launching a systematic evaluation program, and mainly calls for ‘fine-tuning’. Many other requests of FoRS have also been met by the MFA. For example, it recommends that the </w:t>
      </w:r>
      <w:proofErr w:type="spellStart"/>
      <w:r w:rsidRPr="009F039C">
        <w:rPr>
          <w:lang w:val="en-GB"/>
        </w:rPr>
        <w:t>CzDA</w:t>
      </w:r>
      <w:proofErr w:type="spellEnd"/>
      <w:r w:rsidRPr="009F039C">
        <w:rPr>
          <w:lang w:val="en-GB"/>
        </w:rPr>
        <w:t xml:space="preserve"> publish indicative lists of future </w:t>
      </w:r>
      <w:r w:rsidR="000E7788">
        <w:rPr>
          <w:lang w:val="en-GB"/>
        </w:rPr>
        <w:t xml:space="preserve">grant </w:t>
      </w:r>
      <w:r w:rsidRPr="009F039C">
        <w:rPr>
          <w:lang w:val="en-GB"/>
        </w:rPr>
        <w:t>calls, an issue the agency has since promised to do.</w:t>
      </w:r>
      <w:r w:rsidRPr="009F039C">
        <w:rPr>
          <w:rStyle w:val="EndnoteReference"/>
          <w:lang w:val="en-GB"/>
        </w:rPr>
        <w:endnoteReference w:id="6"/>
      </w:r>
      <w:r w:rsidRPr="009F039C">
        <w:rPr>
          <w:lang w:val="en-GB"/>
        </w:rPr>
        <w:t xml:space="preserve"> FoRS also pushes for expanding Czech field presence in partner countries – something the </w:t>
      </w:r>
      <w:proofErr w:type="spellStart"/>
      <w:r w:rsidRPr="009F039C">
        <w:rPr>
          <w:lang w:val="en-GB"/>
        </w:rPr>
        <w:t>CzDA</w:t>
      </w:r>
      <w:proofErr w:type="spellEnd"/>
      <w:r w:rsidRPr="009F039C">
        <w:rPr>
          <w:lang w:val="en-GB"/>
        </w:rPr>
        <w:t xml:space="preserve"> is lobbying for </w:t>
      </w:r>
      <w:r w:rsidRPr="009F039C">
        <w:rPr>
          <w:lang w:val="en-GB"/>
        </w:rPr>
        <w:lastRenderedPageBreak/>
        <w:t xml:space="preserve">as well. In 2012, the MFA set-up a co-financing scheme for NGDOs applying for EU development resources, which was another long-standing demand of FoRS. </w:t>
      </w:r>
    </w:p>
    <w:p w:rsidR="009B144C" w:rsidRPr="009F039C" w:rsidRDefault="0094537F" w:rsidP="009B144C">
      <w:pPr>
        <w:spacing w:line="360" w:lineRule="auto"/>
        <w:jc w:val="both"/>
        <w:rPr>
          <w:lang w:val="en-GB"/>
        </w:rPr>
      </w:pPr>
      <w:r w:rsidRPr="009F039C">
        <w:rPr>
          <w:lang w:val="en-GB"/>
        </w:rPr>
        <w:t xml:space="preserve">There is therefore clear correlation between the advocacy demands of FoRS, its growing capacities, and the reforms the MFA subsequently implemented. </w:t>
      </w:r>
      <w:r w:rsidR="009B144C" w:rsidRPr="009F039C">
        <w:rPr>
          <w:lang w:val="en-GB"/>
        </w:rPr>
        <w:t>Interviews suggest that the fact that FoRS has effectively lobbied the MFA with demonstrable results has increased its acceptance amongst the NGDO community.</w:t>
      </w:r>
      <w:r w:rsidR="009B144C" w:rsidRPr="009F039C">
        <w:rPr>
          <w:rStyle w:val="EndnoteReference"/>
          <w:lang w:val="en-GB"/>
        </w:rPr>
        <w:endnoteReference w:id="7"/>
      </w:r>
      <w:r w:rsidR="009B144C" w:rsidRPr="009F039C">
        <w:rPr>
          <w:lang w:val="en-GB"/>
        </w:rPr>
        <w:t xml:space="preserve"> As stated by a FoRS official:</w:t>
      </w:r>
    </w:p>
    <w:p w:rsidR="009B144C" w:rsidRPr="009F039C" w:rsidRDefault="009B144C" w:rsidP="009B144C">
      <w:pPr>
        <w:spacing w:line="360" w:lineRule="auto"/>
        <w:ind w:left="567" w:right="567"/>
        <w:jc w:val="both"/>
        <w:rPr>
          <w:sz w:val="20"/>
          <w:szCs w:val="20"/>
          <w:lang w:val="en-GB"/>
        </w:rPr>
      </w:pPr>
      <w:r w:rsidRPr="009F039C">
        <w:rPr>
          <w:sz w:val="20"/>
          <w:szCs w:val="20"/>
          <w:lang w:val="en-GB"/>
        </w:rPr>
        <w:t>The members value the support we give them and see it as a cheap way of getting their voices heard […] Of course Czech NGDOs are diverse, coordination has its limits and it</w:t>
      </w:r>
      <w:r w:rsidR="00E86299">
        <w:rPr>
          <w:sz w:val="20"/>
          <w:szCs w:val="20"/>
          <w:lang w:val="en-GB"/>
        </w:rPr>
        <w:t>’</w:t>
      </w:r>
      <w:r w:rsidRPr="009F039C">
        <w:rPr>
          <w:sz w:val="20"/>
          <w:szCs w:val="20"/>
          <w:lang w:val="en-GB"/>
        </w:rPr>
        <w:t>s not possible to have unified opinions on everything, but I think we manage well.</w:t>
      </w:r>
      <w:r w:rsidRPr="009F039C">
        <w:rPr>
          <w:rStyle w:val="EndnoteReference"/>
          <w:sz w:val="20"/>
          <w:szCs w:val="20"/>
          <w:lang w:val="en-GB"/>
        </w:rPr>
        <w:endnoteReference w:id="8"/>
      </w:r>
    </w:p>
    <w:p w:rsidR="0094537F" w:rsidRPr="009F039C" w:rsidRDefault="0094537F" w:rsidP="0094537F">
      <w:pPr>
        <w:spacing w:line="360" w:lineRule="auto"/>
        <w:jc w:val="both"/>
        <w:rPr>
          <w:lang w:val="en-GB"/>
        </w:rPr>
      </w:pPr>
      <w:r w:rsidRPr="009F039C">
        <w:rPr>
          <w:lang w:val="en-GB"/>
        </w:rPr>
        <w:t xml:space="preserve">The Hungarian NGDO platform, HAND, created in 2003, had 17 member organisations in 2012, up from the 12 original founders (Selmeczi, 2013). A striking difference when compared to FoRS however is that neither of the two most significant Hungarian NGDOs, Hungarian </w:t>
      </w:r>
      <w:proofErr w:type="spellStart"/>
      <w:r w:rsidRPr="009F039C">
        <w:rPr>
          <w:lang w:val="en-GB"/>
        </w:rPr>
        <w:t>Interchurch</w:t>
      </w:r>
      <w:proofErr w:type="spellEnd"/>
      <w:r w:rsidRPr="009F039C">
        <w:rPr>
          <w:lang w:val="en-GB"/>
        </w:rPr>
        <w:t xml:space="preserve"> Aid (HIA) and Hungarian Baptist Aid (HBA) are members of HAND. HBA never joined HAND, and while HIA was a main driver behind HAND for several years, it left the organization in 2010.</w:t>
      </w:r>
      <w:r w:rsidRPr="009F039C">
        <w:rPr>
          <w:rStyle w:val="EndnoteReference"/>
          <w:lang w:val="en-GB"/>
        </w:rPr>
        <w:endnoteReference w:id="9"/>
      </w:r>
      <w:r w:rsidR="00B75C51" w:rsidRPr="009F039C">
        <w:rPr>
          <w:lang w:val="en-GB"/>
        </w:rPr>
        <w:t xml:space="preserve"> The main reason why HIA left HAND was that it felt it’s not getting enough for its membership fees and could be more effective engaging the MFA itself.</w:t>
      </w:r>
      <w:r w:rsidR="00B75C51" w:rsidRPr="009F039C">
        <w:rPr>
          <w:rStyle w:val="EndnoteReference"/>
          <w:lang w:val="en-GB"/>
        </w:rPr>
        <w:endnoteReference w:id="10"/>
      </w:r>
      <w:r w:rsidR="00B75C51" w:rsidRPr="009F039C">
        <w:rPr>
          <w:lang w:val="en-GB"/>
        </w:rPr>
        <w:t xml:space="preserve"> </w:t>
      </w:r>
      <w:r w:rsidRPr="009F039C">
        <w:rPr>
          <w:lang w:val="en-GB"/>
        </w:rPr>
        <w:t>The only big NGDO which still remains as a member of HAND is the Hungarian Maltese Charity Service, which is the largest domestic relief and social care NGO, but has little international development activities. Besides HAND, there is a second, more specialist NGDO platform created in 2008, the Hungarian Africa Platform, with slightly overlapping membership. A recent mapping exercise carried out on the Hungarian NGDO sector (Selmeczi, 2013) reveal</w:t>
      </w:r>
      <w:r w:rsidR="00DB6D30">
        <w:rPr>
          <w:lang w:val="en-GB"/>
        </w:rPr>
        <w:t>ed</w:t>
      </w:r>
      <w:r w:rsidRPr="009F039C">
        <w:rPr>
          <w:lang w:val="en-GB"/>
        </w:rPr>
        <w:t xml:space="preserve"> that there are around 60 organizations in total doing some form of international development-related work, thus it is difficult to argue that HAND is representative of the sector.</w:t>
      </w:r>
    </w:p>
    <w:p w:rsidR="0094537F" w:rsidRPr="009F039C" w:rsidRDefault="0094537F" w:rsidP="00E8788A">
      <w:pPr>
        <w:spacing w:line="360" w:lineRule="auto"/>
        <w:jc w:val="both"/>
        <w:rPr>
          <w:lang w:val="en-GB"/>
        </w:rPr>
      </w:pPr>
      <w:r w:rsidRPr="009F039C">
        <w:rPr>
          <w:lang w:val="en-GB"/>
        </w:rPr>
        <w:t>This structure has an impact on HAND’s finances: for much of its existence, the platform has been working with at most two permanent staff members. This has been exacerbated by the post-2008 crisis, with many members not being able to pay their membership fees at all.</w:t>
      </w:r>
      <w:r w:rsidR="00D8633E" w:rsidRPr="009F039C">
        <w:rPr>
          <w:rStyle w:val="EndnoteReference"/>
          <w:lang w:val="en-GB"/>
        </w:rPr>
        <w:t xml:space="preserve"> </w:t>
      </w:r>
      <w:r w:rsidR="00D8633E" w:rsidRPr="009F039C">
        <w:rPr>
          <w:rStyle w:val="EndnoteReference"/>
          <w:lang w:val="en-GB"/>
        </w:rPr>
        <w:endnoteReference w:id="11"/>
      </w:r>
      <w:r w:rsidRPr="009F039C">
        <w:rPr>
          <w:lang w:val="en-GB"/>
        </w:rPr>
        <w:t xml:space="preserve"> As the MFA does not finance HAND at all, it relies mainly on international project grants to stay alive, but it is difficult to cover regular operating expenses from these. HAND therefore has little capacities to support the advocacy work of its board members. </w:t>
      </w:r>
    </w:p>
    <w:p w:rsidR="00E8788A" w:rsidRPr="009F039C" w:rsidRDefault="00E8788A" w:rsidP="00E8788A">
      <w:pPr>
        <w:spacing w:line="360" w:lineRule="auto"/>
        <w:jc w:val="both"/>
        <w:rPr>
          <w:lang w:val="en-GB"/>
        </w:rPr>
      </w:pPr>
      <w:r w:rsidRPr="009F039C">
        <w:rPr>
          <w:lang w:val="en-GB"/>
        </w:rPr>
        <w:t xml:space="preserve">The </w:t>
      </w:r>
      <w:proofErr w:type="spellStart"/>
      <w:r w:rsidRPr="009F039C">
        <w:rPr>
          <w:lang w:val="en-GB"/>
        </w:rPr>
        <w:t>AidWatch</w:t>
      </w:r>
      <w:proofErr w:type="spellEnd"/>
      <w:r w:rsidRPr="009F039C">
        <w:rPr>
          <w:lang w:val="en-GB"/>
        </w:rPr>
        <w:t xml:space="preserve"> Reports published by HAND </w:t>
      </w:r>
      <w:r w:rsidR="00984DE0">
        <w:rPr>
          <w:lang w:val="en-GB"/>
        </w:rPr>
        <w:t>show an</w:t>
      </w:r>
      <w:r w:rsidR="00D8633E" w:rsidRPr="009F039C">
        <w:rPr>
          <w:lang w:val="en-GB"/>
        </w:rPr>
        <w:t xml:space="preserve"> </w:t>
      </w:r>
      <w:r w:rsidR="00CB6803" w:rsidRPr="009F039C">
        <w:rPr>
          <w:lang w:val="en-GB"/>
        </w:rPr>
        <w:t xml:space="preserve">unresponsive </w:t>
      </w:r>
      <w:r w:rsidR="00D8633E" w:rsidRPr="009F039C">
        <w:rPr>
          <w:lang w:val="en-GB"/>
        </w:rPr>
        <w:t>MFA</w:t>
      </w:r>
      <w:r w:rsidRPr="009F039C">
        <w:rPr>
          <w:lang w:val="en-GB"/>
        </w:rPr>
        <w:t>. The reports are much more critical than what can be observed in the Czech case (both in the pre and post transformation e</w:t>
      </w:r>
      <w:r w:rsidR="00FD623F" w:rsidRPr="009F039C">
        <w:rPr>
          <w:lang w:val="en-GB"/>
        </w:rPr>
        <w:t>r</w:t>
      </w:r>
      <w:r w:rsidRPr="009F039C">
        <w:rPr>
          <w:lang w:val="en-GB"/>
        </w:rPr>
        <w:t xml:space="preserve">as) and formulate a large number of demands towards the MFA, both policy related and technical ones. The first </w:t>
      </w:r>
      <w:proofErr w:type="spellStart"/>
      <w:r w:rsidRPr="009F039C">
        <w:rPr>
          <w:lang w:val="en-GB"/>
        </w:rPr>
        <w:t>AidWatch</w:t>
      </w:r>
      <w:proofErr w:type="spellEnd"/>
      <w:r w:rsidRPr="009F039C">
        <w:rPr>
          <w:lang w:val="en-GB"/>
        </w:rPr>
        <w:t xml:space="preserve"> Report in 2007 (Kiss, 2007) grouped these into 12 points, including issues like </w:t>
      </w:r>
      <w:r w:rsidRPr="009F039C">
        <w:rPr>
          <w:lang w:val="en-GB"/>
        </w:rPr>
        <w:lastRenderedPageBreak/>
        <w:t xml:space="preserve">increasing aid; creating an aid strategy and formal legislation to guide how the money is spent; increasing the transparency of data and reporting; reducing the number of </w:t>
      </w:r>
      <w:r w:rsidR="00984DE0">
        <w:rPr>
          <w:lang w:val="en-GB"/>
        </w:rPr>
        <w:t>recipient</w:t>
      </w:r>
      <w:r w:rsidRPr="009F039C">
        <w:rPr>
          <w:lang w:val="en-GB"/>
        </w:rPr>
        <w:t xml:space="preserve"> countries; and strengthening the coordinating role of the MFA. The 2012 report (</w:t>
      </w:r>
      <w:proofErr w:type="spellStart"/>
      <w:r w:rsidRPr="009F039C">
        <w:rPr>
          <w:lang w:val="en-GB"/>
        </w:rPr>
        <w:t>Hódosi</w:t>
      </w:r>
      <w:proofErr w:type="spellEnd"/>
      <w:r w:rsidRPr="009F039C">
        <w:rPr>
          <w:lang w:val="en-GB"/>
        </w:rPr>
        <w:t xml:space="preserve">, 2012) reiterated these issues noting that there has hardly been progress on any of them. </w:t>
      </w:r>
    </w:p>
    <w:p w:rsidR="00CB6803" w:rsidRPr="009F039C" w:rsidRDefault="00CB6803" w:rsidP="00E8788A">
      <w:pPr>
        <w:spacing w:line="360" w:lineRule="auto"/>
        <w:jc w:val="both"/>
        <w:rPr>
          <w:lang w:val="en-GB"/>
        </w:rPr>
      </w:pPr>
      <w:r w:rsidRPr="009F039C">
        <w:rPr>
          <w:lang w:val="en-GB"/>
        </w:rPr>
        <w:t xml:space="preserve">A key difference between the capacities for advocacy of FoRS and HAND seems to lie in their composition: FoRS represents the Czech NGDO sector well and is relatively strong financially. HAND’s weakness </w:t>
      </w:r>
      <w:r w:rsidR="00FD623F" w:rsidRPr="009F039C">
        <w:rPr>
          <w:lang w:val="en-GB"/>
        </w:rPr>
        <w:t xml:space="preserve">reflects the </w:t>
      </w:r>
      <w:r w:rsidRPr="009F039C">
        <w:rPr>
          <w:lang w:val="en-GB"/>
        </w:rPr>
        <w:t>divided nature of the Hungarian NGDO sector</w:t>
      </w:r>
      <w:r w:rsidR="00984DE0">
        <w:rPr>
          <w:lang w:val="en-GB"/>
        </w:rPr>
        <w:t xml:space="preserve">, and to some extent </w:t>
      </w:r>
      <w:r w:rsidR="00FD623F" w:rsidRPr="009F039C">
        <w:rPr>
          <w:lang w:val="en-GB"/>
        </w:rPr>
        <w:t>the impact of the economic crisis.</w:t>
      </w:r>
    </w:p>
    <w:p w:rsidR="00A06D81" w:rsidRPr="009F039C" w:rsidRDefault="00A06D81" w:rsidP="007A6EF8">
      <w:pPr>
        <w:spacing w:line="360" w:lineRule="auto"/>
        <w:jc w:val="both"/>
        <w:rPr>
          <w:lang w:val="en-GB"/>
        </w:rPr>
      </w:pPr>
    </w:p>
    <w:p w:rsidR="00F43C23" w:rsidRPr="009F039C" w:rsidRDefault="00762A9C" w:rsidP="007A6EF8">
      <w:pPr>
        <w:spacing w:line="360" w:lineRule="auto"/>
        <w:jc w:val="both"/>
        <w:rPr>
          <w:b/>
          <w:i/>
          <w:lang w:val="en-GB"/>
        </w:rPr>
      </w:pPr>
      <w:r w:rsidRPr="009F039C">
        <w:rPr>
          <w:b/>
          <w:i/>
          <w:lang w:val="en-GB"/>
        </w:rPr>
        <w:t xml:space="preserve">4.2. </w:t>
      </w:r>
      <w:r w:rsidR="00F43C23" w:rsidRPr="009F039C">
        <w:rPr>
          <w:b/>
          <w:i/>
          <w:lang w:val="en-GB"/>
        </w:rPr>
        <w:t xml:space="preserve">NGDO </w:t>
      </w:r>
      <w:r w:rsidRPr="009F039C">
        <w:rPr>
          <w:b/>
          <w:i/>
          <w:lang w:val="en-GB"/>
        </w:rPr>
        <w:t>communities</w:t>
      </w:r>
      <w:r w:rsidR="00CB6803" w:rsidRPr="009F039C">
        <w:rPr>
          <w:b/>
          <w:i/>
          <w:lang w:val="en-GB"/>
        </w:rPr>
        <w:t>, access to financing,</w:t>
      </w:r>
      <w:r w:rsidRPr="009F039C">
        <w:rPr>
          <w:b/>
          <w:i/>
          <w:lang w:val="en-GB"/>
        </w:rPr>
        <w:t xml:space="preserve"> and public opinion </w:t>
      </w:r>
    </w:p>
    <w:p w:rsidR="00D972F7" w:rsidRPr="009F039C" w:rsidRDefault="00D972F7" w:rsidP="00D972F7">
      <w:pPr>
        <w:spacing w:line="360" w:lineRule="auto"/>
        <w:jc w:val="both"/>
        <w:rPr>
          <w:lang w:val="en-GB"/>
        </w:rPr>
      </w:pPr>
      <w:r w:rsidRPr="009F039C">
        <w:rPr>
          <w:lang w:val="en-GB"/>
        </w:rPr>
        <w:t>Concerning capacities of individual NGDOs, the ones from the Czech Republic seem stronger. PIN, the largest Czech NGDO was more than twice as large as the biggest Hungarian, HIA</w:t>
      </w:r>
      <w:r w:rsidR="007773C2">
        <w:rPr>
          <w:lang w:val="en-GB"/>
        </w:rPr>
        <w:t>,</w:t>
      </w:r>
      <w:r w:rsidRPr="009F039C">
        <w:rPr>
          <w:lang w:val="en-GB"/>
        </w:rPr>
        <w:t xml:space="preserve"> in terms of its balance sheet in 2010. In Hungary, beyond the three large faith based NGDOs, only 4-5 smaller ones have meaningful activities abroad, the others are mainly involved in development education (Selmeczi, 2013: 13), while in the Czech Republic there are almost two dozen NGDOs wh</w:t>
      </w:r>
      <w:r w:rsidR="007773C2">
        <w:rPr>
          <w:lang w:val="en-GB"/>
        </w:rPr>
        <w:t>ich</w:t>
      </w:r>
      <w:r w:rsidRPr="009F039C">
        <w:rPr>
          <w:lang w:val="en-GB"/>
        </w:rPr>
        <w:t xml:space="preserve"> are regularly active abroad.</w:t>
      </w:r>
      <w:r w:rsidR="00CB6803" w:rsidRPr="009F039C">
        <w:rPr>
          <w:rStyle w:val="EndnoteReference"/>
          <w:lang w:val="en-GB"/>
        </w:rPr>
        <w:endnoteReference w:id="12"/>
      </w:r>
      <w:r w:rsidRPr="009F039C">
        <w:rPr>
          <w:lang w:val="en-GB"/>
        </w:rPr>
        <w:t xml:space="preserve"> </w:t>
      </w:r>
      <w:r w:rsidR="00CB6803" w:rsidRPr="009F039C">
        <w:rPr>
          <w:lang w:val="en-GB"/>
        </w:rPr>
        <w:t xml:space="preserve">We investigate two reasons for these differences: the abilities of NGDOs to access external financing, and public support for international development. </w:t>
      </w:r>
    </w:p>
    <w:p w:rsidR="00CB6803" w:rsidRPr="009F039C" w:rsidRDefault="00CB6803" w:rsidP="00CB6803">
      <w:pPr>
        <w:spacing w:line="360" w:lineRule="auto"/>
        <w:jc w:val="both"/>
        <w:rPr>
          <w:lang w:val="en-GB"/>
        </w:rPr>
      </w:pPr>
      <w:r w:rsidRPr="009F039C">
        <w:rPr>
          <w:lang w:val="en-GB"/>
        </w:rPr>
        <w:t xml:space="preserve">As mentioned, EU accession has opened the possibility for </w:t>
      </w:r>
      <w:r w:rsidR="00A63D75" w:rsidRPr="009F039C">
        <w:rPr>
          <w:lang w:val="en-GB"/>
        </w:rPr>
        <w:t>ECE</w:t>
      </w:r>
      <w:r w:rsidRPr="009F039C">
        <w:rPr>
          <w:lang w:val="en-GB"/>
        </w:rPr>
        <w:t xml:space="preserve"> NGDOs to apply for grant financing, and after 2007 the EC has even ‘ring fenced’ a certain portion of its funds in the EU budget for national awareness raising and development education projects</w:t>
      </w:r>
      <w:r w:rsidR="00A63D75" w:rsidRPr="009F039C">
        <w:rPr>
          <w:lang w:val="en-GB"/>
        </w:rPr>
        <w:t xml:space="preserve"> of these NGDOs</w:t>
      </w:r>
      <w:r w:rsidRPr="009F039C">
        <w:rPr>
          <w:lang w:val="en-GB"/>
        </w:rPr>
        <w:t xml:space="preserve">. </w:t>
      </w:r>
      <w:r w:rsidR="007773C2">
        <w:rPr>
          <w:lang w:val="en-GB"/>
        </w:rPr>
        <w:t>NGDO p</w:t>
      </w:r>
      <w:r w:rsidRPr="009F039C">
        <w:rPr>
          <w:lang w:val="en-GB"/>
        </w:rPr>
        <w:t xml:space="preserve">articipation in EC grants </w:t>
      </w:r>
      <w:r w:rsidR="007773C2">
        <w:rPr>
          <w:lang w:val="en-GB"/>
        </w:rPr>
        <w:t>however is low</w:t>
      </w:r>
      <w:r w:rsidRPr="009F039C">
        <w:rPr>
          <w:lang w:val="en-GB"/>
        </w:rPr>
        <w:t xml:space="preserve"> </w:t>
      </w:r>
      <w:r w:rsidR="007773C2">
        <w:rPr>
          <w:lang w:val="en-GB"/>
        </w:rPr>
        <w:t>for</w:t>
      </w:r>
      <w:r w:rsidRPr="009F039C">
        <w:rPr>
          <w:lang w:val="en-GB"/>
        </w:rPr>
        <w:t xml:space="preserve"> both </w:t>
      </w:r>
      <w:r w:rsidR="007773C2">
        <w:rPr>
          <w:lang w:val="en-GB"/>
        </w:rPr>
        <w:t>countries</w:t>
      </w:r>
      <w:r w:rsidRPr="009F039C">
        <w:rPr>
          <w:lang w:val="en-GB"/>
        </w:rPr>
        <w:t>, but the Czech NGDO community seems to do better. Although there is no data on the number of Czech and Hungarian</w:t>
      </w:r>
      <w:r w:rsidR="007773C2">
        <w:rPr>
          <w:lang w:val="en-GB"/>
        </w:rPr>
        <w:t xml:space="preserve"> grant</w:t>
      </w:r>
      <w:r w:rsidRPr="009F039C">
        <w:rPr>
          <w:lang w:val="en-GB"/>
        </w:rPr>
        <w:t xml:space="preserve"> </w:t>
      </w:r>
      <w:proofErr w:type="gramStart"/>
      <w:r w:rsidRPr="009F039C">
        <w:rPr>
          <w:lang w:val="en-GB"/>
        </w:rPr>
        <w:t>applications,</w:t>
      </w:r>
      <w:proofErr w:type="gramEnd"/>
      <w:r w:rsidRPr="009F039C">
        <w:rPr>
          <w:lang w:val="en-GB"/>
        </w:rPr>
        <w:t xml:space="preserve"> or on how many NGDOs apply as partners in consortia, the EC’s Grant Beneficiaries Database</w:t>
      </w:r>
      <w:r w:rsidRPr="009F039C">
        <w:rPr>
          <w:rStyle w:val="EndnoteReference"/>
          <w:lang w:val="en-GB"/>
        </w:rPr>
        <w:endnoteReference w:id="13"/>
      </w:r>
      <w:r w:rsidRPr="009F039C">
        <w:rPr>
          <w:lang w:val="en-GB"/>
        </w:rPr>
        <w:t xml:space="preserve"> does reveal the identity of the lead partner in successful grant applications. While this proxy definitely underestimates </w:t>
      </w:r>
      <w:r w:rsidR="00A63D75" w:rsidRPr="009F039C">
        <w:rPr>
          <w:lang w:val="en-GB"/>
        </w:rPr>
        <w:t>ECE</w:t>
      </w:r>
      <w:r w:rsidRPr="009F039C">
        <w:rPr>
          <w:lang w:val="en-GB"/>
        </w:rPr>
        <w:t xml:space="preserve"> NGDO participation, the result is telling: between 2007 and 2011 50 grants were approved for NGDOs from the Czech Republic and Hungary (see Figure </w:t>
      </w:r>
      <w:r w:rsidR="00242B89" w:rsidRPr="009F039C">
        <w:rPr>
          <w:lang w:val="en-GB"/>
        </w:rPr>
        <w:t>2</w:t>
      </w:r>
      <w:r w:rsidRPr="009F039C">
        <w:rPr>
          <w:lang w:val="en-GB"/>
        </w:rPr>
        <w:t xml:space="preserve">, which also includes data for Poland, Slovakia and Slovenia for comparison), as opposed to the total number of 11,135 grants </w:t>
      </w:r>
      <w:r w:rsidR="007773C2">
        <w:rPr>
          <w:lang w:val="en-GB"/>
        </w:rPr>
        <w:t>awarded</w:t>
      </w:r>
      <w:r w:rsidRPr="009F039C">
        <w:rPr>
          <w:lang w:val="en-GB"/>
        </w:rPr>
        <w:t xml:space="preserve"> </w:t>
      </w:r>
      <w:r w:rsidR="00545B42">
        <w:rPr>
          <w:lang w:val="en-GB"/>
        </w:rPr>
        <w:t xml:space="preserve">for applicants from all countries </w:t>
      </w:r>
      <w:r w:rsidRPr="009F039C">
        <w:rPr>
          <w:lang w:val="en-GB"/>
        </w:rPr>
        <w:t>during the five year period. Out of the 50 grants, 34 were won by Czech NGDOs, and 16 by Hungarians. With similar levels of population, and assuming that the number of grants awarded per country correlates with the number of proposals submitted, this clearly marks Czech NGDOs as more successful in accessing EU funds.</w:t>
      </w:r>
      <w:r w:rsidRPr="009F039C">
        <w:rPr>
          <w:rStyle w:val="EndnoteReference"/>
          <w:lang w:val="en-GB"/>
        </w:rPr>
        <w:endnoteReference w:id="14"/>
      </w:r>
    </w:p>
    <w:p w:rsidR="00CB6803" w:rsidRPr="009F039C" w:rsidRDefault="00CB6803" w:rsidP="00CB6803">
      <w:pPr>
        <w:spacing w:line="360" w:lineRule="auto"/>
        <w:rPr>
          <w:lang w:val="en-GB"/>
        </w:rPr>
      </w:pPr>
    </w:p>
    <w:p w:rsidR="00CB6803" w:rsidRPr="009F039C" w:rsidRDefault="00CB6803" w:rsidP="00CB6803">
      <w:pPr>
        <w:spacing w:line="360" w:lineRule="auto"/>
        <w:jc w:val="center"/>
        <w:rPr>
          <w:lang w:val="en-GB"/>
        </w:rPr>
      </w:pPr>
      <w:r w:rsidRPr="009F039C">
        <w:rPr>
          <w:noProof/>
          <w:lang w:val="en-GB" w:eastAsia="en-GB"/>
        </w:rPr>
        <w:lastRenderedPageBreak/>
        <w:drawing>
          <wp:inline distT="0" distB="0" distL="0" distR="0">
            <wp:extent cx="4116667" cy="2127624"/>
            <wp:effectExtent l="19050" t="0" r="17183" b="5976"/>
            <wp:docPr id="3"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6803" w:rsidRPr="009F039C" w:rsidRDefault="00CB6803" w:rsidP="00CB6803">
      <w:pPr>
        <w:spacing w:line="360" w:lineRule="auto"/>
        <w:jc w:val="center"/>
        <w:rPr>
          <w:lang w:val="en-GB"/>
        </w:rPr>
      </w:pPr>
      <w:proofErr w:type="gramStart"/>
      <w:r w:rsidRPr="009F039C">
        <w:rPr>
          <w:lang w:val="en-GB"/>
        </w:rPr>
        <w:t xml:space="preserve">Figure </w:t>
      </w:r>
      <w:r w:rsidR="00242B89" w:rsidRPr="009F039C">
        <w:rPr>
          <w:lang w:val="en-GB"/>
        </w:rPr>
        <w:t>2</w:t>
      </w:r>
      <w:r w:rsidRPr="009F039C">
        <w:rPr>
          <w:lang w:val="en-GB"/>
        </w:rPr>
        <w:t>.</w:t>
      </w:r>
      <w:proofErr w:type="gramEnd"/>
      <w:r w:rsidRPr="009F039C">
        <w:rPr>
          <w:lang w:val="en-GB"/>
        </w:rPr>
        <w:t xml:space="preserve"> Number of EU-financed external assistance grants won by NGDO lead partners from selected </w:t>
      </w:r>
      <w:r w:rsidR="00A63D75" w:rsidRPr="009F039C">
        <w:rPr>
          <w:lang w:val="en-GB"/>
        </w:rPr>
        <w:t>ECE countries</w:t>
      </w:r>
    </w:p>
    <w:p w:rsidR="00CB6803" w:rsidRPr="009F039C" w:rsidRDefault="00CB6803" w:rsidP="00CB6803">
      <w:pPr>
        <w:spacing w:line="360" w:lineRule="auto"/>
        <w:jc w:val="center"/>
        <w:rPr>
          <w:sz w:val="18"/>
          <w:szCs w:val="18"/>
          <w:lang w:val="en-GB"/>
        </w:rPr>
      </w:pPr>
      <w:r w:rsidRPr="009F039C">
        <w:rPr>
          <w:sz w:val="18"/>
          <w:szCs w:val="18"/>
          <w:lang w:val="en-GB"/>
        </w:rPr>
        <w:t xml:space="preserve">Source: EC Grant Beneficiaries Database and </w:t>
      </w:r>
      <w:proofErr w:type="spellStart"/>
      <w:r w:rsidRPr="009F039C">
        <w:rPr>
          <w:sz w:val="18"/>
          <w:szCs w:val="18"/>
          <w:lang w:val="en-GB"/>
        </w:rPr>
        <w:t>Zázvorková</w:t>
      </w:r>
      <w:proofErr w:type="spellEnd"/>
      <w:r w:rsidRPr="009F039C">
        <w:rPr>
          <w:sz w:val="18"/>
          <w:szCs w:val="18"/>
          <w:lang w:val="en-GB"/>
        </w:rPr>
        <w:t xml:space="preserve"> (2011)</w:t>
      </w:r>
    </w:p>
    <w:p w:rsidR="00CB6803" w:rsidRPr="009F039C" w:rsidRDefault="00CB6803" w:rsidP="00CB6803">
      <w:pPr>
        <w:spacing w:line="360" w:lineRule="auto"/>
        <w:rPr>
          <w:lang w:val="en-GB"/>
        </w:rPr>
      </w:pPr>
    </w:p>
    <w:p w:rsidR="00ED0CA4" w:rsidRPr="009F039C" w:rsidRDefault="00D972F7" w:rsidP="00D972F7">
      <w:pPr>
        <w:spacing w:line="360" w:lineRule="auto"/>
        <w:jc w:val="both"/>
        <w:rPr>
          <w:lang w:val="en-GB"/>
        </w:rPr>
      </w:pPr>
      <w:r w:rsidRPr="009F039C">
        <w:rPr>
          <w:lang w:val="en-GB"/>
        </w:rPr>
        <w:t>NGDOs in both countries usually blame low levels of public awareness for their inabilities to raise funds from donations, although Czech NGDOs have noted that the private donations they receive, while still not substantial, are increasing.</w:t>
      </w:r>
      <w:r w:rsidRPr="009F039C">
        <w:rPr>
          <w:rStyle w:val="EndnoteReference"/>
          <w:lang w:val="en-GB"/>
        </w:rPr>
        <w:endnoteReference w:id="15"/>
      </w:r>
      <w:r w:rsidRPr="009F039C">
        <w:rPr>
          <w:lang w:val="en-GB"/>
        </w:rPr>
        <w:t xml:space="preserve"> </w:t>
      </w:r>
      <w:r w:rsidR="00ED0CA4" w:rsidRPr="009F039C">
        <w:rPr>
          <w:lang w:val="en-GB"/>
        </w:rPr>
        <w:t xml:space="preserve">The only sources of comparable public opinion surveys on development aid are the Special Eurobarometer </w:t>
      </w:r>
      <w:r w:rsidR="007773C2">
        <w:rPr>
          <w:lang w:val="en-GB"/>
        </w:rPr>
        <w:t>Surveys</w:t>
      </w:r>
      <w:r w:rsidR="00ED0CA4" w:rsidRPr="009F039C">
        <w:rPr>
          <w:lang w:val="en-GB"/>
        </w:rPr>
        <w:t xml:space="preserve"> published by the European Commission. Between 2005 and 2013, seven such </w:t>
      </w:r>
      <w:r w:rsidR="007773C2">
        <w:rPr>
          <w:lang w:val="en-GB"/>
        </w:rPr>
        <w:t>surveys</w:t>
      </w:r>
      <w:r w:rsidR="00ED0CA4" w:rsidRPr="009F039C">
        <w:rPr>
          <w:lang w:val="en-GB"/>
        </w:rPr>
        <w:t xml:space="preserve"> were published. The key question of interest asked in these surveys related to how important respondents think it is to help people in poor countries to develop. Six out of the seven reports show that the proportion of respondents in the Czech Republic </w:t>
      </w:r>
      <w:r w:rsidR="00284101" w:rsidRPr="009F039C">
        <w:rPr>
          <w:lang w:val="en-GB"/>
        </w:rPr>
        <w:t>who think helping the poor is very important or fairly important is considerably higher than in Hungary. In 2005 for example</w:t>
      </w:r>
      <w:r w:rsidR="00A053B6" w:rsidRPr="009F039C">
        <w:rPr>
          <w:lang w:val="en-GB"/>
        </w:rPr>
        <w:t>, 86% of Czech respondents said that development aid is important or fairly important as opposed to 73% from Hungary</w:t>
      </w:r>
      <w:r w:rsidR="00834875" w:rsidRPr="009F039C">
        <w:rPr>
          <w:lang w:val="en-GB"/>
        </w:rPr>
        <w:t xml:space="preserve"> (Eurobarometer, 2005, p. 26)</w:t>
      </w:r>
      <w:r w:rsidR="00A053B6" w:rsidRPr="009F039C">
        <w:rPr>
          <w:lang w:val="en-GB"/>
        </w:rPr>
        <w:t>.</w:t>
      </w:r>
      <w:r w:rsidR="00834875" w:rsidRPr="009F039C">
        <w:rPr>
          <w:lang w:val="en-GB"/>
        </w:rPr>
        <w:t>This implies that</w:t>
      </w:r>
      <w:r w:rsidR="00A053B6" w:rsidRPr="009F039C">
        <w:rPr>
          <w:lang w:val="en-GB"/>
        </w:rPr>
        <w:t xml:space="preserve"> Czech NGDOs may have had a larger societal base to rely upon</w:t>
      </w:r>
      <w:r w:rsidR="00834875" w:rsidRPr="009F039C">
        <w:rPr>
          <w:lang w:val="en-GB"/>
        </w:rPr>
        <w:t xml:space="preserve"> both in terms of raising funds and also showing their legitimacy towards the government</w:t>
      </w:r>
      <w:r w:rsidR="00A053B6" w:rsidRPr="009F039C">
        <w:rPr>
          <w:lang w:val="en-GB"/>
        </w:rPr>
        <w:t xml:space="preserve">. This notion is reinforced </w:t>
      </w:r>
      <w:r w:rsidR="00834875" w:rsidRPr="009F039C">
        <w:rPr>
          <w:lang w:val="en-GB"/>
        </w:rPr>
        <w:t>by interviews. According to a senior manager from a large Czech</w:t>
      </w:r>
      <w:r w:rsidR="00A053B6" w:rsidRPr="009F039C">
        <w:rPr>
          <w:lang w:val="en-GB"/>
        </w:rPr>
        <w:t xml:space="preserve"> NGDO:</w:t>
      </w:r>
    </w:p>
    <w:p w:rsidR="00A053B6" w:rsidRPr="009F039C" w:rsidRDefault="00A053B6" w:rsidP="00A053B6">
      <w:pPr>
        <w:spacing w:line="360" w:lineRule="auto"/>
        <w:ind w:left="567" w:right="567"/>
        <w:jc w:val="both"/>
        <w:rPr>
          <w:sz w:val="20"/>
          <w:szCs w:val="20"/>
          <w:lang w:val="en-GB"/>
        </w:rPr>
      </w:pPr>
      <w:r w:rsidRPr="009F039C">
        <w:rPr>
          <w:sz w:val="20"/>
          <w:szCs w:val="20"/>
          <w:lang w:val="en-GB"/>
        </w:rPr>
        <w:t>There is generally a positive perception of NGOs in Czech Society […]</w:t>
      </w:r>
      <w:r w:rsidR="00C62EAB" w:rsidRPr="009F039C">
        <w:rPr>
          <w:sz w:val="20"/>
          <w:szCs w:val="20"/>
          <w:lang w:val="en-GB"/>
        </w:rPr>
        <w:t xml:space="preserve">, and </w:t>
      </w:r>
      <w:r w:rsidR="007773C2">
        <w:rPr>
          <w:sz w:val="20"/>
          <w:szCs w:val="20"/>
          <w:lang w:val="en-GB"/>
        </w:rPr>
        <w:t xml:space="preserve">a </w:t>
      </w:r>
      <w:r w:rsidR="00C62EAB" w:rsidRPr="009F039C">
        <w:rPr>
          <w:sz w:val="20"/>
          <w:szCs w:val="20"/>
          <w:lang w:val="en-GB"/>
        </w:rPr>
        <w:t xml:space="preserve">feeling that it is good to help other. Increase in public support is visible, and </w:t>
      </w:r>
      <w:r w:rsidR="007773C2">
        <w:rPr>
          <w:sz w:val="20"/>
          <w:szCs w:val="20"/>
          <w:lang w:val="en-GB"/>
        </w:rPr>
        <w:t>donations</w:t>
      </w:r>
      <w:r w:rsidR="00C62EAB" w:rsidRPr="009F039C">
        <w:rPr>
          <w:sz w:val="20"/>
          <w:szCs w:val="20"/>
          <w:lang w:val="en-GB"/>
        </w:rPr>
        <w:t xml:space="preserve"> ha</w:t>
      </w:r>
      <w:r w:rsidR="007773C2">
        <w:rPr>
          <w:sz w:val="20"/>
          <w:szCs w:val="20"/>
          <w:lang w:val="en-GB"/>
        </w:rPr>
        <w:t>ve</w:t>
      </w:r>
      <w:r w:rsidR="00C62EAB" w:rsidRPr="009F039C">
        <w:rPr>
          <w:sz w:val="20"/>
          <w:szCs w:val="20"/>
          <w:lang w:val="en-GB"/>
        </w:rPr>
        <w:t xml:space="preserve"> grown dramatically for many organizations, although </w:t>
      </w:r>
      <w:r w:rsidR="007773C2">
        <w:rPr>
          <w:sz w:val="20"/>
          <w:szCs w:val="20"/>
          <w:lang w:val="en-GB"/>
        </w:rPr>
        <w:t>they are</w:t>
      </w:r>
      <w:r w:rsidR="00C62EAB" w:rsidRPr="009F039C">
        <w:rPr>
          <w:sz w:val="20"/>
          <w:szCs w:val="20"/>
          <w:lang w:val="en-GB"/>
        </w:rPr>
        <w:t xml:space="preserve"> still small</w:t>
      </w:r>
      <w:r w:rsidRPr="009F039C">
        <w:rPr>
          <w:sz w:val="20"/>
          <w:szCs w:val="20"/>
          <w:lang w:val="en-GB"/>
        </w:rPr>
        <w:t>.</w:t>
      </w:r>
      <w:r w:rsidR="00834875" w:rsidRPr="009F039C">
        <w:rPr>
          <w:rStyle w:val="EndnoteReference"/>
          <w:sz w:val="20"/>
          <w:szCs w:val="20"/>
          <w:lang w:val="en-GB"/>
        </w:rPr>
        <w:endnoteReference w:id="16"/>
      </w:r>
    </w:p>
    <w:p w:rsidR="00A053B6" w:rsidRPr="009F039C" w:rsidRDefault="00C62EAB" w:rsidP="00A053B6">
      <w:pPr>
        <w:spacing w:line="360" w:lineRule="auto"/>
        <w:jc w:val="both"/>
        <w:rPr>
          <w:lang w:val="en-GB"/>
        </w:rPr>
      </w:pPr>
      <w:r w:rsidRPr="009F039C">
        <w:rPr>
          <w:lang w:val="en-GB"/>
        </w:rPr>
        <w:t>As for the reasons of this growing support, another NGDO representative argued that:</w:t>
      </w:r>
    </w:p>
    <w:p w:rsidR="00C62EAB" w:rsidRPr="009F039C" w:rsidRDefault="00C62EAB" w:rsidP="00C62EAB">
      <w:pPr>
        <w:spacing w:line="360" w:lineRule="auto"/>
        <w:ind w:left="567" w:right="567"/>
        <w:jc w:val="both"/>
        <w:rPr>
          <w:sz w:val="20"/>
          <w:szCs w:val="20"/>
          <w:lang w:val="en-GB"/>
        </w:rPr>
      </w:pPr>
      <w:r w:rsidRPr="009F039C">
        <w:rPr>
          <w:sz w:val="20"/>
          <w:szCs w:val="20"/>
          <w:lang w:val="en-GB"/>
        </w:rPr>
        <w:lastRenderedPageBreak/>
        <w:t>[Czech people] are better off and wealthier. They like to travel and are excited about seeing exotic places […]. This also means that they come into contact with developing countries and experience poverty […]. They want to do something meaningful.</w:t>
      </w:r>
      <w:r w:rsidR="00834875" w:rsidRPr="009F039C">
        <w:rPr>
          <w:rStyle w:val="EndnoteReference"/>
          <w:sz w:val="20"/>
          <w:szCs w:val="20"/>
          <w:lang w:val="en-GB"/>
        </w:rPr>
        <w:endnoteReference w:id="17"/>
      </w:r>
    </w:p>
    <w:p w:rsidR="00ED0CA4" w:rsidRPr="009F039C" w:rsidRDefault="00C62EAB" w:rsidP="00D972F7">
      <w:pPr>
        <w:spacing w:line="360" w:lineRule="auto"/>
        <w:jc w:val="both"/>
        <w:rPr>
          <w:lang w:val="en-GB"/>
        </w:rPr>
      </w:pPr>
      <w:r w:rsidRPr="009F039C">
        <w:rPr>
          <w:lang w:val="en-GB"/>
        </w:rPr>
        <w:t xml:space="preserve">Hungarian NGDO experts interviewed however seemed much gloomier on the prospects of raising grassroots funding in cases other than high profile humanitarian catastrophes. </w:t>
      </w:r>
      <w:r w:rsidR="0021793C" w:rsidRPr="009F039C">
        <w:rPr>
          <w:lang w:val="en-GB"/>
        </w:rPr>
        <w:t>This statement from an NGDO interviewee sums it up well: ‘We have tried, but it cost more than what we could raise’.</w:t>
      </w:r>
      <w:r w:rsidR="00834875" w:rsidRPr="009F039C">
        <w:rPr>
          <w:rStyle w:val="EndnoteReference"/>
          <w:lang w:val="en-GB"/>
        </w:rPr>
        <w:t xml:space="preserve"> </w:t>
      </w:r>
      <w:r w:rsidR="00834875" w:rsidRPr="009F039C">
        <w:rPr>
          <w:rStyle w:val="EndnoteReference"/>
          <w:lang w:val="en-GB"/>
        </w:rPr>
        <w:endnoteReference w:id="18"/>
      </w:r>
      <w:r w:rsidR="00834875" w:rsidRPr="009F039C">
        <w:rPr>
          <w:lang w:val="en-GB"/>
        </w:rPr>
        <w:t xml:space="preserve"> </w:t>
      </w:r>
    </w:p>
    <w:p w:rsidR="00834875" w:rsidRPr="009F039C" w:rsidRDefault="00834875" w:rsidP="00D972F7">
      <w:pPr>
        <w:spacing w:line="360" w:lineRule="auto"/>
        <w:jc w:val="both"/>
        <w:rPr>
          <w:lang w:val="en-GB"/>
        </w:rPr>
      </w:pPr>
      <w:r w:rsidRPr="009F039C">
        <w:rPr>
          <w:lang w:val="en-GB"/>
        </w:rPr>
        <w:t xml:space="preserve">Differences in access to EU financing and public opinion can explain why the Czech NGDO sector, and thus also the NGDO platform </w:t>
      </w:r>
      <w:r w:rsidR="00F5044C" w:rsidRPr="009F039C">
        <w:rPr>
          <w:lang w:val="en-GB"/>
        </w:rPr>
        <w:t xml:space="preserve">has stronger capacities and </w:t>
      </w:r>
      <w:r w:rsidRPr="009F039C">
        <w:rPr>
          <w:lang w:val="en-GB"/>
        </w:rPr>
        <w:t xml:space="preserve">is better placed for advocacy than its Hungarian counterpart. There are some indications that </w:t>
      </w:r>
      <w:r w:rsidR="00F5044C" w:rsidRPr="009F039C">
        <w:rPr>
          <w:lang w:val="en-GB"/>
        </w:rPr>
        <w:t xml:space="preserve">this </w:t>
      </w:r>
      <w:r w:rsidRPr="009F039C">
        <w:rPr>
          <w:lang w:val="en-GB"/>
        </w:rPr>
        <w:t xml:space="preserve">correlation </w:t>
      </w:r>
      <w:r w:rsidR="00F5044C" w:rsidRPr="009F039C">
        <w:rPr>
          <w:lang w:val="en-GB"/>
        </w:rPr>
        <w:t xml:space="preserve">also means a casual relationship of NGDO influence on the government: the capacities of FoRS seem to have developed independently of government support, and FoRS has lobbied for the exact same reforms which the government subsequently implemented. </w:t>
      </w:r>
      <w:r w:rsidR="00F740EB">
        <w:rPr>
          <w:lang w:val="en-GB"/>
        </w:rPr>
        <w:t xml:space="preserve">FoRS can rely on a strong NGDO sector and supportive public opinion. </w:t>
      </w:r>
      <w:r w:rsidR="00F5044C" w:rsidRPr="009F039C">
        <w:rPr>
          <w:lang w:val="en-GB"/>
        </w:rPr>
        <w:t xml:space="preserve">HAND’s low capacities are also due to factors which the government did not directly influence (divided NGDO sector, </w:t>
      </w:r>
      <w:r w:rsidR="00F740EB">
        <w:rPr>
          <w:lang w:val="en-GB"/>
        </w:rPr>
        <w:t xml:space="preserve">relatively </w:t>
      </w:r>
      <w:r w:rsidR="00F5044C" w:rsidRPr="009F039C">
        <w:rPr>
          <w:lang w:val="en-GB"/>
        </w:rPr>
        <w:t xml:space="preserve">low public support for development, and a lower ability of NGDOs to attract EU funding). </w:t>
      </w:r>
      <w:r w:rsidRPr="009F039C">
        <w:rPr>
          <w:lang w:val="en-GB"/>
        </w:rPr>
        <w:t xml:space="preserve">In the following section we discuss government attitudes towards NGDOs in the two countries and include some clear </w:t>
      </w:r>
      <w:r w:rsidR="00F5044C" w:rsidRPr="009F039C">
        <w:rPr>
          <w:lang w:val="en-GB"/>
        </w:rPr>
        <w:t>examples</w:t>
      </w:r>
      <w:r w:rsidRPr="009F039C">
        <w:rPr>
          <w:lang w:val="en-GB"/>
        </w:rPr>
        <w:t xml:space="preserve"> which reinforce this casual interpretation. </w:t>
      </w:r>
    </w:p>
    <w:p w:rsidR="00A06D81" w:rsidRPr="009F039C" w:rsidRDefault="00A06D81" w:rsidP="007A6EF8">
      <w:pPr>
        <w:spacing w:line="360" w:lineRule="auto"/>
        <w:jc w:val="both"/>
        <w:rPr>
          <w:lang w:val="en-GB"/>
        </w:rPr>
      </w:pPr>
    </w:p>
    <w:p w:rsidR="00762A9C" w:rsidRPr="009F039C" w:rsidRDefault="00762A9C" w:rsidP="007A6EF8">
      <w:pPr>
        <w:spacing w:line="360" w:lineRule="auto"/>
        <w:jc w:val="both"/>
        <w:rPr>
          <w:b/>
          <w:i/>
          <w:lang w:val="en-GB"/>
        </w:rPr>
      </w:pPr>
      <w:r w:rsidRPr="009F039C">
        <w:rPr>
          <w:b/>
          <w:i/>
          <w:lang w:val="en-GB"/>
        </w:rPr>
        <w:t>4.3.</w:t>
      </w:r>
      <w:r w:rsidR="00F43C23" w:rsidRPr="009F039C">
        <w:rPr>
          <w:b/>
          <w:i/>
          <w:lang w:val="en-GB"/>
        </w:rPr>
        <w:t xml:space="preserve"> </w:t>
      </w:r>
      <w:r w:rsidRPr="009F039C">
        <w:rPr>
          <w:b/>
          <w:i/>
          <w:lang w:val="en-GB"/>
        </w:rPr>
        <w:t>G</w:t>
      </w:r>
      <w:r w:rsidR="00F43C23" w:rsidRPr="009F039C">
        <w:rPr>
          <w:b/>
          <w:i/>
          <w:lang w:val="en-GB"/>
        </w:rPr>
        <w:t>overnment attitudes</w:t>
      </w:r>
      <w:r w:rsidR="00F5044C" w:rsidRPr="009F039C">
        <w:rPr>
          <w:b/>
          <w:i/>
          <w:lang w:val="en-GB"/>
        </w:rPr>
        <w:t xml:space="preserve"> towards NGDOs</w:t>
      </w:r>
    </w:p>
    <w:p w:rsidR="00F43C23" w:rsidRPr="009F039C" w:rsidRDefault="00E8788A" w:rsidP="007A6EF8">
      <w:pPr>
        <w:spacing w:line="360" w:lineRule="auto"/>
        <w:jc w:val="both"/>
        <w:rPr>
          <w:lang w:val="en-GB"/>
        </w:rPr>
      </w:pPr>
      <w:r w:rsidRPr="009F039C">
        <w:rPr>
          <w:lang w:val="en-GB"/>
        </w:rPr>
        <w:t xml:space="preserve">The differences in capacities between the two platforms, as well as the NGDO sectors they represent hint at the fact that FoRS is </w:t>
      </w:r>
      <w:r w:rsidRPr="009F039C">
        <w:rPr>
          <w:i/>
          <w:lang w:val="en-GB"/>
        </w:rPr>
        <w:t>likely</w:t>
      </w:r>
      <w:r w:rsidRPr="009F039C">
        <w:rPr>
          <w:lang w:val="en-GB"/>
        </w:rPr>
        <w:t xml:space="preserve"> to be more influential than HAND. Indeed, the Czech development cooperation </w:t>
      </w:r>
      <w:r w:rsidR="00DB5393" w:rsidRPr="009F039C">
        <w:rPr>
          <w:lang w:val="en-GB"/>
        </w:rPr>
        <w:t xml:space="preserve">system </w:t>
      </w:r>
      <w:r w:rsidRPr="009F039C">
        <w:rPr>
          <w:lang w:val="en-GB"/>
        </w:rPr>
        <w:t xml:space="preserve">seems to be much more aligned with the </w:t>
      </w:r>
      <w:r w:rsidR="00DB5393" w:rsidRPr="009F039C">
        <w:rPr>
          <w:lang w:val="en-GB"/>
        </w:rPr>
        <w:t xml:space="preserve">demands of the FoRS and the MFA and </w:t>
      </w:r>
      <w:proofErr w:type="spellStart"/>
      <w:r w:rsidR="00DB5393" w:rsidRPr="009F039C">
        <w:rPr>
          <w:lang w:val="en-GB"/>
        </w:rPr>
        <w:t>CzDA</w:t>
      </w:r>
      <w:proofErr w:type="spellEnd"/>
      <w:r w:rsidR="00DB5393" w:rsidRPr="009F039C">
        <w:rPr>
          <w:lang w:val="en-GB"/>
        </w:rPr>
        <w:t xml:space="preserve"> have done many small </w:t>
      </w:r>
      <w:r w:rsidR="006B2EFF" w:rsidRPr="009F039C">
        <w:rPr>
          <w:lang w:val="en-GB"/>
        </w:rPr>
        <w:t>favours</w:t>
      </w:r>
      <w:r w:rsidR="00DB5393" w:rsidRPr="009F039C">
        <w:rPr>
          <w:lang w:val="en-GB"/>
        </w:rPr>
        <w:t xml:space="preserve"> and gestures towards NGDOs than in the Hungarian case. </w:t>
      </w:r>
      <w:r w:rsidR="00F740EB">
        <w:rPr>
          <w:lang w:val="en-GB"/>
        </w:rPr>
        <w:t>B</w:t>
      </w:r>
      <w:r w:rsidR="0021793C" w:rsidRPr="009F039C">
        <w:rPr>
          <w:lang w:val="en-GB"/>
        </w:rPr>
        <w:t>ut the issue of causality remains: are Czech NGDOs influential because they have better capacities, or are they stronger because the government supports them and meets their needs? Most likely both casual channels are at work, and</w:t>
      </w:r>
      <w:r w:rsidR="00346689" w:rsidRPr="009F039C">
        <w:rPr>
          <w:lang w:val="en-GB"/>
        </w:rPr>
        <w:t xml:space="preserve"> they are difficult to untangle. None the less, </w:t>
      </w:r>
      <w:r w:rsidR="00DB5393" w:rsidRPr="009F039C">
        <w:rPr>
          <w:lang w:val="en-GB"/>
        </w:rPr>
        <w:t xml:space="preserve">one can find evidence of </w:t>
      </w:r>
      <w:r w:rsidR="00346689" w:rsidRPr="009F039C">
        <w:rPr>
          <w:lang w:val="en-GB"/>
        </w:rPr>
        <w:t xml:space="preserve">NGDO influence on the government </w:t>
      </w:r>
      <w:r w:rsidR="00DB5393" w:rsidRPr="009F039C">
        <w:rPr>
          <w:lang w:val="en-GB"/>
        </w:rPr>
        <w:t xml:space="preserve">when looking at government attitudes towards NGDOs and examining interactions between them. </w:t>
      </w:r>
    </w:p>
    <w:p w:rsidR="005B03F0" w:rsidRPr="009F039C" w:rsidRDefault="005B03F0" w:rsidP="005B03F0">
      <w:pPr>
        <w:spacing w:line="360" w:lineRule="auto"/>
        <w:jc w:val="both"/>
        <w:rPr>
          <w:lang w:val="en-GB"/>
        </w:rPr>
      </w:pPr>
      <w:r w:rsidRPr="009F039C">
        <w:rPr>
          <w:lang w:val="en-GB"/>
        </w:rPr>
        <w:t xml:space="preserve">Both MFA’s have officially acknowledged the respective NGDO platforms as partners, and have given them positions in formal consultative bodies and regularly consult with them </w:t>
      </w:r>
      <w:r w:rsidR="009F7160" w:rsidRPr="009F039C">
        <w:rPr>
          <w:lang w:val="en-GB"/>
        </w:rPr>
        <w:t xml:space="preserve">outside of these </w:t>
      </w:r>
      <w:r w:rsidRPr="009F039C">
        <w:rPr>
          <w:lang w:val="en-GB"/>
        </w:rPr>
        <w:t>on policy matters</w:t>
      </w:r>
      <w:r w:rsidR="00F778BC">
        <w:rPr>
          <w:lang w:val="en-GB"/>
        </w:rPr>
        <w:t xml:space="preserve"> </w:t>
      </w:r>
      <w:r w:rsidR="00F778BC">
        <w:rPr>
          <w:lang w:val="en-GB"/>
        </w:rPr>
        <w:t>(</w:t>
      </w:r>
      <w:proofErr w:type="spellStart"/>
      <w:r w:rsidR="00F778BC">
        <w:rPr>
          <w:lang w:val="en-GB"/>
        </w:rPr>
        <w:t>Szent-</w:t>
      </w:r>
      <w:r w:rsidR="00F778BC" w:rsidRPr="00371F6B">
        <w:rPr>
          <w:lang w:val="en-GB"/>
        </w:rPr>
        <w:t>Iványi</w:t>
      </w:r>
      <w:proofErr w:type="spellEnd"/>
      <w:r w:rsidR="00F778BC">
        <w:rPr>
          <w:lang w:val="en-GB"/>
        </w:rPr>
        <w:t xml:space="preserve"> and Lightfoot 2015)</w:t>
      </w:r>
      <w:bookmarkStart w:id="0" w:name="_GoBack"/>
      <w:bookmarkEnd w:id="0"/>
      <w:r w:rsidRPr="009F039C">
        <w:rPr>
          <w:lang w:val="en-GB"/>
        </w:rPr>
        <w:t xml:space="preserve">. The relations between FoRS and the MFA were described as cooperative by both sides. NGDOs evaluated it as ‘good and stable’, with the MFA being </w:t>
      </w:r>
      <w:r w:rsidR="00F06B82" w:rsidRPr="009F039C">
        <w:rPr>
          <w:lang w:val="en-GB"/>
        </w:rPr>
        <w:lastRenderedPageBreak/>
        <w:t>‘supportive of NGDO ideas’,</w:t>
      </w:r>
      <w:r w:rsidR="00F06B82" w:rsidRPr="009F039C">
        <w:rPr>
          <w:rStyle w:val="EndnoteReference"/>
          <w:lang w:val="en-GB"/>
        </w:rPr>
        <w:endnoteReference w:id="19"/>
      </w:r>
      <w:r w:rsidR="00F06B82" w:rsidRPr="009F039C">
        <w:rPr>
          <w:lang w:val="en-GB"/>
        </w:rPr>
        <w:t xml:space="preserve"> and </w:t>
      </w:r>
      <w:r w:rsidRPr="009F039C">
        <w:rPr>
          <w:lang w:val="en-GB"/>
        </w:rPr>
        <w:t>open to discuss all issues</w:t>
      </w:r>
      <w:r w:rsidR="00F06B82" w:rsidRPr="009F039C">
        <w:rPr>
          <w:lang w:val="en-GB"/>
        </w:rPr>
        <w:t>.</w:t>
      </w:r>
      <w:r w:rsidRPr="009F039C">
        <w:rPr>
          <w:rStyle w:val="EndnoteReference"/>
          <w:lang w:val="en-GB"/>
        </w:rPr>
        <w:endnoteReference w:id="20"/>
      </w:r>
      <w:r w:rsidRPr="009F039C">
        <w:rPr>
          <w:lang w:val="en-GB"/>
        </w:rPr>
        <w:t xml:space="preserve"> </w:t>
      </w:r>
      <w:r w:rsidR="00F06B82" w:rsidRPr="009F039C">
        <w:rPr>
          <w:lang w:val="en-GB"/>
        </w:rPr>
        <w:t>Interviewees from the Czech MFA were, as could be expected, highly diplomatic when commenting on their relationship with the platform. O</w:t>
      </w:r>
      <w:r w:rsidRPr="009F039C">
        <w:rPr>
          <w:lang w:val="en-GB"/>
        </w:rPr>
        <w:t xml:space="preserve">fficials maintained that they take the </w:t>
      </w:r>
      <w:r w:rsidR="009F7160" w:rsidRPr="009F039C">
        <w:rPr>
          <w:lang w:val="en-GB"/>
        </w:rPr>
        <w:t>‘</w:t>
      </w:r>
      <w:r w:rsidRPr="009F039C">
        <w:rPr>
          <w:lang w:val="en-GB"/>
        </w:rPr>
        <w:t>views of the sector seriously</w:t>
      </w:r>
      <w:r w:rsidR="009F7160" w:rsidRPr="009F039C">
        <w:rPr>
          <w:lang w:val="en-GB"/>
        </w:rPr>
        <w:t>’</w:t>
      </w:r>
      <w:r w:rsidRPr="009F039C">
        <w:rPr>
          <w:lang w:val="en-GB"/>
        </w:rPr>
        <w:t xml:space="preserve"> and </w:t>
      </w:r>
      <w:r w:rsidR="009F7160" w:rsidRPr="009F039C">
        <w:rPr>
          <w:lang w:val="en-GB"/>
        </w:rPr>
        <w:t>‘</w:t>
      </w:r>
      <w:r w:rsidRPr="009F039C">
        <w:rPr>
          <w:lang w:val="en-GB"/>
        </w:rPr>
        <w:t>value it</w:t>
      </w:r>
      <w:r w:rsidR="009F7160" w:rsidRPr="009F039C">
        <w:rPr>
          <w:lang w:val="en-GB"/>
        </w:rPr>
        <w:t>’</w:t>
      </w:r>
      <w:r w:rsidRPr="009F039C">
        <w:rPr>
          <w:lang w:val="en-GB"/>
        </w:rPr>
        <w:t>.</w:t>
      </w:r>
      <w:r w:rsidRPr="009F039C">
        <w:rPr>
          <w:rStyle w:val="EndnoteReference"/>
          <w:lang w:val="en-GB"/>
        </w:rPr>
        <w:endnoteReference w:id="21"/>
      </w:r>
      <w:r w:rsidRPr="009F039C">
        <w:rPr>
          <w:lang w:val="en-GB"/>
        </w:rPr>
        <w:t xml:space="preserve"> According </w:t>
      </w:r>
      <w:r w:rsidR="00F06B82" w:rsidRPr="009F039C">
        <w:rPr>
          <w:lang w:val="en-GB"/>
        </w:rPr>
        <w:t>them</w:t>
      </w:r>
      <w:r w:rsidRPr="009F039C">
        <w:rPr>
          <w:lang w:val="en-GB"/>
        </w:rPr>
        <w:t>, FoRS is very vocal, but generally supportive of the MFA.</w:t>
      </w:r>
      <w:r w:rsidRPr="009F039C">
        <w:rPr>
          <w:rStyle w:val="EndnoteReference"/>
          <w:lang w:val="en-GB"/>
        </w:rPr>
        <w:endnoteReference w:id="22"/>
      </w:r>
      <w:r w:rsidRPr="009F039C">
        <w:rPr>
          <w:lang w:val="en-GB"/>
        </w:rPr>
        <w:t xml:space="preserve"> </w:t>
      </w:r>
      <w:r w:rsidR="00F06B82" w:rsidRPr="009F039C">
        <w:rPr>
          <w:lang w:val="en-GB"/>
        </w:rPr>
        <w:t xml:space="preserve">An interviewee from the </w:t>
      </w:r>
      <w:proofErr w:type="spellStart"/>
      <w:r w:rsidR="00F06B82" w:rsidRPr="009F039C">
        <w:rPr>
          <w:lang w:val="en-GB"/>
        </w:rPr>
        <w:t>CzDA</w:t>
      </w:r>
      <w:proofErr w:type="spellEnd"/>
      <w:r w:rsidR="00F06B82" w:rsidRPr="009F039C">
        <w:rPr>
          <w:lang w:val="en-GB"/>
        </w:rPr>
        <w:t xml:space="preserve"> argued that they have instituted many changes due to advocacy from Czech NGDOs.</w:t>
      </w:r>
      <w:r w:rsidR="00F06B82" w:rsidRPr="009F039C">
        <w:rPr>
          <w:rStyle w:val="EndnoteReference"/>
          <w:lang w:val="en-GB"/>
        </w:rPr>
        <w:endnoteReference w:id="23"/>
      </w:r>
      <w:r w:rsidR="00F06B82" w:rsidRPr="009F039C">
        <w:rPr>
          <w:lang w:val="en-GB"/>
        </w:rPr>
        <w:t xml:space="preserve"> </w:t>
      </w:r>
      <w:r w:rsidRPr="009F039C">
        <w:rPr>
          <w:lang w:val="en-GB"/>
        </w:rPr>
        <w:t xml:space="preserve">The MFA seems to have developed a close partnership with FoRS, something acknowledged by an OECD </w:t>
      </w:r>
      <w:r w:rsidR="009F7160" w:rsidRPr="009F039C">
        <w:rPr>
          <w:lang w:val="en-GB"/>
        </w:rPr>
        <w:t>DAC Special R</w:t>
      </w:r>
      <w:r w:rsidRPr="009F039C">
        <w:rPr>
          <w:lang w:val="en-GB"/>
        </w:rPr>
        <w:t xml:space="preserve">eview </w:t>
      </w:r>
      <w:r w:rsidR="009F7160" w:rsidRPr="009F039C">
        <w:rPr>
          <w:lang w:val="en-GB"/>
        </w:rPr>
        <w:t xml:space="preserve">of Czech foreign aid policy </w:t>
      </w:r>
      <w:r w:rsidRPr="009F039C">
        <w:rPr>
          <w:lang w:val="en-GB"/>
        </w:rPr>
        <w:t>in 2007 (OECD, 2007), and instead of viewing consultation with the platform as burdensome, it uses FoRS to enhance its own legitimacy.</w:t>
      </w:r>
      <w:r w:rsidR="009F7160" w:rsidRPr="009F039C">
        <w:rPr>
          <w:rStyle w:val="EndnoteReference"/>
          <w:lang w:val="en-GB"/>
        </w:rPr>
        <w:endnoteReference w:id="24"/>
      </w:r>
      <w:r w:rsidRPr="009F039C">
        <w:rPr>
          <w:lang w:val="en-GB"/>
        </w:rPr>
        <w:t xml:space="preserve"> There seems to be recognition that FoRS is a natural ally of the MFA as opposed to other branches of government, an issue which was cl</w:t>
      </w:r>
      <w:r w:rsidR="009F7160" w:rsidRPr="009F039C">
        <w:rPr>
          <w:lang w:val="en-GB"/>
        </w:rPr>
        <w:t>early shown during the 2007-2011</w:t>
      </w:r>
      <w:r w:rsidRPr="009F039C">
        <w:rPr>
          <w:lang w:val="en-GB"/>
        </w:rPr>
        <w:t xml:space="preserve"> </w:t>
      </w:r>
      <w:r w:rsidR="009F7160" w:rsidRPr="009F039C">
        <w:rPr>
          <w:lang w:val="en-GB"/>
        </w:rPr>
        <w:t>reform of Czech international development policy</w:t>
      </w:r>
      <w:r w:rsidRPr="009F039C">
        <w:rPr>
          <w:lang w:val="en-GB"/>
        </w:rPr>
        <w:t>.</w:t>
      </w:r>
      <w:r w:rsidR="009F7160" w:rsidRPr="009F039C">
        <w:rPr>
          <w:lang w:val="en-GB"/>
        </w:rPr>
        <w:t xml:space="preserve"> Looking at the reform process in detail also shows the influence of Czech NGDOs</w:t>
      </w:r>
      <w:r w:rsidR="00F06B82" w:rsidRPr="009F039C">
        <w:rPr>
          <w:lang w:val="en-GB"/>
        </w:rPr>
        <w:t xml:space="preserve"> on development policy making.</w:t>
      </w:r>
    </w:p>
    <w:p w:rsidR="00AC7BF9" w:rsidRPr="009F039C" w:rsidRDefault="00F06B82" w:rsidP="00AC7BF9">
      <w:pPr>
        <w:spacing w:line="360" w:lineRule="auto"/>
        <w:jc w:val="both"/>
        <w:rPr>
          <w:lang w:val="en-GB"/>
        </w:rPr>
      </w:pPr>
      <w:r w:rsidRPr="009F039C">
        <w:rPr>
          <w:lang w:val="en-GB"/>
        </w:rPr>
        <w:t xml:space="preserve">As the reform involved a centralization of the Czech aid budget to the MFA, it was </w:t>
      </w:r>
      <w:r w:rsidR="00F740EB">
        <w:rPr>
          <w:lang w:val="en-GB"/>
        </w:rPr>
        <w:t xml:space="preserve">understandably </w:t>
      </w:r>
      <w:r w:rsidRPr="009F039C">
        <w:rPr>
          <w:lang w:val="en-GB"/>
        </w:rPr>
        <w:t xml:space="preserve">opposed </w:t>
      </w:r>
      <w:r w:rsidR="00F740EB">
        <w:rPr>
          <w:lang w:val="en-GB"/>
        </w:rPr>
        <w:t>many line ministries, including the Ministry of Finance</w:t>
      </w:r>
      <w:r w:rsidRPr="009F039C">
        <w:rPr>
          <w:lang w:val="en-GB"/>
        </w:rPr>
        <w:t xml:space="preserve">. It is remarkable that the reform went through in face of such strong political opposition, and FoRS </w:t>
      </w:r>
      <w:r w:rsidR="00F740EB">
        <w:rPr>
          <w:lang w:val="en-GB"/>
        </w:rPr>
        <w:t>played</w:t>
      </w:r>
      <w:r w:rsidRPr="009F039C">
        <w:rPr>
          <w:lang w:val="en-GB"/>
        </w:rPr>
        <w:t xml:space="preserve"> a key role. FoRS had been lobbying for a more centralized system well before the reform on the grounds that it would greatly increase the effectiveness of Czech aid. </w:t>
      </w:r>
      <w:r w:rsidR="00100C2F" w:rsidRPr="009F039C">
        <w:rPr>
          <w:lang w:val="en-GB"/>
        </w:rPr>
        <w:t xml:space="preserve">Several interviewees agree that </w:t>
      </w:r>
      <w:proofErr w:type="spellStart"/>
      <w:r w:rsidR="00100C2F" w:rsidRPr="009F039C">
        <w:rPr>
          <w:lang w:val="en-GB"/>
        </w:rPr>
        <w:t>Šimon</w:t>
      </w:r>
      <w:proofErr w:type="spellEnd"/>
      <w:r w:rsidR="00100C2F" w:rsidRPr="009F039C">
        <w:rPr>
          <w:lang w:val="en-GB"/>
        </w:rPr>
        <w:t xml:space="preserve"> </w:t>
      </w:r>
      <w:proofErr w:type="spellStart"/>
      <w:r w:rsidR="00100C2F" w:rsidRPr="009F039C">
        <w:rPr>
          <w:lang w:val="en-GB"/>
        </w:rPr>
        <w:t>Pánek</w:t>
      </w:r>
      <w:proofErr w:type="spellEnd"/>
      <w:r w:rsidR="00100C2F" w:rsidRPr="009F039C">
        <w:rPr>
          <w:lang w:val="en-GB"/>
        </w:rPr>
        <w:t xml:space="preserve">, the well-connected director of </w:t>
      </w:r>
      <w:proofErr w:type="spellStart"/>
      <w:r w:rsidR="00100C2F" w:rsidRPr="009F039C">
        <w:rPr>
          <w:lang w:val="en-GB"/>
        </w:rPr>
        <w:t>PiN</w:t>
      </w:r>
      <w:proofErr w:type="spellEnd"/>
      <w:r w:rsidR="00100C2F" w:rsidRPr="009F039C">
        <w:rPr>
          <w:lang w:val="en-GB"/>
        </w:rPr>
        <w:t xml:space="preserve"> and chairman of FoRS at the time </w:t>
      </w:r>
      <w:r w:rsidR="00F740EB">
        <w:rPr>
          <w:lang w:val="en-GB"/>
        </w:rPr>
        <w:t>was instrumental</w:t>
      </w:r>
      <w:r w:rsidR="00100C2F" w:rsidRPr="009F039C">
        <w:rPr>
          <w:lang w:val="en-GB"/>
        </w:rPr>
        <w:t xml:space="preserve"> in convincing the MFA and top politicians to go forward with the transformation.</w:t>
      </w:r>
      <w:r w:rsidR="00100C2F" w:rsidRPr="009F039C">
        <w:rPr>
          <w:rStyle w:val="EndnoteReference"/>
          <w:lang w:val="en-GB"/>
        </w:rPr>
        <w:endnoteReference w:id="25"/>
      </w:r>
      <w:r w:rsidR="00100C2F" w:rsidRPr="009F039C">
        <w:rPr>
          <w:lang w:val="en-GB"/>
        </w:rPr>
        <w:t xml:space="preserve"> Being a student activist during the Velvet Revolution, and thus having personal ties to many politicians</w:t>
      </w:r>
      <w:r w:rsidR="00AC7BF9" w:rsidRPr="009F039C">
        <w:rPr>
          <w:lang w:val="en-GB"/>
        </w:rPr>
        <w:t xml:space="preserve"> (Vaughan 2006)</w:t>
      </w:r>
      <w:r w:rsidR="00100C2F" w:rsidRPr="009F039C">
        <w:rPr>
          <w:lang w:val="en-GB"/>
        </w:rPr>
        <w:t xml:space="preserve">, </w:t>
      </w:r>
      <w:proofErr w:type="spellStart"/>
      <w:r w:rsidR="00100C2F" w:rsidRPr="009F039C">
        <w:rPr>
          <w:lang w:val="en-GB"/>
        </w:rPr>
        <w:t>Pánek</w:t>
      </w:r>
      <w:proofErr w:type="spellEnd"/>
      <w:r w:rsidR="00100C2F" w:rsidRPr="009F039C">
        <w:rPr>
          <w:lang w:val="en-GB"/>
        </w:rPr>
        <w:t xml:space="preserve"> had achieved widespread recognition through his work with </w:t>
      </w:r>
      <w:proofErr w:type="spellStart"/>
      <w:r w:rsidR="00100C2F" w:rsidRPr="009F039C">
        <w:rPr>
          <w:lang w:val="en-GB"/>
        </w:rPr>
        <w:t>PiN</w:t>
      </w:r>
      <w:proofErr w:type="spellEnd"/>
      <w:r w:rsidR="00100C2F" w:rsidRPr="009F039C">
        <w:rPr>
          <w:lang w:val="en-GB"/>
        </w:rPr>
        <w:t xml:space="preserve">. As the chairman of FoRS he was able to rely on the advocacy capacities of the platform, which was actively involved during the preparation of the reform. Key arguments used for convincing top level politicians on the necessity of reform were high Czech public support for development, </w:t>
      </w:r>
      <w:r w:rsidR="00AC7BF9" w:rsidRPr="009F039C">
        <w:rPr>
          <w:lang w:val="en-GB"/>
        </w:rPr>
        <w:t xml:space="preserve">and the successes abroad of the Czech NGDO sector, which, coupled with a more effective state policy, would boost the international reputation and prestige of the country. This later argument seems to have resonated well with the government, as evidenced by a speech </w:t>
      </w:r>
      <w:r w:rsidR="00F740EB">
        <w:rPr>
          <w:lang w:val="en-GB"/>
        </w:rPr>
        <w:t>of</w:t>
      </w:r>
      <w:r w:rsidR="00AC7BF9" w:rsidRPr="009F039C">
        <w:rPr>
          <w:lang w:val="en-GB"/>
        </w:rPr>
        <w:t xml:space="preserve"> Prime Minister </w:t>
      </w:r>
      <w:proofErr w:type="spellStart"/>
      <w:r w:rsidR="00AC7BF9" w:rsidRPr="009F039C">
        <w:rPr>
          <w:lang w:val="en-GB"/>
        </w:rPr>
        <w:t>Mirek</w:t>
      </w:r>
      <w:proofErr w:type="spellEnd"/>
      <w:r w:rsidR="00AC7BF9" w:rsidRPr="009F039C">
        <w:rPr>
          <w:lang w:val="en-GB"/>
        </w:rPr>
        <w:t xml:space="preserve"> </w:t>
      </w:r>
      <w:proofErr w:type="spellStart"/>
      <w:r w:rsidR="00AC7BF9" w:rsidRPr="009F039C">
        <w:rPr>
          <w:lang w:val="en-GB"/>
        </w:rPr>
        <w:t>Topolánek</w:t>
      </w:r>
      <w:proofErr w:type="spellEnd"/>
      <w:r w:rsidR="00AC7BF9" w:rsidRPr="009F039C">
        <w:rPr>
          <w:lang w:val="en-GB"/>
        </w:rPr>
        <w:t xml:space="preserve"> arguing for the reform of Czech foreign aid (</w:t>
      </w:r>
      <w:proofErr w:type="spellStart"/>
      <w:r w:rsidR="00AC7BF9" w:rsidRPr="009F039C">
        <w:rPr>
          <w:lang w:val="en-GB"/>
        </w:rPr>
        <w:t>Topolánek</w:t>
      </w:r>
      <w:proofErr w:type="spellEnd"/>
      <w:r w:rsidR="00AC7BF9" w:rsidRPr="009F039C">
        <w:rPr>
          <w:lang w:val="en-GB"/>
        </w:rPr>
        <w:t xml:space="preserve"> 2006). </w:t>
      </w:r>
      <w:r w:rsidR="00100C2F" w:rsidRPr="009F039C">
        <w:rPr>
          <w:lang w:val="en-GB"/>
        </w:rPr>
        <w:t>Ultimately, this strategy proved</w:t>
      </w:r>
      <w:r w:rsidR="00AC7BF9" w:rsidRPr="009F039C">
        <w:rPr>
          <w:lang w:val="en-GB"/>
        </w:rPr>
        <w:t xml:space="preserve"> successful, and several NGDO sources argue that the reform would not have happened without the</w:t>
      </w:r>
      <w:r w:rsidR="00F740EB">
        <w:rPr>
          <w:lang w:val="en-GB"/>
        </w:rPr>
        <w:t>ir advocacy.</w:t>
      </w:r>
      <w:r w:rsidR="00AC7BF9" w:rsidRPr="009F039C">
        <w:rPr>
          <w:lang w:val="en-GB"/>
        </w:rPr>
        <w:t xml:space="preserve"> This close relationship between </w:t>
      </w:r>
      <w:proofErr w:type="spellStart"/>
      <w:r w:rsidR="00AC7BF9" w:rsidRPr="009F039C">
        <w:rPr>
          <w:lang w:val="en-GB"/>
        </w:rPr>
        <w:t>FoRS</w:t>
      </w:r>
      <w:proofErr w:type="spellEnd"/>
      <w:r w:rsidR="00AC7BF9" w:rsidRPr="009F039C">
        <w:rPr>
          <w:lang w:val="en-GB"/>
        </w:rPr>
        <w:t xml:space="preserve"> and the MFA/</w:t>
      </w:r>
      <w:proofErr w:type="spellStart"/>
      <w:r w:rsidR="00AC7BF9" w:rsidRPr="009F039C">
        <w:rPr>
          <w:lang w:val="en-GB"/>
        </w:rPr>
        <w:t>C</w:t>
      </w:r>
      <w:r w:rsidR="00F740EB">
        <w:rPr>
          <w:lang w:val="en-GB"/>
        </w:rPr>
        <w:t>z</w:t>
      </w:r>
      <w:r w:rsidR="00AC7BF9" w:rsidRPr="009F039C">
        <w:rPr>
          <w:lang w:val="en-GB"/>
        </w:rPr>
        <w:t>DA</w:t>
      </w:r>
      <w:proofErr w:type="spellEnd"/>
      <w:r w:rsidR="00AC7BF9" w:rsidRPr="009F039C">
        <w:rPr>
          <w:lang w:val="en-GB"/>
        </w:rPr>
        <w:t xml:space="preserve"> seems to work well in a sense that the NGDO community get</w:t>
      </w:r>
      <w:r w:rsidR="00F740EB">
        <w:rPr>
          <w:lang w:val="en-GB"/>
        </w:rPr>
        <w:t>s</w:t>
      </w:r>
      <w:r w:rsidR="00AC7BF9" w:rsidRPr="009F039C">
        <w:rPr>
          <w:lang w:val="en-GB"/>
        </w:rPr>
        <w:t xml:space="preserve"> what it wants, but the support of FoRS also strengthens the position of the MFA within government.</w:t>
      </w:r>
      <w:r w:rsidR="00AC7BF9" w:rsidRPr="009F039C">
        <w:rPr>
          <w:rStyle w:val="EndnoteReference"/>
          <w:lang w:val="en-GB"/>
        </w:rPr>
        <w:endnoteReference w:id="26"/>
      </w:r>
      <w:r w:rsidR="00AC7BF9" w:rsidRPr="009F039C">
        <w:rPr>
          <w:lang w:val="en-GB"/>
        </w:rPr>
        <w:t xml:space="preserve"> </w:t>
      </w:r>
      <w:r w:rsidR="007C4F9D" w:rsidRPr="009F039C">
        <w:rPr>
          <w:lang w:val="en-GB"/>
        </w:rPr>
        <w:t xml:space="preserve">This symbiotic relationship means that FoRS may be exercising some form of self-censorship in order to maintain its influential status. This issue was mostly denied in interviews, although some experts did </w:t>
      </w:r>
      <w:r w:rsidR="007C4F9D" w:rsidRPr="009F039C">
        <w:rPr>
          <w:lang w:val="en-GB"/>
        </w:rPr>
        <w:lastRenderedPageBreak/>
        <w:t>acknowledge the fact that Czech NGDOs have become ‘politically savvy’ and know when to criticize and when to step back.</w:t>
      </w:r>
      <w:r w:rsidR="007C4F9D" w:rsidRPr="009F039C">
        <w:rPr>
          <w:rStyle w:val="EndnoteReference"/>
          <w:lang w:val="en-GB"/>
        </w:rPr>
        <w:endnoteReference w:id="27"/>
      </w:r>
    </w:p>
    <w:p w:rsidR="00B75C51" w:rsidRPr="009F039C" w:rsidRDefault="007C4F9D" w:rsidP="00B75C51">
      <w:pPr>
        <w:spacing w:line="360" w:lineRule="auto"/>
        <w:jc w:val="both"/>
        <w:rPr>
          <w:lang w:val="en-GB"/>
        </w:rPr>
      </w:pPr>
      <w:r w:rsidRPr="009F039C">
        <w:rPr>
          <w:lang w:val="en-GB"/>
        </w:rPr>
        <w:t>In terms of rhetoric from the government and the NGDO sector, we can observe rather similar statements from Hungary as in the Czech Republic.</w:t>
      </w:r>
      <w:r w:rsidR="00B75C51" w:rsidRPr="009F039C">
        <w:rPr>
          <w:lang w:val="en-GB"/>
        </w:rPr>
        <w:t xml:space="preserve"> HAND perceives its relationship with the MFA as ‘normal’, and values the MFA’s open door policy,</w:t>
      </w:r>
      <w:r w:rsidR="00B75C51" w:rsidRPr="009F039C">
        <w:rPr>
          <w:rStyle w:val="EndnoteReference"/>
          <w:lang w:val="en-GB"/>
        </w:rPr>
        <w:endnoteReference w:id="28"/>
      </w:r>
      <w:r w:rsidR="00B75C51" w:rsidRPr="009F039C">
        <w:rPr>
          <w:lang w:val="en-GB"/>
        </w:rPr>
        <w:t xml:space="preserve"> and MFA diplomats have also talked about a good relationship.</w:t>
      </w:r>
      <w:r w:rsidR="00B75C51" w:rsidRPr="009F039C">
        <w:rPr>
          <w:rStyle w:val="EndnoteReference"/>
          <w:lang w:val="en-GB"/>
        </w:rPr>
        <w:endnoteReference w:id="29"/>
      </w:r>
      <w:r w:rsidR="00B75C51" w:rsidRPr="009F039C">
        <w:rPr>
          <w:lang w:val="en-GB"/>
        </w:rPr>
        <w:t xml:space="preserve"> However, the two large non-HAND member NGDOs also seem to have a special relationship with the MFA, as the </w:t>
      </w:r>
      <w:r w:rsidR="009B3AC3">
        <w:rPr>
          <w:lang w:val="en-GB"/>
        </w:rPr>
        <w:t>ministry</w:t>
      </w:r>
      <w:r w:rsidR="00B75C51" w:rsidRPr="009F039C">
        <w:rPr>
          <w:lang w:val="en-GB"/>
        </w:rPr>
        <w:t xml:space="preserve"> regularly asks for their opinions.</w:t>
      </w:r>
      <w:r w:rsidR="00B75C51" w:rsidRPr="009F039C">
        <w:rPr>
          <w:rStyle w:val="EndnoteReference"/>
          <w:lang w:val="en-GB"/>
        </w:rPr>
        <w:endnoteReference w:id="30"/>
      </w:r>
      <w:r w:rsidR="00B75C51" w:rsidRPr="009F039C">
        <w:rPr>
          <w:lang w:val="en-GB"/>
        </w:rPr>
        <w:t xml:space="preserve"> While the issues that HAND lobbies for are rather transparent due to publications like the </w:t>
      </w:r>
      <w:proofErr w:type="spellStart"/>
      <w:r w:rsidR="00B75C51" w:rsidRPr="009F039C">
        <w:rPr>
          <w:lang w:val="en-GB"/>
        </w:rPr>
        <w:t>AidWatch</w:t>
      </w:r>
      <w:proofErr w:type="spellEnd"/>
      <w:r w:rsidR="00B75C51" w:rsidRPr="009F039C">
        <w:rPr>
          <w:lang w:val="en-GB"/>
        </w:rPr>
        <w:t xml:space="preserve"> Reports, no one really knows what HIA and HBA does, although the MFA maintains that they do not </w:t>
      </w:r>
      <w:r w:rsidR="009B3AC3">
        <w:rPr>
          <w:lang w:val="en-GB"/>
        </w:rPr>
        <w:t>engage in</w:t>
      </w:r>
      <w:r w:rsidR="00B75C51" w:rsidRPr="009F039C">
        <w:rPr>
          <w:lang w:val="en-GB"/>
        </w:rPr>
        <w:t xml:space="preserve"> policy related advocacy.</w:t>
      </w:r>
      <w:r w:rsidR="00B75C51" w:rsidRPr="009F039C">
        <w:rPr>
          <w:rStyle w:val="EndnoteReference"/>
          <w:lang w:val="en-GB"/>
        </w:rPr>
        <w:endnoteReference w:id="31"/>
      </w:r>
      <w:r w:rsidR="00B75C51" w:rsidRPr="009F039C">
        <w:rPr>
          <w:lang w:val="en-GB"/>
        </w:rPr>
        <w:t xml:space="preserve"> HIA and HBA are often directly asked by the MFA to implement (mainly humanitarian) projects without any open tenders. The MFA argues that the two organizations are the only ones </w:t>
      </w:r>
      <w:r w:rsidR="009B3AC3">
        <w:rPr>
          <w:lang w:val="en-GB"/>
        </w:rPr>
        <w:t>capable of</w:t>
      </w:r>
      <w:r w:rsidR="00B75C51" w:rsidRPr="009F039C">
        <w:rPr>
          <w:lang w:val="en-GB"/>
        </w:rPr>
        <w:t xml:space="preserve"> such tasks, which is most likely true. As one MFA official noted:</w:t>
      </w:r>
    </w:p>
    <w:p w:rsidR="00B75C51" w:rsidRPr="009F039C" w:rsidRDefault="00B75C51" w:rsidP="00B75C51">
      <w:pPr>
        <w:spacing w:line="360" w:lineRule="auto"/>
        <w:ind w:left="567" w:right="567"/>
        <w:jc w:val="both"/>
        <w:rPr>
          <w:sz w:val="20"/>
          <w:szCs w:val="20"/>
          <w:lang w:val="en-GB"/>
        </w:rPr>
      </w:pPr>
      <w:r w:rsidRPr="009F039C">
        <w:rPr>
          <w:sz w:val="20"/>
          <w:szCs w:val="20"/>
          <w:lang w:val="en-GB"/>
        </w:rPr>
        <w:t xml:space="preserve">Sure, we talk </w:t>
      </w:r>
      <w:r w:rsidR="00242B89" w:rsidRPr="009F039C">
        <w:rPr>
          <w:sz w:val="20"/>
          <w:szCs w:val="20"/>
          <w:lang w:val="en-GB"/>
        </w:rPr>
        <w:t xml:space="preserve">and consult with HAND. But the </w:t>
      </w:r>
      <w:proofErr w:type="spellStart"/>
      <w:r w:rsidR="00242B89" w:rsidRPr="009F039C">
        <w:rPr>
          <w:sz w:val="20"/>
          <w:szCs w:val="20"/>
          <w:lang w:val="en-GB"/>
        </w:rPr>
        <w:t>E</w:t>
      </w:r>
      <w:r w:rsidRPr="009F039C">
        <w:rPr>
          <w:sz w:val="20"/>
          <w:szCs w:val="20"/>
          <w:lang w:val="en-GB"/>
        </w:rPr>
        <w:t>cumenicals</w:t>
      </w:r>
      <w:proofErr w:type="spellEnd"/>
      <w:r w:rsidRPr="009F039C">
        <w:rPr>
          <w:sz w:val="20"/>
          <w:szCs w:val="20"/>
          <w:lang w:val="en-GB"/>
        </w:rPr>
        <w:t xml:space="preserve"> and the Baptists [</w:t>
      </w:r>
      <w:proofErr w:type="spellStart"/>
      <w:r w:rsidRPr="009F039C">
        <w:rPr>
          <w:sz w:val="20"/>
          <w:szCs w:val="20"/>
          <w:lang w:val="en-GB"/>
        </w:rPr>
        <w:t>ie</w:t>
      </w:r>
      <w:proofErr w:type="spellEnd"/>
      <w:r w:rsidRPr="009F039C">
        <w:rPr>
          <w:sz w:val="20"/>
          <w:szCs w:val="20"/>
          <w:lang w:val="en-GB"/>
        </w:rPr>
        <w:t xml:space="preserve"> HIA and HBB] are the ones who can actually get things done.</w:t>
      </w:r>
      <w:r w:rsidRPr="009F039C">
        <w:rPr>
          <w:rStyle w:val="EndnoteReference"/>
          <w:sz w:val="20"/>
          <w:szCs w:val="20"/>
          <w:lang w:val="en-GB"/>
        </w:rPr>
        <w:endnoteReference w:id="32"/>
      </w:r>
    </w:p>
    <w:p w:rsidR="003D2C82" w:rsidRPr="009F039C" w:rsidRDefault="00B75C51" w:rsidP="003D2C82">
      <w:pPr>
        <w:spacing w:line="360" w:lineRule="auto"/>
        <w:jc w:val="both"/>
        <w:rPr>
          <w:lang w:val="en-GB"/>
        </w:rPr>
      </w:pPr>
      <w:r w:rsidRPr="009F039C">
        <w:rPr>
          <w:lang w:val="en-GB"/>
        </w:rPr>
        <w:t xml:space="preserve">It seems that the independence of the two large NGDOs has rendered HAND irrelevant for the MFA to some </w:t>
      </w:r>
      <w:r w:rsidR="009B3AC3">
        <w:rPr>
          <w:lang w:val="en-GB"/>
        </w:rPr>
        <w:t>degree</w:t>
      </w:r>
      <w:r w:rsidRPr="009F039C">
        <w:rPr>
          <w:lang w:val="en-GB"/>
        </w:rPr>
        <w:t xml:space="preserve">, and they feel they can </w:t>
      </w:r>
      <w:r w:rsidR="0079562D" w:rsidRPr="009F039C">
        <w:rPr>
          <w:lang w:val="en-GB"/>
        </w:rPr>
        <w:t>bypass the platform.</w:t>
      </w:r>
      <w:r w:rsidR="003D2C82" w:rsidRPr="009F039C">
        <w:rPr>
          <w:lang w:val="en-GB"/>
        </w:rPr>
        <w:t xml:space="preserve"> The MFA, while stating that it involves HAND in consultations on policy, does not always do this in a meaningful way: for example, HAND is routinely given very short deadlines (often less than a week) to comment </w:t>
      </w:r>
      <w:r w:rsidR="009B3AC3">
        <w:rPr>
          <w:lang w:val="en-GB"/>
        </w:rPr>
        <w:t xml:space="preserve">on </w:t>
      </w:r>
      <w:r w:rsidR="003D2C82" w:rsidRPr="009F039C">
        <w:rPr>
          <w:lang w:val="en-GB"/>
        </w:rPr>
        <w:t>drafts.</w:t>
      </w:r>
    </w:p>
    <w:p w:rsidR="00242B89" w:rsidRPr="009F039C" w:rsidRDefault="00242B89" w:rsidP="00242B89">
      <w:pPr>
        <w:spacing w:line="360" w:lineRule="auto"/>
        <w:jc w:val="both"/>
        <w:rPr>
          <w:lang w:val="en-GB"/>
        </w:rPr>
      </w:pPr>
      <w:r w:rsidRPr="009F039C">
        <w:rPr>
          <w:lang w:val="en-GB"/>
        </w:rPr>
        <w:t>There have also been several instances of tension between the MFA and HAND in the past years, which reinforce notions of a more problematic relationship. One recurring theme is related to access</w:t>
      </w:r>
      <w:r w:rsidR="009B3AC3">
        <w:rPr>
          <w:lang w:val="en-GB"/>
        </w:rPr>
        <w:t>ing</w:t>
      </w:r>
      <w:r w:rsidRPr="009F039C">
        <w:rPr>
          <w:lang w:val="en-GB"/>
        </w:rPr>
        <w:t xml:space="preserve"> data. Hungarian foreign aid is one of the least transparent in the world</w:t>
      </w:r>
      <w:r w:rsidR="000167A6">
        <w:rPr>
          <w:lang w:val="en-GB"/>
        </w:rPr>
        <w:t xml:space="preserve"> (Publish What You Fund 2013)</w:t>
      </w:r>
      <w:r w:rsidRPr="009F039C">
        <w:rPr>
          <w:lang w:val="en-GB"/>
        </w:rPr>
        <w:t xml:space="preserve">, and according to HAND, getting data from the MFA for </w:t>
      </w:r>
      <w:proofErr w:type="spellStart"/>
      <w:r w:rsidR="009B3AC3">
        <w:rPr>
          <w:lang w:val="en-GB"/>
        </w:rPr>
        <w:t>AidWatch</w:t>
      </w:r>
      <w:proofErr w:type="spellEnd"/>
      <w:r w:rsidRPr="009F039C">
        <w:rPr>
          <w:lang w:val="en-GB"/>
        </w:rPr>
        <w:t xml:space="preserve"> reports is always difficult. In 2007, HAND turned to the Ombudsman for Data Protection to force the MFA to provide necessary data for the report.</w:t>
      </w:r>
      <w:r w:rsidRPr="009F039C">
        <w:rPr>
          <w:rStyle w:val="EndnoteReference"/>
          <w:lang w:val="en-GB"/>
        </w:rPr>
        <w:endnoteReference w:id="33"/>
      </w:r>
      <w:r w:rsidRPr="009F039C">
        <w:rPr>
          <w:lang w:val="en-GB"/>
        </w:rPr>
        <w:t xml:space="preserve"> There were severe delays in publishing the 2011 report, with HAND blaming the MFA for not providing the data on time, and the MFA maintaining that they did provide all data and HAND was unable to analyse it in time. The 2011 report even notes it in its text that the MFA did not provide data (Kiss, 2011, p. 6). All these issues point to a less than fully cooperative relationship, although, to be fair, HAND officials have noted that the MFA itself is facing difficulties in getting data from the other line ministries. This however is contradicted by the fact that </w:t>
      </w:r>
      <w:r w:rsidR="00C31498" w:rsidRPr="009F039C">
        <w:rPr>
          <w:lang w:val="en-GB"/>
        </w:rPr>
        <w:t>in the MFA’s annual reports on international development, aid spent by the MFA itself is actually reported in a much less transparent way than the spending of the other ministries (see for example Hungarian MFA 201</w:t>
      </w:r>
      <w:r w:rsidR="009B3AC3">
        <w:rPr>
          <w:lang w:val="en-GB"/>
        </w:rPr>
        <w:t>2</w:t>
      </w:r>
      <w:r w:rsidR="00C31498" w:rsidRPr="009F039C">
        <w:rPr>
          <w:lang w:val="en-GB"/>
        </w:rPr>
        <w:t>).</w:t>
      </w:r>
    </w:p>
    <w:p w:rsidR="00C31498" w:rsidRPr="009F039C" w:rsidRDefault="00C31498" w:rsidP="00C31498">
      <w:pPr>
        <w:spacing w:line="360" w:lineRule="auto"/>
        <w:jc w:val="both"/>
        <w:rPr>
          <w:lang w:val="en-GB"/>
        </w:rPr>
      </w:pPr>
      <w:r w:rsidRPr="009F039C">
        <w:rPr>
          <w:lang w:val="en-GB"/>
        </w:rPr>
        <w:lastRenderedPageBreak/>
        <w:t>In 2010 the MFA’s international development budget was halved (Kiss, 2011, p. 32), which meant that it was unable to publish calls for proposals for the NGDOs, nor support co-financing for EU grants. Even though the MFA aid budget is only a small part of Hungary’s total foreign aid spending, this can be seen as a disproportionately large cut even amidst government austerity due to the crisis, once again showing the low priority assigned to international development by the government.</w:t>
      </w:r>
      <w:r w:rsidR="003D2C82" w:rsidRPr="009F039C">
        <w:rPr>
          <w:lang w:val="en-GB"/>
        </w:rPr>
        <w:t xml:space="preserve"> The Czech government made a clear promise not to cut the bilateral aid budget, and more or less stuck to this until 2013.</w:t>
      </w:r>
    </w:p>
    <w:p w:rsidR="003D2C82" w:rsidRPr="009F039C" w:rsidRDefault="003D2C82" w:rsidP="003D2C82">
      <w:pPr>
        <w:spacing w:line="360" w:lineRule="auto"/>
        <w:jc w:val="both"/>
        <w:rPr>
          <w:lang w:val="en-GB"/>
        </w:rPr>
      </w:pPr>
      <w:r w:rsidRPr="009F039C">
        <w:rPr>
          <w:lang w:val="en-GB"/>
        </w:rPr>
        <w:t xml:space="preserve">The </w:t>
      </w:r>
      <w:r w:rsidR="009B3AC3">
        <w:rPr>
          <w:lang w:val="en-GB"/>
        </w:rPr>
        <w:t>difficult</w:t>
      </w:r>
      <w:r w:rsidRPr="009F039C">
        <w:rPr>
          <w:lang w:val="en-GB"/>
        </w:rPr>
        <w:t xml:space="preserve"> relationship between HAND and the MFA was also shown by the case of Hungary’s international development cooperation strategy</w:t>
      </w:r>
      <w:r w:rsidR="009B3AC3">
        <w:rPr>
          <w:lang w:val="en-GB"/>
        </w:rPr>
        <w:t xml:space="preserve"> paper</w:t>
      </w:r>
      <w:r w:rsidRPr="009F039C">
        <w:rPr>
          <w:lang w:val="en-GB"/>
        </w:rPr>
        <w:t>. As mentioned, HAND has been lobbying the MFA to create such a strategy since 2007, but this has led to no results.</w:t>
      </w:r>
      <w:r w:rsidRPr="009F039C">
        <w:rPr>
          <w:rStyle w:val="EndnoteReference"/>
          <w:lang w:val="en-GB"/>
        </w:rPr>
        <w:endnoteReference w:id="34"/>
      </w:r>
      <w:r w:rsidRPr="009F039C">
        <w:rPr>
          <w:lang w:val="en-GB"/>
        </w:rPr>
        <w:t xml:space="preserve"> HAND tried a different strategy by approaching Members of the Parliament’s Foreign Affairs Committee and took interested MPs on awareness raising trips to Africa. By socializing MPs this way, HAND was able to increase their interest in the topic. In early 2013, these MPs pushed a resolution through Parliament which mandate</w:t>
      </w:r>
      <w:r w:rsidR="009B3AC3">
        <w:rPr>
          <w:lang w:val="en-GB"/>
        </w:rPr>
        <w:t>d</w:t>
      </w:r>
      <w:r w:rsidRPr="009F039C">
        <w:rPr>
          <w:lang w:val="en-GB"/>
        </w:rPr>
        <w:t xml:space="preserve"> the MFA to create an international development strategy. HAND therefore successfully circumvented the unwilling government and went straight to the legislature to get what it wanted.</w:t>
      </w:r>
    </w:p>
    <w:p w:rsidR="003D2C82" w:rsidRPr="009F039C" w:rsidRDefault="003D2C82" w:rsidP="00242B89">
      <w:pPr>
        <w:spacing w:line="360" w:lineRule="auto"/>
        <w:jc w:val="both"/>
        <w:rPr>
          <w:lang w:val="en-GB"/>
        </w:rPr>
      </w:pPr>
      <w:r w:rsidRPr="009F039C">
        <w:rPr>
          <w:lang w:val="en-GB"/>
        </w:rPr>
        <w:t xml:space="preserve">Much of the tensions </w:t>
      </w:r>
      <w:r w:rsidR="00C31498" w:rsidRPr="009F039C">
        <w:rPr>
          <w:lang w:val="en-GB"/>
        </w:rPr>
        <w:t>between the MFA and HAND clearly predate Hungary’s current right-wing government led by Viktor Orban</w:t>
      </w:r>
      <w:r w:rsidRPr="009F039C">
        <w:rPr>
          <w:lang w:val="en-GB"/>
        </w:rPr>
        <w:t>, which has shown a strong distrust towards civil society</w:t>
      </w:r>
      <w:r w:rsidR="00423AA9" w:rsidRPr="009F039C">
        <w:rPr>
          <w:lang w:val="en-GB"/>
        </w:rPr>
        <w:t>, especially CSOs critical of the government</w:t>
      </w:r>
      <w:r w:rsidRPr="009F039C">
        <w:rPr>
          <w:lang w:val="en-GB"/>
        </w:rPr>
        <w:t>. It is somewhat paradoxical, that many NGDO interviewees have actually noted that relationships with the MFA have improved much since Orban came to power in 2010.</w:t>
      </w:r>
      <w:r w:rsidR="001F645C" w:rsidRPr="009F039C">
        <w:rPr>
          <w:lang w:val="en-GB"/>
        </w:rPr>
        <w:t xml:space="preserve"> This however may </w:t>
      </w:r>
      <w:r w:rsidR="005816E6">
        <w:rPr>
          <w:lang w:val="en-GB"/>
        </w:rPr>
        <w:t>have</w:t>
      </w:r>
      <w:r w:rsidR="001F645C" w:rsidRPr="009F039C">
        <w:rPr>
          <w:lang w:val="en-GB"/>
        </w:rPr>
        <w:t xml:space="preserve"> more to do with personnel changes at the MFA, with a younger generation more open to involving </w:t>
      </w:r>
      <w:r w:rsidR="005816E6">
        <w:rPr>
          <w:lang w:val="en-GB"/>
        </w:rPr>
        <w:t xml:space="preserve">civil </w:t>
      </w:r>
      <w:r w:rsidR="001F645C" w:rsidRPr="009F039C">
        <w:rPr>
          <w:lang w:val="en-GB"/>
        </w:rPr>
        <w:t>society in decision making tak</w:t>
      </w:r>
      <w:r w:rsidR="005816E6">
        <w:rPr>
          <w:lang w:val="en-GB"/>
        </w:rPr>
        <w:t>ing</w:t>
      </w:r>
      <w:r w:rsidR="001F645C" w:rsidRPr="009F039C">
        <w:rPr>
          <w:lang w:val="en-GB"/>
        </w:rPr>
        <w:t xml:space="preserve"> the place of older career diplomats. The general government attitudes towards civil society however ha</w:t>
      </w:r>
      <w:r w:rsidR="005816E6">
        <w:rPr>
          <w:lang w:val="en-GB"/>
        </w:rPr>
        <w:t>ve</w:t>
      </w:r>
      <w:r w:rsidR="001F645C" w:rsidRPr="009F039C">
        <w:rPr>
          <w:lang w:val="en-GB"/>
        </w:rPr>
        <w:t xml:space="preserve"> gotten more hostile after 2010, which does not bode well for increasing the influence of HAND in the future</w:t>
      </w:r>
      <w:r w:rsidR="00423AA9" w:rsidRPr="000167A6">
        <w:rPr>
          <w:lang w:val="en-GB"/>
        </w:rPr>
        <w:t>.</w:t>
      </w:r>
    </w:p>
    <w:p w:rsidR="007A6EF8" w:rsidRPr="009F039C" w:rsidRDefault="007A6EF8" w:rsidP="007A6EF8">
      <w:pPr>
        <w:spacing w:after="120" w:line="360" w:lineRule="auto"/>
        <w:rPr>
          <w:lang w:val="en-GB"/>
        </w:rPr>
      </w:pPr>
    </w:p>
    <w:p w:rsidR="005816E6" w:rsidRDefault="00346689" w:rsidP="000167A6">
      <w:pPr>
        <w:spacing w:line="360" w:lineRule="auto"/>
        <w:rPr>
          <w:lang w:val="en-GB"/>
        </w:rPr>
      </w:pPr>
      <w:r w:rsidRPr="009F039C">
        <w:rPr>
          <w:b/>
          <w:lang w:val="en-GB"/>
        </w:rPr>
        <w:t>5. Conclusions</w:t>
      </w:r>
    </w:p>
    <w:p w:rsidR="00260831" w:rsidRPr="009F039C" w:rsidRDefault="00260831" w:rsidP="00346689">
      <w:pPr>
        <w:spacing w:line="360" w:lineRule="auto"/>
        <w:jc w:val="both"/>
        <w:rPr>
          <w:lang w:val="en-GB"/>
        </w:rPr>
      </w:pPr>
      <w:r w:rsidRPr="009F039C">
        <w:rPr>
          <w:lang w:val="en-GB"/>
        </w:rPr>
        <w:t xml:space="preserve">The paper examined the role played by </w:t>
      </w:r>
      <w:r w:rsidR="007A14BD" w:rsidRPr="009F039C">
        <w:rPr>
          <w:lang w:val="en-GB"/>
        </w:rPr>
        <w:t>international development and humanitarian NGOs</w:t>
      </w:r>
      <w:r w:rsidRPr="009F039C">
        <w:rPr>
          <w:lang w:val="en-GB"/>
        </w:rPr>
        <w:t xml:space="preserve"> in the making of international development policy in a comparative case study of the Czech Republic and Hungary. Czech international development policy had undergone a spectacular reform process</w:t>
      </w:r>
      <w:r w:rsidR="007A14BD" w:rsidRPr="009F039C">
        <w:rPr>
          <w:lang w:val="en-GB"/>
        </w:rPr>
        <w:t xml:space="preserve"> which reflects the demands of the NGDO sector</w:t>
      </w:r>
      <w:r w:rsidRPr="009F039C">
        <w:rPr>
          <w:lang w:val="en-GB"/>
        </w:rPr>
        <w:t xml:space="preserve"> and the country is now seen as the leader among the ‘new EU donors’. Hungarian foreign </w:t>
      </w:r>
      <w:r w:rsidR="00423AA9" w:rsidRPr="009F039C">
        <w:rPr>
          <w:lang w:val="en-GB"/>
        </w:rPr>
        <w:t xml:space="preserve">aid </w:t>
      </w:r>
      <w:r w:rsidRPr="009F039C">
        <w:rPr>
          <w:lang w:val="en-GB"/>
        </w:rPr>
        <w:t>policy however has been stagnating until recently, with very little visible changes happening</w:t>
      </w:r>
      <w:r w:rsidR="007A14BD" w:rsidRPr="009F039C">
        <w:rPr>
          <w:lang w:val="en-GB"/>
        </w:rPr>
        <w:t>, despite clear demands for reform advocated by the NGDO community</w:t>
      </w:r>
      <w:r w:rsidRPr="009F039C">
        <w:rPr>
          <w:lang w:val="en-GB"/>
        </w:rPr>
        <w:t xml:space="preserve">. Advocacy by NGDOs </w:t>
      </w:r>
      <w:r w:rsidR="00FE3982" w:rsidRPr="009F039C">
        <w:rPr>
          <w:lang w:val="en-GB"/>
        </w:rPr>
        <w:t>may</w:t>
      </w:r>
      <w:r w:rsidRPr="009F039C">
        <w:rPr>
          <w:lang w:val="en-GB"/>
        </w:rPr>
        <w:t xml:space="preserve"> be one factor which can explain </w:t>
      </w:r>
      <w:r w:rsidR="00FE3982" w:rsidRPr="009F039C">
        <w:rPr>
          <w:lang w:val="en-GB"/>
        </w:rPr>
        <w:t xml:space="preserve">reform. </w:t>
      </w:r>
      <w:r w:rsidRPr="009F039C">
        <w:rPr>
          <w:lang w:val="en-GB"/>
        </w:rPr>
        <w:t xml:space="preserve">While the effect NGDOs have had </w:t>
      </w:r>
      <w:r w:rsidRPr="009F039C">
        <w:rPr>
          <w:lang w:val="en-GB"/>
        </w:rPr>
        <w:lastRenderedPageBreak/>
        <w:t xml:space="preserve">on development policy </w:t>
      </w:r>
      <w:r w:rsidR="00FE3982" w:rsidRPr="009F039C">
        <w:rPr>
          <w:lang w:val="en-GB"/>
        </w:rPr>
        <w:t xml:space="preserve">is difficult to entangle </w:t>
      </w:r>
      <w:r w:rsidRPr="009F039C">
        <w:rPr>
          <w:lang w:val="en-GB"/>
        </w:rPr>
        <w:t>from other factors of influence</w:t>
      </w:r>
      <w:r w:rsidR="00FE3982" w:rsidRPr="009F039C">
        <w:rPr>
          <w:lang w:val="en-GB"/>
        </w:rPr>
        <w:t xml:space="preserve">, there is clear </w:t>
      </w:r>
      <w:r w:rsidR="007A14BD" w:rsidRPr="009F039C">
        <w:rPr>
          <w:lang w:val="en-GB"/>
        </w:rPr>
        <w:t xml:space="preserve">casual </w:t>
      </w:r>
      <w:r w:rsidR="00FE3982" w:rsidRPr="009F039C">
        <w:rPr>
          <w:lang w:val="en-GB"/>
        </w:rPr>
        <w:t xml:space="preserve">evidence of </w:t>
      </w:r>
      <w:r w:rsidR="000167A6">
        <w:rPr>
          <w:lang w:val="en-GB"/>
        </w:rPr>
        <w:t xml:space="preserve">their </w:t>
      </w:r>
      <w:r w:rsidR="00FE3982" w:rsidRPr="009F039C">
        <w:rPr>
          <w:lang w:val="en-GB"/>
        </w:rPr>
        <w:t>influence in the case of the Czech Republic, and the lack of it in Hungary.</w:t>
      </w:r>
    </w:p>
    <w:p w:rsidR="00260831" w:rsidRPr="009F039C" w:rsidRDefault="00260831" w:rsidP="00346689">
      <w:pPr>
        <w:spacing w:line="360" w:lineRule="auto"/>
        <w:jc w:val="both"/>
        <w:rPr>
          <w:lang w:val="en-GB"/>
        </w:rPr>
      </w:pPr>
      <w:r w:rsidRPr="009F039C">
        <w:rPr>
          <w:lang w:val="en-GB"/>
        </w:rPr>
        <w:t xml:space="preserve">The main issue the paper aimed at investigating is what factors made Czech NGDOs more influential than their Hungarian counterparts. As there has been very little research to date on NGDOs in the ECE states, the analysis in the paper opted for an inductive approach, and instead of adopting a potentially misleading theoretical framework developed for another sector, it was guided by empirical facts. Based on this approach, </w:t>
      </w:r>
      <w:r w:rsidR="007A14BD" w:rsidRPr="009F039C">
        <w:rPr>
          <w:lang w:val="en-GB"/>
        </w:rPr>
        <w:t>four</w:t>
      </w:r>
      <w:r w:rsidRPr="009F039C">
        <w:rPr>
          <w:lang w:val="en-GB"/>
        </w:rPr>
        <w:t xml:space="preserve"> </w:t>
      </w:r>
      <w:r w:rsidR="000167A6">
        <w:rPr>
          <w:lang w:val="en-GB"/>
        </w:rPr>
        <w:t>theoretical conclusions</w:t>
      </w:r>
      <w:r w:rsidRPr="009F039C">
        <w:rPr>
          <w:lang w:val="en-GB"/>
        </w:rPr>
        <w:t xml:space="preserve"> emerge which can explain the relative success of Czech NGDOs as opposed to Hungarian ones:</w:t>
      </w:r>
    </w:p>
    <w:p w:rsidR="00260831" w:rsidRPr="009F039C" w:rsidRDefault="00FE3982" w:rsidP="00FE3982">
      <w:pPr>
        <w:pStyle w:val="ListParagraph"/>
        <w:numPr>
          <w:ilvl w:val="0"/>
          <w:numId w:val="7"/>
        </w:numPr>
        <w:spacing w:line="360" w:lineRule="auto"/>
        <w:jc w:val="both"/>
        <w:rPr>
          <w:lang w:val="en-GB"/>
        </w:rPr>
      </w:pPr>
      <w:r w:rsidRPr="009F039C">
        <w:rPr>
          <w:i/>
          <w:lang w:val="en-GB"/>
        </w:rPr>
        <w:t>Issues of collective action</w:t>
      </w:r>
      <w:r w:rsidR="000167A6">
        <w:rPr>
          <w:i/>
          <w:lang w:val="en-GB"/>
        </w:rPr>
        <w:t xml:space="preserve"> matter</w:t>
      </w:r>
      <w:r w:rsidRPr="009F039C">
        <w:rPr>
          <w:lang w:val="en-GB"/>
        </w:rPr>
        <w:t>. Czech NGDOs have managed to overcome the problem of collective action and have been generally able to present a unified front towards the MFA through their advocacy platform FoRS. The Hungarian NGDO community however remains fragmented, with the main platform, HAND, being unrepresentative of the sector</w:t>
      </w:r>
      <w:r w:rsidR="000167A6">
        <w:rPr>
          <w:lang w:val="en-GB"/>
        </w:rPr>
        <w:t xml:space="preserve"> and large organisations unwilling to pay the costs of joint advocacy</w:t>
      </w:r>
      <w:r w:rsidRPr="009F039C">
        <w:rPr>
          <w:lang w:val="en-GB"/>
        </w:rPr>
        <w:t>.</w:t>
      </w:r>
    </w:p>
    <w:p w:rsidR="00FE3982" w:rsidRPr="009F039C" w:rsidRDefault="00FE3982" w:rsidP="00FE3982">
      <w:pPr>
        <w:pStyle w:val="ListParagraph"/>
        <w:numPr>
          <w:ilvl w:val="0"/>
          <w:numId w:val="7"/>
        </w:numPr>
        <w:spacing w:line="360" w:lineRule="auto"/>
        <w:jc w:val="both"/>
        <w:rPr>
          <w:lang w:val="en-GB"/>
        </w:rPr>
      </w:pPr>
      <w:r w:rsidRPr="009F039C">
        <w:rPr>
          <w:i/>
          <w:lang w:val="en-GB"/>
        </w:rPr>
        <w:t>Better capacities</w:t>
      </w:r>
      <w:r w:rsidRPr="009F039C">
        <w:rPr>
          <w:lang w:val="en-GB"/>
        </w:rPr>
        <w:t xml:space="preserve">. </w:t>
      </w:r>
      <w:r w:rsidR="007A14BD" w:rsidRPr="009F039C">
        <w:rPr>
          <w:lang w:val="en-GB"/>
        </w:rPr>
        <w:t>Czech NGDOs, and the NGDO platform</w:t>
      </w:r>
      <w:r w:rsidR="000167A6">
        <w:rPr>
          <w:lang w:val="en-GB"/>
        </w:rPr>
        <w:t>,</w:t>
      </w:r>
      <w:r w:rsidR="007A14BD" w:rsidRPr="009F039C">
        <w:rPr>
          <w:lang w:val="en-GB"/>
        </w:rPr>
        <w:t xml:space="preserve"> have developed relatively stronger capacities than their Hungarian counterparts, which can be explained by the fact that the sector is unified and able to finance the platform, and the better performance of Czech NGDOs in obtaining EU grants. One may argue that these capacities developed relatively independently from government support to the sector.</w:t>
      </w:r>
    </w:p>
    <w:p w:rsidR="00FE3982" w:rsidRPr="009F039C" w:rsidRDefault="00FE3982" w:rsidP="00FE3982">
      <w:pPr>
        <w:pStyle w:val="ListParagraph"/>
        <w:numPr>
          <w:ilvl w:val="0"/>
          <w:numId w:val="7"/>
        </w:numPr>
        <w:spacing w:line="360" w:lineRule="auto"/>
        <w:jc w:val="both"/>
        <w:rPr>
          <w:lang w:val="en-GB"/>
        </w:rPr>
      </w:pPr>
      <w:r w:rsidRPr="009F039C">
        <w:rPr>
          <w:i/>
          <w:lang w:val="en-GB"/>
        </w:rPr>
        <w:t>Stronger public support</w:t>
      </w:r>
      <w:r w:rsidR="000167A6">
        <w:rPr>
          <w:i/>
          <w:lang w:val="en-GB"/>
        </w:rPr>
        <w:t xml:space="preserve"> and legitimacy</w:t>
      </w:r>
      <w:r w:rsidRPr="009F039C">
        <w:rPr>
          <w:lang w:val="en-GB"/>
        </w:rPr>
        <w:t xml:space="preserve">. </w:t>
      </w:r>
      <w:r w:rsidR="007A14BD" w:rsidRPr="009F039C">
        <w:rPr>
          <w:lang w:val="en-GB"/>
        </w:rPr>
        <w:t xml:space="preserve">The Czech public seems more open to supporting poverty reduction in developing countries, and </w:t>
      </w:r>
      <w:r w:rsidR="000167A6">
        <w:rPr>
          <w:lang w:val="en-GB"/>
        </w:rPr>
        <w:t xml:space="preserve">is </w:t>
      </w:r>
      <w:r w:rsidR="007A14BD" w:rsidRPr="009F039C">
        <w:rPr>
          <w:lang w:val="en-GB"/>
        </w:rPr>
        <w:t xml:space="preserve">also more affluent to provide donations to NGDOs. This not only strengthens the NGDO sector financially, but also gives their demands stronger legitimacy and sensitizes the government. </w:t>
      </w:r>
    </w:p>
    <w:p w:rsidR="007A14BD" w:rsidRPr="009F039C" w:rsidRDefault="007A14BD" w:rsidP="00FE3982">
      <w:pPr>
        <w:pStyle w:val="ListParagraph"/>
        <w:numPr>
          <w:ilvl w:val="0"/>
          <w:numId w:val="7"/>
        </w:numPr>
        <w:spacing w:line="360" w:lineRule="auto"/>
        <w:jc w:val="both"/>
        <w:rPr>
          <w:lang w:val="en-GB"/>
        </w:rPr>
      </w:pPr>
      <w:r w:rsidRPr="009F039C">
        <w:rPr>
          <w:i/>
          <w:lang w:val="en-GB"/>
        </w:rPr>
        <w:t>Government receptive</w:t>
      </w:r>
      <w:r w:rsidR="00CE004E" w:rsidRPr="009F039C">
        <w:rPr>
          <w:i/>
          <w:lang w:val="en-GB"/>
        </w:rPr>
        <w:t>ness</w:t>
      </w:r>
      <w:r w:rsidRPr="009F039C">
        <w:rPr>
          <w:lang w:val="en-GB"/>
        </w:rPr>
        <w:t>. The Czech MFA clearly realized that NGDOs are its natural all</w:t>
      </w:r>
      <w:r w:rsidR="000167A6">
        <w:rPr>
          <w:lang w:val="en-GB"/>
        </w:rPr>
        <w:t>ies</w:t>
      </w:r>
      <w:r w:rsidRPr="009F039C">
        <w:rPr>
          <w:lang w:val="en-GB"/>
        </w:rPr>
        <w:t xml:space="preserve"> when it comes to </w:t>
      </w:r>
      <w:r w:rsidR="00CE004E" w:rsidRPr="009F039C">
        <w:rPr>
          <w:lang w:val="en-GB"/>
        </w:rPr>
        <w:t xml:space="preserve">getting its interests through in </w:t>
      </w:r>
      <w:r w:rsidRPr="009F039C">
        <w:rPr>
          <w:lang w:val="en-GB"/>
        </w:rPr>
        <w:t>government</w:t>
      </w:r>
      <w:r w:rsidR="00CE004E" w:rsidRPr="009F039C">
        <w:rPr>
          <w:lang w:val="en-GB"/>
        </w:rPr>
        <w:t xml:space="preserve"> politics, and have developed a close partnership. The relationship between the Hungarian MFA and HAND however has been much more confrontational. </w:t>
      </w:r>
    </w:p>
    <w:p w:rsidR="00CE004E" w:rsidRPr="009F039C" w:rsidRDefault="007A14BD" w:rsidP="00CE004E">
      <w:pPr>
        <w:spacing w:line="360" w:lineRule="auto"/>
        <w:jc w:val="both"/>
        <w:rPr>
          <w:lang w:val="en-GB"/>
        </w:rPr>
      </w:pPr>
      <w:r w:rsidRPr="009F039C">
        <w:rPr>
          <w:lang w:val="en-GB"/>
        </w:rPr>
        <w:t xml:space="preserve">These factors actually resonate rather well with the conclusions of the wider literature on the determinants of CSO influence. </w:t>
      </w:r>
      <w:r w:rsidR="00473416" w:rsidRPr="009F039C">
        <w:rPr>
          <w:lang w:val="en-GB"/>
        </w:rPr>
        <w:t xml:space="preserve">The quantity of aid is directly related to the ability of the domestic development community to mobilize resources (see Lister and Carbone, 2006). </w:t>
      </w:r>
      <w:r w:rsidR="00F66719" w:rsidRPr="009F039C">
        <w:rPr>
          <w:lang w:val="en-GB"/>
        </w:rPr>
        <w:t>The existence of a strong and relatively unified development constituency, like that in the UK, is also important in keeping development issues on the political agenda and this constituency can also be an important political ally for those elements of government with an interest in development</w:t>
      </w:r>
      <w:r w:rsidR="007333A7" w:rsidRPr="009F039C">
        <w:rPr>
          <w:lang w:val="en-GB"/>
        </w:rPr>
        <w:t>. Indeed the literature acknowledges that the interests of the NGO</w:t>
      </w:r>
      <w:r w:rsidR="000167A6">
        <w:rPr>
          <w:lang w:val="en-GB"/>
        </w:rPr>
        <w:t>s</w:t>
      </w:r>
      <w:r w:rsidR="007333A7" w:rsidRPr="009F039C">
        <w:rPr>
          <w:lang w:val="en-GB"/>
        </w:rPr>
        <w:t xml:space="preserve"> and those of the government can converge (Johansson, </w:t>
      </w:r>
      <w:r w:rsidR="007333A7" w:rsidRPr="009F039C">
        <w:rPr>
          <w:lang w:val="en-GB"/>
        </w:rPr>
        <w:lastRenderedPageBreak/>
        <w:t>et al</w:t>
      </w:r>
      <w:r w:rsidR="000167A6">
        <w:rPr>
          <w:lang w:val="en-GB"/>
        </w:rPr>
        <w:t>.</w:t>
      </w:r>
      <w:r w:rsidR="007333A7" w:rsidRPr="009F039C">
        <w:rPr>
          <w:lang w:val="en-GB"/>
        </w:rPr>
        <w:t xml:space="preserve"> 2010). </w:t>
      </w:r>
      <w:r w:rsidR="00CE004E" w:rsidRPr="009F039C">
        <w:rPr>
          <w:lang w:val="en-GB"/>
        </w:rPr>
        <w:t xml:space="preserve">The findings </w:t>
      </w:r>
      <w:r w:rsidR="000167A6">
        <w:rPr>
          <w:lang w:val="en-GB"/>
        </w:rPr>
        <w:t xml:space="preserve">also </w:t>
      </w:r>
      <w:r w:rsidR="00CE004E" w:rsidRPr="009F039C">
        <w:rPr>
          <w:lang w:val="en-GB"/>
        </w:rPr>
        <w:t xml:space="preserve">underline the importance of the domestic context when evaluating the effects of EU membership in different countries. While NGDOs in both countries have benefitted from similar effects of EU accession, the paper has argued that different domestic circumstances have led to the observed differential empowerment. </w:t>
      </w:r>
    </w:p>
    <w:p w:rsidR="00346689" w:rsidRDefault="00346689" w:rsidP="007A6EF8">
      <w:pPr>
        <w:spacing w:after="120" w:line="360" w:lineRule="auto"/>
        <w:rPr>
          <w:lang w:val="en-GB"/>
        </w:rPr>
      </w:pPr>
    </w:p>
    <w:p w:rsidR="00F7478E" w:rsidRPr="00F7478E" w:rsidRDefault="00F7478E" w:rsidP="007A6EF8">
      <w:pPr>
        <w:spacing w:after="120" w:line="360" w:lineRule="auto"/>
        <w:rPr>
          <w:b/>
          <w:lang w:val="en-GB"/>
        </w:rPr>
      </w:pPr>
      <w:r w:rsidRPr="00F7478E">
        <w:rPr>
          <w:b/>
          <w:lang w:val="en-GB"/>
        </w:rPr>
        <w:t>About the authors</w:t>
      </w:r>
    </w:p>
    <w:p w:rsidR="00F7478E" w:rsidRDefault="00F7478E" w:rsidP="00366425">
      <w:pPr>
        <w:spacing w:after="120" w:line="360" w:lineRule="auto"/>
        <w:jc w:val="both"/>
        <w:rPr>
          <w:lang w:val="en-GB"/>
        </w:rPr>
      </w:pPr>
      <w:r w:rsidRPr="00366425">
        <w:rPr>
          <w:i/>
          <w:lang w:val="en-GB"/>
        </w:rPr>
        <w:t>Balazs Szent-Ivanyi</w:t>
      </w:r>
      <w:r w:rsidR="00366425">
        <w:rPr>
          <w:lang w:val="en-GB"/>
        </w:rPr>
        <w:t xml:space="preserve"> a Lecturer in Politics and International Relations at the School of Languages and Social Sciences at Aston University in Birmingham, UK, and also an Associate Professor at the Department of World Economy at </w:t>
      </w:r>
      <w:proofErr w:type="spellStart"/>
      <w:r w:rsidR="00366425">
        <w:rPr>
          <w:lang w:val="en-GB"/>
        </w:rPr>
        <w:t>Corvinus</w:t>
      </w:r>
      <w:proofErr w:type="spellEnd"/>
      <w:r w:rsidR="00366425">
        <w:rPr>
          <w:lang w:val="en-GB"/>
        </w:rPr>
        <w:t xml:space="preserve"> University Budapest, Hungary.</w:t>
      </w:r>
    </w:p>
    <w:p w:rsidR="00366425" w:rsidRPr="00366425" w:rsidRDefault="00366425" w:rsidP="00366425">
      <w:pPr>
        <w:spacing w:after="120" w:line="360" w:lineRule="auto"/>
        <w:jc w:val="both"/>
        <w:rPr>
          <w:lang w:val="en-GB"/>
        </w:rPr>
      </w:pPr>
      <w:r w:rsidRPr="00366425">
        <w:rPr>
          <w:i/>
          <w:lang w:val="en-GB"/>
        </w:rPr>
        <w:t>Simon Lightfoot</w:t>
      </w:r>
      <w:r w:rsidRPr="00366425">
        <w:rPr>
          <w:lang w:val="en-GB"/>
        </w:rPr>
        <w:t xml:space="preserve"> is a </w:t>
      </w:r>
      <w:r>
        <w:rPr>
          <w:lang w:val="en-GB"/>
        </w:rPr>
        <w:t>S</w:t>
      </w:r>
      <w:r w:rsidRPr="00366425">
        <w:rPr>
          <w:lang w:val="en-GB"/>
        </w:rPr>
        <w:t xml:space="preserve">enior </w:t>
      </w:r>
      <w:r>
        <w:rPr>
          <w:lang w:val="en-GB"/>
        </w:rPr>
        <w:t>L</w:t>
      </w:r>
      <w:r w:rsidRPr="00366425">
        <w:rPr>
          <w:lang w:val="en-GB"/>
        </w:rPr>
        <w:t xml:space="preserve">ecturer in European Politics at the University </w:t>
      </w:r>
      <w:proofErr w:type="gramStart"/>
      <w:r w:rsidRPr="00366425">
        <w:rPr>
          <w:lang w:val="en-GB"/>
        </w:rPr>
        <w:t>of</w:t>
      </w:r>
      <w:proofErr w:type="gramEnd"/>
      <w:r w:rsidRPr="00366425">
        <w:rPr>
          <w:lang w:val="en-GB"/>
        </w:rPr>
        <w:t xml:space="preserve"> Leeds, UK. He is co-editor (with Ondřej Horký-Hlucháň) of Development Policies of Central and Eastern European States. From Aid Recipients to Aid Donors, Oxford: Routledge (2012).</w:t>
      </w:r>
    </w:p>
    <w:p w:rsidR="00366425" w:rsidRDefault="00366425" w:rsidP="007A6EF8">
      <w:pPr>
        <w:spacing w:after="120" w:line="360" w:lineRule="auto"/>
        <w:rPr>
          <w:lang w:val="en-GB"/>
        </w:rPr>
      </w:pPr>
    </w:p>
    <w:sectPr w:rsidR="00366425" w:rsidSect="001E2083">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42" w:rsidRDefault="00545B42" w:rsidP="00BE30A2">
      <w:pPr>
        <w:spacing w:after="0" w:line="240" w:lineRule="auto"/>
      </w:pPr>
      <w:r>
        <w:separator/>
      </w:r>
    </w:p>
  </w:endnote>
  <w:endnote w:type="continuationSeparator" w:id="0">
    <w:p w:rsidR="00545B42" w:rsidRDefault="00545B42" w:rsidP="00BE30A2">
      <w:pPr>
        <w:spacing w:after="0" w:line="240" w:lineRule="auto"/>
      </w:pPr>
      <w:r>
        <w:continuationSeparator/>
      </w:r>
    </w:p>
  </w:endnote>
  <w:endnote w:id="1">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Hungarian NGDO expert, 01/02/2013.</w:t>
      </w:r>
      <w:proofErr w:type="gramEnd"/>
    </w:p>
  </w:endnote>
  <w:endnote w:id="2">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Interviews with an experts from a Czech NGDO and CONCORD, 04/02/2013 and 23/01/2013.</w:t>
      </w:r>
      <w:proofErr w:type="gramEnd"/>
    </w:p>
  </w:endnote>
  <w:endnote w:id="3">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FoRS board member, 07/03/2013.</w:t>
      </w:r>
      <w:proofErr w:type="gramEnd"/>
    </w:p>
  </w:endnote>
  <w:endnote w:id="4">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FoRS board member, 07/03/2013, and a Czech NGDO expert, 04/02/2013.</w:t>
      </w:r>
      <w:proofErr w:type="gramEnd"/>
    </w:p>
  </w:endnote>
  <w:endnote w:id="5">
    <w:p w:rsidR="00545B42" w:rsidRPr="00371F6B" w:rsidRDefault="00545B42" w:rsidP="00E86299">
      <w:pPr>
        <w:pStyle w:val="EndnoteText"/>
        <w:spacing w:line="360" w:lineRule="auto"/>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Czech NGDO expert, 08/03/2013.</w:t>
      </w:r>
      <w:proofErr w:type="gramEnd"/>
    </w:p>
  </w:endnote>
  <w:endnote w:id="6">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 xml:space="preserve">Interview with a </w:t>
      </w:r>
      <w:proofErr w:type="spellStart"/>
      <w:r w:rsidRPr="00371F6B">
        <w:rPr>
          <w:sz w:val="18"/>
          <w:szCs w:val="18"/>
          <w:lang w:val="en-GB"/>
        </w:rPr>
        <w:t>CzDA</w:t>
      </w:r>
      <w:proofErr w:type="spellEnd"/>
      <w:r w:rsidRPr="00371F6B">
        <w:rPr>
          <w:sz w:val="18"/>
          <w:szCs w:val="18"/>
          <w:lang w:val="en-GB"/>
        </w:rPr>
        <w:t xml:space="preserve"> official, 15/02/2013.</w:t>
      </w:r>
      <w:proofErr w:type="gramEnd"/>
    </w:p>
  </w:endnote>
  <w:endnote w:id="7">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Czech NGDO expert, 07/03/2013.</w:t>
      </w:r>
      <w:proofErr w:type="gramEnd"/>
    </w:p>
  </w:endnote>
  <w:endnote w:id="8">
    <w:p w:rsidR="00545B42" w:rsidRPr="00371F6B" w:rsidRDefault="00545B42" w:rsidP="00E86299">
      <w:pPr>
        <w:pStyle w:val="EndnoteText"/>
        <w:spacing w:line="360" w:lineRule="auto"/>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FoRS representative, 08/03/2013.</w:t>
      </w:r>
      <w:proofErr w:type="gramEnd"/>
    </w:p>
  </w:endnote>
  <w:endnote w:id="9">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Hungarian NGDO expert, 05/11/2012.</w:t>
      </w:r>
      <w:proofErr w:type="gramEnd"/>
    </w:p>
  </w:endnote>
  <w:endnote w:id="10">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Hungarian NGDO expert, 05/11/2012.</w:t>
      </w:r>
      <w:proofErr w:type="gramEnd"/>
    </w:p>
  </w:endnote>
  <w:endnote w:id="11">
    <w:p w:rsidR="00545B42" w:rsidRPr="00371F6B" w:rsidRDefault="00545B42" w:rsidP="00E86299">
      <w:pPr>
        <w:pStyle w:val="EndnoteText"/>
        <w:spacing w:line="360" w:lineRule="auto"/>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Hungarian NGDO expert, 06/02/2013.</w:t>
      </w:r>
      <w:proofErr w:type="gramEnd"/>
    </w:p>
  </w:endnote>
  <w:endnote w:id="12">
    <w:p w:rsidR="00545B42" w:rsidRPr="00371F6B" w:rsidRDefault="00545B42" w:rsidP="00E86299">
      <w:pPr>
        <w:pStyle w:val="EndnoteText"/>
        <w:spacing w:line="360" w:lineRule="auto"/>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FoRS representative, 08/03/2013.</w:t>
      </w:r>
      <w:proofErr w:type="gramEnd"/>
    </w:p>
  </w:endnote>
  <w:endnote w:id="13">
    <w:p w:rsidR="00545B42" w:rsidRPr="00371F6B" w:rsidRDefault="00545B42" w:rsidP="00E86299">
      <w:pPr>
        <w:pStyle w:val="EndnoteText"/>
        <w:spacing w:line="360" w:lineRule="auto"/>
        <w:rPr>
          <w:sz w:val="18"/>
          <w:szCs w:val="18"/>
          <w:lang w:val="en-GB"/>
        </w:rPr>
      </w:pPr>
      <w:r w:rsidRPr="00371F6B">
        <w:rPr>
          <w:rStyle w:val="EndnoteReference"/>
          <w:sz w:val="18"/>
          <w:szCs w:val="18"/>
          <w:lang w:val="en-GB"/>
        </w:rPr>
        <w:endnoteRef/>
      </w:r>
      <w:r w:rsidRPr="00371F6B">
        <w:rPr>
          <w:sz w:val="18"/>
          <w:szCs w:val="18"/>
          <w:lang w:val="en-GB"/>
        </w:rPr>
        <w:t xml:space="preserve"> The database is available at: </w:t>
      </w:r>
      <w:hyperlink r:id="rId1" w:history="1">
        <w:r w:rsidRPr="00371F6B">
          <w:rPr>
            <w:rStyle w:val="Hyperlink"/>
            <w:sz w:val="18"/>
            <w:szCs w:val="18"/>
            <w:lang w:val="en-GB"/>
          </w:rPr>
          <w:t>http://ec.europa.eu/europeaid/work/funding/beneficiaries/index.cfm?lang=en</w:t>
        </w:r>
      </w:hyperlink>
      <w:r w:rsidRPr="00371F6B">
        <w:rPr>
          <w:sz w:val="18"/>
          <w:szCs w:val="18"/>
          <w:lang w:val="en-GB"/>
        </w:rPr>
        <w:t>.</w:t>
      </w:r>
    </w:p>
  </w:endnote>
  <w:endnote w:id="14">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While the EC is the most important international source of financing for NGDOs in ECE, other sources, such as the UN system, may also play a role. However, it has not been possible to obtain comparable data on Czech and Hungarian participation from these sources</w:t>
      </w:r>
    </w:p>
  </w:endnote>
  <w:endnote w:id="15">
    <w:p w:rsidR="00545B42" w:rsidRPr="00371F6B" w:rsidRDefault="00545B42" w:rsidP="00E86299">
      <w:pPr>
        <w:pStyle w:val="EndnoteText"/>
        <w:spacing w:line="360" w:lineRule="auto"/>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FoRS board member, 07/03/2013.</w:t>
      </w:r>
      <w:proofErr w:type="gramEnd"/>
    </w:p>
  </w:endnote>
  <w:endnote w:id="16">
    <w:p w:rsidR="00545B42" w:rsidRPr="00371F6B" w:rsidRDefault="00545B42" w:rsidP="00E86299">
      <w:pPr>
        <w:pStyle w:val="EndnoteText"/>
        <w:spacing w:line="360" w:lineRule="auto"/>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Czech NGDO expert, 04/02/2013.</w:t>
      </w:r>
      <w:proofErr w:type="gramEnd"/>
    </w:p>
  </w:endnote>
  <w:endnote w:id="17">
    <w:p w:rsidR="00545B42" w:rsidRPr="00371F6B" w:rsidRDefault="00545B42" w:rsidP="00E86299">
      <w:pPr>
        <w:pStyle w:val="EndnoteText"/>
        <w:spacing w:line="360" w:lineRule="auto"/>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Czech NGDO expert, 08/03/2013.</w:t>
      </w:r>
      <w:proofErr w:type="gramEnd"/>
    </w:p>
  </w:endnote>
  <w:endnote w:id="18">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Hungarian NGDO expert, 01/02/2013.</w:t>
      </w:r>
      <w:proofErr w:type="gramEnd"/>
    </w:p>
  </w:endnote>
  <w:endnote w:id="19">
    <w:p w:rsidR="00545B42" w:rsidRPr="00371F6B" w:rsidRDefault="00545B42" w:rsidP="00E86299">
      <w:pPr>
        <w:pStyle w:val="EndnoteText"/>
        <w:spacing w:line="360" w:lineRule="auto"/>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Czech NGDO expert, 04/02/2013.</w:t>
      </w:r>
      <w:proofErr w:type="gramEnd"/>
    </w:p>
  </w:endnote>
  <w:endnote w:id="20">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FoRS board member, 07/03/2013.</w:t>
      </w:r>
      <w:proofErr w:type="gramEnd"/>
    </w:p>
  </w:endnote>
  <w:endnote w:id="21">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w:t>
      </w:r>
      <w:r>
        <w:rPr>
          <w:sz w:val="18"/>
          <w:szCs w:val="18"/>
          <w:lang w:val="en-GB"/>
        </w:rPr>
        <w:t xml:space="preserve"> </w:t>
      </w:r>
      <w:r w:rsidRPr="00371F6B">
        <w:rPr>
          <w:sz w:val="18"/>
          <w:szCs w:val="18"/>
          <w:lang w:val="en-GB"/>
        </w:rPr>
        <w:t>Czech MFA official, 07/03/2013.</w:t>
      </w:r>
      <w:proofErr w:type="gramEnd"/>
    </w:p>
  </w:endnote>
  <w:endnote w:id="22">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w:t>
      </w:r>
      <w:r>
        <w:rPr>
          <w:sz w:val="18"/>
          <w:szCs w:val="18"/>
          <w:lang w:val="en-GB"/>
        </w:rPr>
        <w:t xml:space="preserve"> </w:t>
      </w:r>
      <w:r w:rsidRPr="00371F6B">
        <w:rPr>
          <w:sz w:val="18"/>
          <w:szCs w:val="18"/>
          <w:lang w:val="en-GB"/>
        </w:rPr>
        <w:t xml:space="preserve">Czech MFA </w:t>
      </w:r>
      <w:r>
        <w:rPr>
          <w:sz w:val="18"/>
          <w:szCs w:val="18"/>
          <w:lang w:val="en-GB"/>
        </w:rPr>
        <w:t>official</w:t>
      </w:r>
      <w:r w:rsidRPr="00371F6B">
        <w:rPr>
          <w:sz w:val="18"/>
          <w:szCs w:val="18"/>
          <w:lang w:val="en-GB"/>
        </w:rPr>
        <w:t>, 07/03/2013.</w:t>
      </w:r>
      <w:proofErr w:type="gramEnd"/>
    </w:p>
  </w:endnote>
  <w:endnote w:id="23">
    <w:p w:rsidR="00545B42" w:rsidRPr="00371F6B" w:rsidRDefault="00545B42" w:rsidP="00E86299">
      <w:pPr>
        <w:pStyle w:val="EndnoteText"/>
        <w:spacing w:line="360" w:lineRule="auto"/>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 xml:space="preserve">Interview with a </w:t>
      </w:r>
      <w:proofErr w:type="spellStart"/>
      <w:r w:rsidRPr="00371F6B">
        <w:rPr>
          <w:sz w:val="18"/>
          <w:szCs w:val="18"/>
          <w:lang w:val="en-GB"/>
        </w:rPr>
        <w:t>CzDA</w:t>
      </w:r>
      <w:proofErr w:type="spellEnd"/>
      <w:r w:rsidRPr="00371F6B">
        <w:rPr>
          <w:sz w:val="18"/>
          <w:szCs w:val="18"/>
          <w:lang w:val="en-GB"/>
        </w:rPr>
        <w:t xml:space="preserve"> official, 21/04/2012.</w:t>
      </w:r>
      <w:proofErr w:type="gramEnd"/>
      <w:r w:rsidRPr="00371F6B">
        <w:rPr>
          <w:sz w:val="18"/>
          <w:szCs w:val="18"/>
          <w:lang w:val="en-GB"/>
        </w:rPr>
        <w:t xml:space="preserve"> </w:t>
      </w:r>
    </w:p>
  </w:endnote>
  <w:endnote w:id="24">
    <w:p w:rsidR="00545B42" w:rsidRPr="00371F6B" w:rsidRDefault="00545B42" w:rsidP="00E86299">
      <w:pPr>
        <w:pStyle w:val="EndnoteText"/>
        <w:spacing w:line="360" w:lineRule="auto"/>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FoRS representative, 08/03/2013.</w:t>
      </w:r>
      <w:proofErr w:type="gramEnd"/>
    </w:p>
  </w:endnote>
  <w:endnote w:id="25">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 xml:space="preserve">Interview with </w:t>
      </w:r>
      <w:r>
        <w:rPr>
          <w:sz w:val="18"/>
          <w:szCs w:val="18"/>
          <w:lang w:val="en-GB"/>
        </w:rPr>
        <w:t>Czech NGDO</w:t>
      </w:r>
      <w:r w:rsidRPr="00371F6B">
        <w:rPr>
          <w:sz w:val="18"/>
          <w:szCs w:val="18"/>
          <w:lang w:val="en-GB"/>
        </w:rPr>
        <w:t xml:space="preserve"> expert</w:t>
      </w:r>
      <w:r>
        <w:rPr>
          <w:sz w:val="18"/>
          <w:szCs w:val="18"/>
          <w:lang w:val="en-GB"/>
        </w:rPr>
        <w:t>s,</w:t>
      </w:r>
      <w:r w:rsidRPr="00371F6B">
        <w:rPr>
          <w:sz w:val="18"/>
          <w:szCs w:val="18"/>
          <w:lang w:val="en-GB"/>
        </w:rPr>
        <w:t xml:space="preserve"> 07/03/2013</w:t>
      </w:r>
      <w:r>
        <w:rPr>
          <w:sz w:val="18"/>
          <w:szCs w:val="18"/>
          <w:lang w:val="en-GB"/>
        </w:rPr>
        <w:t xml:space="preserve"> and 17/10/2013</w:t>
      </w:r>
      <w:r w:rsidRPr="00371F6B">
        <w:rPr>
          <w:sz w:val="18"/>
          <w:szCs w:val="18"/>
          <w:lang w:val="en-GB"/>
        </w:rPr>
        <w:t>.</w:t>
      </w:r>
      <w:proofErr w:type="gramEnd"/>
    </w:p>
  </w:endnote>
  <w:endnote w:id="26">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In her analysis of Slovenian NGDOs, Bučar (2012: 85) characterizes this relationship as ‘allies’ in the ‘promotion of the topic for their mutual benefit’.</w:t>
      </w:r>
    </w:p>
  </w:endnote>
  <w:endnote w:id="27">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FoRS board member, 07/03/2013.</w:t>
      </w:r>
      <w:proofErr w:type="gramEnd"/>
    </w:p>
  </w:endnote>
  <w:endnote w:id="28">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Hungarian NGDO</w:t>
      </w:r>
      <w:r>
        <w:rPr>
          <w:sz w:val="18"/>
          <w:szCs w:val="18"/>
          <w:lang w:val="en-GB"/>
        </w:rPr>
        <w:t xml:space="preserve"> expert</w:t>
      </w:r>
      <w:r w:rsidRPr="00371F6B">
        <w:rPr>
          <w:sz w:val="18"/>
          <w:szCs w:val="18"/>
          <w:lang w:val="en-GB"/>
        </w:rPr>
        <w:t>, 06/02/2013.</w:t>
      </w:r>
      <w:proofErr w:type="gramEnd"/>
    </w:p>
  </w:endnote>
  <w:endnote w:id="29">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Hungarian MFA official, 24/04/2013.</w:t>
      </w:r>
      <w:proofErr w:type="gramEnd"/>
    </w:p>
  </w:endnote>
  <w:endnote w:id="30">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 xml:space="preserve">Interview with a </w:t>
      </w:r>
      <w:r>
        <w:rPr>
          <w:sz w:val="18"/>
          <w:szCs w:val="18"/>
          <w:lang w:val="en-GB"/>
        </w:rPr>
        <w:t>Hungarian NGDO expert</w:t>
      </w:r>
      <w:r w:rsidRPr="00371F6B">
        <w:rPr>
          <w:sz w:val="18"/>
          <w:szCs w:val="18"/>
          <w:lang w:val="en-GB"/>
        </w:rPr>
        <w:t>, 01/02/2013.</w:t>
      </w:r>
      <w:proofErr w:type="gramEnd"/>
    </w:p>
  </w:endnote>
  <w:endnote w:id="31">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 Hungarian MFA official, 24/04/2013.</w:t>
      </w:r>
      <w:proofErr w:type="gramEnd"/>
    </w:p>
  </w:endnote>
  <w:endnote w:id="32">
    <w:p w:rsidR="00545B42" w:rsidRPr="00371F6B" w:rsidRDefault="00545B42" w:rsidP="00E86299">
      <w:pPr>
        <w:pStyle w:val="EndnoteText"/>
        <w:spacing w:line="360" w:lineRule="auto"/>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 xml:space="preserve">Interview </w:t>
      </w:r>
      <w:r>
        <w:rPr>
          <w:sz w:val="18"/>
          <w:szCs w:val="18"/>
          <w:lang w:val="en-GB"/>
        </w:rPr>
        <w:t xml:space="preserve">with </w:t>
      </w:r>
      <w:r w:rsidRPr="00371F6B">
        <w:rPr>
          <w:sz w:val="18"/>
          <w:szCs w:val="18"/>
          <w:lang w:val="en-GB"/>
        </w:rPr>
        <w:t xml:space="preserve">a Hungarian MFA official, </w:t>
      </w:r>
      <w:r>
        <w:rPr>
          <w:sz w:val="18"/>
          <w:szCs w:val="18"/>
          <w:lang w:val="en-GB"/>
        </w:rPr>
        <w:t>25</w:t>
      </w:r>
      <w:r w:rsidRPr="00371F6B">
        <w:rPr>
          <w:sz w:val="18"/>
          <w:szCs w:val="18"/>
          <w:lang w:val="en-GB"/>
        </w:rPr>
        <w:t>/</w:t>
      </w:r>
      <w:r>
        <w:rPr>
          <w:sz w:val="18"/>
          <w:szCs w:val="18"/>
          <w:lang w:val="en-GB"/>
        </w:rPr>
        <w:t>11/2012.</w:t>
      </w:r>
      <w:proofErr w:type="gramEnd"/>
    </w:p>
  </w:endnote>
  <w:endnote w:id="33">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w:t>
      </w:r>
      <w:r>
        <w:rPr>
          <w:sz w:val="18"/>
          <w:szCs w:val="18"/>
          <w:lang w:val="en-GB"/>
        </w:rPr>
        <w:t xml:space="preserve"> </w:t>
      </w:r>
      <w:r w:rsidRPr="00371F6B">
        <w:rPr>
          <w:sz w:val="18"/>
          <w:szCs w:val="18"/>
          <w:lang w:val="en-GB"/>
        </w:rPr>
        <w:t xml:space="preserve">Hungarian </w:t>
      </w:r>
      <w:r>
        <w:rPr>
          <w:sz w:val="18"/>
          <w:szCs w:val="18"/>
          <w:lang w:val="en-GB"/>
        </w:rPr>
        <w:t>NGDO expert</w:t>
      </w:r>
      <w:r w:rsidRPr="00371F6B">
        <w:rPr>
          <w:sz w:val="18"/>
          <w:szCs w:val="18"/>
          <w:lang w:val="en-GB"/>
        </w:rPr>
        <w:t>, 06/02/2013.</w:t>
      </w:r>
      <w:proofErr w:type="gramEnd"/>
    </w:p>
  </w:endnote>
  <w:endnote w:id="34">
    <w:p w:rsidR="00545B42" w:rsidRPr="00371F6B" w:rsidRDefault="00545B42" w:rsidP="00E86299">
      <w:pPr>
        <w:pStyle w:val="EndnoteText"/>
        <w:spacing w:line="360" w:lineRule="auto"/>
        <w:jc w:val="both"/>
        <w:rPr>
          <w:sz w:val="18"/>
          <w:szCs w:val="18"/>
          <w:lang w:val="en-GB"/>
        </w:rPr>
      </w:pPr>
      <w:r w:rsidRPr="00371F6B">
        <w:rPr>
          <w:rStyle w:val="EndnoteReference"/>
          <w:sz w:val="18"/>
          <w:szCs w:val="18"/>
          <w:lang w:val="en-GB"/>
        </w:rPr>
        <w:endnoteRef/>
      </w:r>
      <w:r w:rsidRPr="00371F6B">
        <w:rPr>
          <w:sz w:val="18"/>
          <w:szCs w:val="18"/>
          <w:lang w:val="en-GB"/>
        </w:rPr>
        <w:t xml:space="preserve"> </w:t>
      </w:r>
      <w:proofErr w:type="gramStart"/>
      <w:r w:rsidRPr="00371F6B">
        <w:rPr>
          <w:sz w:val="18"/>
          <w:szCs w:val="18"/>
          <w:lang w:val="en-GB"/>
        </w:rPr>
        <w:t>Interview with a</w:t>
      </w:r>
      <w:r>
        <w:rPr>
          <w:sz w:val="18"/>
          <w:szCs w:val="18"/>
          <w:lang w:val="en-GB"/>
        </w:rPr>
        <w:t xml:space="preserve"> </w:t>
      </w:r>
      <w:r w:rsidRPr="00371F6B">
        <w:rPr>
          <w:sz w:val="18"/>
          <w:szCs w:val="18"/>
          <w:lang w:val="en-GB"/>
        </w:rPr>
        <w:t xml:space="preserve">Hungarian </w:t>
      </w:r>
      <w:r>
        <w:rPr>
          <w:sz w:val="18"/>
          <w:szCs w:val="18"/>
          <w:lang w:val="en-GB"/>
        </w:rPr>
        <w:t>NGDO expert</w:t>
      </w:r>
      <w:r w:rsidRPr="00371F6B">
        <w:rPr>
          <w:sz w:val="18"/>
          <w:szCs w:val="18"/>
          <w:lang w:val="en-GB"/>
        </w:rPr>
        <w:t>, 0</w:t>
      </w:r>
      <w:r>
        <w:rPr>
          <w:sz w:val="18"/>
          <w:szCs w:val="18"/>
          <w:lang w:val="en-GB"/>
        </w:rPr>
        <w:t>5</w:t>
      </w:r>
      <w:r w:rsidRPr="00371F6B">
        <w:rPr>
          <w:sz w:val="18"/>
          <w:szCs w:val="18"/>
          <w:lang w:val="en-GB"/>
        </w:rPr>
        <w:t>/0</w:t>
      </w:r>
      <w:r>
        <w:rPr>
          <w:sz w:val="18"/>
          <w:szCs w:val="18"/>
          <w:lang w:val="en-GB"/>
        </w:rPr>
        <w:t>8</w:t>
      </w:r>
      <w:r w:rsidRPr="00371F6B">
        <w:rPr>
          <w:sz w:val="18"/>
          <w:szCs w:val="18"/>
          <w:lang w:val="en-GB"/>
        </w:rPr>
        <w:t>/2013.</w:t>
      </w:r>
      <w:proofErr w:type="gramEnd"/>
    </w:p>
    <w:p w:rsidR="00545B42" w:rsidRPr="00371F6B" w:rsidRDefault="00545B42" w:rsidP="00E86299">
      <w:pPr>
        <w:pStyle w:val="EndnoteText"/>
        <w:spacing w:line="360" w:lineRule="auto"/>
        <w:jc w:val="both"/>
        <w:rPr>
          <w:sz w:val="18"/>
          <w:szCs w:val="18"/>
          <w:lang w:val="en-GB"/>
        </w:rPr>
      </w:pPr>
    </w:p>
    <w:p w:rsidR="00545B42" w:rsidRPr="00371F6B" w:rsidRDefault="00545B42" w:rsidP="00E86299">
      <w:pPr>
        <w:spacing w:after="0" w:line="360" w:lineRule="auto"/>
        <w:rPr>
          <w:b/>
          <w:lang w:val="en-GB"/>
        </w:rPr>
      </w:pPr>
      <w:r w:rsidRPr="00371F6B">
        <w:rPr>
          <w:b/>
          <w:lang w:val="en-GB"/>
        </w:rPr>
        <w:t xml:space="preserve">References </w:t>
      </w:r>
    </w:p>
    <w:p w:rsidR="00545B42" w:rsidRPr="00371F6B" w:rsidRDefault="00545B42" w:rsidP="00E86299">
      <w:pPr>
        <w:autoSpaceDE w:val="0"/>
        <w:autoSpaceDN w:val="0"/>
        <w:adjustRightInd w:val="0"/>
        <w:spacing w:after="0" w:line="360" w:lineRule="auto"/>
        <w:ind w:left="426" w:hanging="426"/>
        <w:rPr>
          <w:rFonts w:cs="CMR10"/>
          <w:color w:val="000000"/>
          <w:lang w:val="en-GB"/>
        </w:rPr>
      </w:pPr>
      <w:proofErr w:type="spellStart"/>
      <w:r w:rsidRPr="00371F6B">
        <w:rPr>
          <w:rFonts w:cs="CMR10"/>
          <w:color w:val="000000"/>
          <w:lang w:val="en-GB"/>
        </w:rPr>
        <w:t>Batory</w:t>
      </w:r>
      <w:proofErr w:type="spellEnd"/>
      <w:r w:rsidRPr="00371F6B">
        <w:rPr>
          <w:rFonts w:cs="CMR10"/>
          <w:color w:val="000000"/>
          <w:lang w:val="en-GB"/>
        </w:rPr>
        <w:t xml:space="preserve">, A., and Cartwright, A. (2011) Re-visiting the Partnership Principle in Cohesion Policy: The Role of Civil Society Organizations in Structural Funds Monitoring. </w:t>
      </w:r>
      <w:r w:rsidRPr="00371F6B">
        <w:rPr>
          <w:rFonts w:cs="CMR10"/>
          <w:i/>
          <w:color w:val="000000"/>
          <w:lang w:val="en-GB"/>
        </w:rPr>
        <w:t>JCMS: Journal of Common Market Studies</w:t>
      </w:r>
      <w:r w:rsidRPr="00371F6B">
        <w:rPr>
          <w:rFonts w:cs="CMR10"/>
          <w:color w:val="000000"/>
          <w:lang w:val="en-GB"/>
        </w:rPr>
        <w:t xml:space="preserve"> 49(4): 697–717.</w:t>
      </w:r>
    </w:p>
    <w:p w:rsidR="00545B42" w:rsidRPr="00371F6B" w:rsidRDefault="00545B42" w:rsidP="00E86299">
      <w:pPr>
        <w:autoSpaceDE w:val="0"/>
        <w:autoSpaceDN w:val="0"/>
        <w:adjustRightInd w:val="0"/>
        <w:spacing w:after="0" w:line="360" w:lineRule="auto"/>
        <w:ind w:left="426" w:hanging="426"/>
        <w:rPr>
          <w:rFonts w:cs="CMR10"/>
          <w:color w:val="000000"/>
          <w:lang w:val="en-GB"/>
        </w:rPr>
      </w:pPr>
      <w:proofErr w:type="spellStart"/>
      <w:r w:rsidRPr="00371F6B">
        <w:rPr>
          <w:rFonts w:cs="CMR10"/>
          <w:color w:val="000000"/>
          <w:lang w:val="en-GB"/>
        </w:rPr>
        <w:t>Börzel</w:t>
      </w:r>
      <w:proofErr w:type="spellEnd"/>
      <w:r w:rsidRPr="00371F6B">
        <w:rPr>
          <w:rFonts w:cs="CMR10"/>
          <w:color w:val="000000"/>
          <w:lang w:val="en-GB"/>
        </w:rPr>
        <w:t xml:space="preserve">, T. (2010) Why You Don’t Always Get What You Want: EU Enlargement and Civil Society in Central and Eastern Europe.  </w:t>
      </w:r>
      <w:proofErr w:type="spellStart"/>
      <w:r w:rsidRPr="00371F6B">
        <w:rPr>
          <w:rFonts w:cs="CMR10"/>
          <w:i/>
          <w:color w:val="000000"/>
          <w:lang w:val="en-GB"/>
        </w:rPr>
        <w:t>Acta</w:t>
      </w:r>
      <w:proofErr w:type="spellEnd"/>
      <w:r w:rsidRPr="00371F6B">
        <w:rPr>
          <w:rFonts w:cs="CMR10"/>
          <w:i/>
          <w:color w:val="000000"/>
          <w:lang w:val="en-GB"/>
        </w:rPr>
        <w:t xml:space="preserve"> </w:t>
      </w:r>
      <w:proofErr w:type="spellStart"/>
      <w:r w:rsidRPr="00371F6B">
        <w:rPr>
          <w:rFonts w:cs="CMR10"/>
          <w:i/>
          <w:color w:val="000000"/>
          <w:lang w:val="en-GB"/>
        </w:rPr>
        <w:t>Politica</w:t>
      </w:r>
      <w:proofErr w:type="spellEnd"/>
      <w:r w:rsidRPr="00371F6B">
        <w:rPr>
          <w:rFonts w:cs="CMR10"/>
          <w:color w:val="000000"/>
          <w:lang w:val="en-GB"/>
        </w:rPr>
        <w:t xml:space="preserve"> 45(1-2): 1–10.</w:t>
      </w:r>
    </w:p>
    <w:p w:rsidR="00545B42" w:rsidRPr="00371F6B" w:rsidRDefault="00545B42" w:rsidP="00E86299">
      <w:pPr>
        <w:autoSpaceDE w:val="0"/>
        <w:autoSpaceDN w:val="0"/>
        <w:adjustRightInd w:val="0"/>
        <w:spacing w:after="0" w:line="360" w:lineRule="auto"/>
        <w:ind w:left="426" w:hanging="426"/>
        <w:rPr>
          <w:rFonts w:cs="CMR10"/>
          <w:color w:val="000000"/>
          <w:lang w:val="en-GB"/>
        </w:rPr>
      </w:pPr>
      <w:proofErr w:type="spellStart"/>
      <w:proofErr w:type="gramStart"/>
      <w:r w:rsidRPr="00371F6B">
        <w:rPr>
          <w:rFonts w:cs="CMR10"/>
          <w:color w:val="000000"/>
          <w:lang w:val="en-GB"/>
        </w:rPr>
        <w:t>Börzel</w:t>
      </w:r>
      <w:proofErr w:type="spellEnd"/>
      <w:r w:rsidRPr="00371F6B">
        <w:rPr>
          <w:rFonts w:cs="CMR10"/>
          <w:color w:val="000000"/>
          <w:lang w:val="en-GB"/>
        </w:rPr>
        <w:t xml:space="preserve">, T. and </w:t>
      </w:r>
      <w:proofErr w:type="spellStart"/>
      <w:r w:rsidRPr="00371F6B">
        <w:rPr>
          <w:rFonts w:cs="CMR10"/>
          <w:color w:val="000000"/>
          <w:lang w:val="en-GB"/>
        </w:rPr>
        <w:t>Buzogány</w:t>
      </w:r>
      <w:proofErr w:type="spellEnd"/>
      <w:r w:rsidRPr="00371F6B">
        <w:rPr>
          <w:rFonts w:cs="CMR10"/>
          <w:color w:val="000000"/>
          <w:lang w:val="en-GB"/>
        </w:rPr>
        <w:t>, A. (2010) Governing EU accession in transition countries: The role of non-state actors.</w:t>
      </w:r>
      <w:proofErr w:type="gramEnd"/>
      <w:r w:rsidRPr="00371F6B">
        <w:rPr>
          <w:rFonts w:cs="CMR10"/>
          <w:color w:val="000000"/>
          <w:lang w:val="en-GB"/>
        </w:rPr>
        <w:t xml:space="preserve"> </w:t>
      </w:r>
      <w:proofErr w:type="spellStart"/>
      <w:r w:rsidRPr="00371F6B">
        <w:rPr>
          <w:rFonts w:cs="CMTI10"/>
          <w:i/>
          <w:color w:val="000000"/>
          <w:lang w:val="en-GB"/>
        </w:rPr>
        <w:t>Acta</w:t>
      </w:r>
      <w:proofErr w:type="spellEnd"/>
      <w:r w:rsidRPr="00371F6B">
        <w:rPr>
          <w:rFonts w:cs="CMTI10"/>
          <w:i/>
          <w:color w:val="000000"/>
          <w:lang w:val="en-GB"/>
        </w:rPr>
        <w:t xml:space="preserve"> </w:t>
      </w:r>
      <w:proofErr w:type="spellStart"/>
      <w:r w:rsidRPr="00371F6B">
        <w:rPr>
          <w:rFonts w:cs="CMTI10"/>
          <w:i/>
          <w:color w:val="000000"/>
          <w:lang w:val="en-GB"/>
        </w:rPr>
        <w:t>Politica</w:t>
      </w:r>
      <w:proofErr w:type="spellEnd"/>
      <w:r w:rsidRPr="00371F6B">
        <w:rPr>
          <w:rFonts w:cs="CMR10"/>
          <w:color w:val="000000"/>
          <w:lang w:val="en-GB"/>
        </w:rPr>
        <w:t xml:space="preserve"> 45(1-2): 158–182.</w:t>
      </w:r>
    </w:p>
    <w:p w:rsidR="00545B42" w:rsidRPr="00371F6B" w:rsidRDefault="00545B42" w:rsidP="00E86299">
      <w:pPr>
        <w:autoSpaceDE w:val="0"/>
        <w:autoSpaceDN w:val="0"/>
        <w:adjustRightInd w:val="0"/>
        <w:spacing w:after="0" w:line="360" w:lineRule="auto"/>
        <w:ind w:left="426" w:hanging="426"/>
        <w:rPr>
          <w:rFonts w:cs="CMR10"/>
          <w:color w:val="000000"/>
          <w:lang w:val="en-GB"/>
        </w:rPr>
      </w:pPr>
      <w:proofErr w:type="spellStart"/>
      <w:proofErr w:type="gramStart"/>
      <w:r w:rsidRPr="00371F6B">
        <w:rPr>
          <w:rFonts w:cs="CMR10"/>
          <w:color w:val="000000"/>
          <w:lang w:val="en-GB"/>
        </w:rPr>
        <w:t>Bruszt</w:t>
      </w:r>
      <w:proofErr w:type="spellEnd"/>
      <w:r w:rsidRPr="00371F6B">
        <w:rPr>
          <w:rFonts w:cs="CMR10"/>
          <w:color w:val="000000"/>
          <w:lang w:val="en-GB"/>
        </w:rPr>
        <w:t>, L. (2008) Multi-level governance – The eastern versions.</w:t>
      </w:r>
      <w:proofErr w:type="gramEnd"/>
      <w:r w:rsidRPr="00371F6B">
        <w:rPr>
          <w:rFonts w:cs="CMR10"/>
          <w:color w:val="000000"/>
          <w:lang w:val="en-GB"/>
        </w:rPr>
        <w:t xml:space="preserve"> </w:t>
      </w:r>
      <w:r w:rsidRPr="00371F6B">
        <w:rPr>
          <w:rFonts w:cs="CMR10"/>
          <w:i/>
          <w:color w:val="000000"/>
          <w:lang w:val="en-GB"/>
        </w:rPr>
        <w:t xml:space="preserve">Regional and Federal Studies </w:t>
      </w:r>
      <w:r w:rsidRPr="00371F6B">
        <w:rPr>
          <w:rFonts w:cs="CMR10"/>
          <w:color w:val="000000"/>
          <w:lang w:val="en-GB"/>
        </w:rPr>
        <w:t>18(5): 607–627.</w:t>
      </w:r>
    </w:p>
    <w:p w:rsidR="00545B42" w:rsidRPr="00371F6B" w:rsidRDefault="00545B42" w:rsidP="00E86299">
      <w:pPr>
        <w:spacing w:after="0" w:line="360" w:lineRule="auto"/>
        <w:ind w:left="426" w:hanging="426"/>
        <w:rPr>
          <w:lang w:val="en-GB"/>
        </w:rPr>
      </w:pPr>
      <w:proofErr w:type="gramStart"/>
      <w:r w:rsidRPr="00371F6B">
        <w:rPr>
          <w:lang w:val="en-GB"/>
        </w:rPr>
        <w:t>Bučar, M. (2012) Involving Civil Society in the International Development Cooperation of ‘New’ EU Member States: The Case of Slovenia.</w:t>
      </w:r>
      <w:proofErr w:type="gramEnd"/>
      <w:r w:rsidRPr="00371F6B">
        <w:rPr>
          <w:lang w:val="en-GB"/>
        </w:rPr>
        <w:t xml:space="preserve"> </w:t>
      </w:r>
      <w:r w:rsidRPr="00371F6B">
        <w:rPr>
          <w:i/>
          <w:lang w:val="en-GB"/>
        </w:rPr>
        <w:t xml:space="preserve">Perspectives on European Politics and Society </w:t>
      </w:r>
      <w:r w:rsidRPr="00371F6B">
        <w:rPr>
          <w:lang w:val="en-GB"/>
        </w:rPr>
        <w:t>13(1): 83-99.</w:t>
      </w:r>
    </w:p>
    <w:p w:rsidR="00545B42" w:rsidRPr="00371F6B" w:rsidRDefault="00545B42" w:rsidP="00E86299">
      <w:pPr>
        <w:autoSpaceDE w:val="0"/>
        <w:autoSpaceDN w:val="0"/>
        <w:adjustRightInd w:val="0"/>
        <w:spacing w:after="0" w:line="360" w:lineRule="auto"/>
        <w:ind w:left="426" w:hanging="426"/>
        <w:rPr>
          <w:rFonts w:cs="CMR10"/>
          <w:color w:val="000000"/>
          <w:lang w:val="en-GB"/>
        </w:rPr>
      </w:pPr>
      <w:proofErr w:type="spellStart"/>
      <w:proofErr w:type="gramStart"/>
      <w:r w:rsidRPr="00371F6B">
        <w:rPr>
          <w:rFonts w:cs="CMR10"/>
          <w:color w:val="000000"/>
          <w:lang w:val="en-GB"/>
        </w:rPr>
        <w:t>Carmin</w:t>
      </w:r>
      <w:proofErr w:type="spellEnd"/>
      <w:r w:rsidRPr="00371F6B">
        <w:rPr>
          <w:rFonts w:cs="CMR10"/>
          <w:color w:val="000000"/>
          <w:lang w:val="en-GB"/>
        </w:rPr>
        <w:t xml:space="preserve">, J., and Fagan, A. (2010) Environmental mobilisation and organisations in </w:t>
      </w:r>
      <w:proofErr w:type="spellStart"/>
      <w:r w:rsidRPr="00371F6B">
        <w:rPr>
          <w:rFonts w:cs="CMR10"/>
          <w:color w:val="000000"/>
          <w:lang w:val="en-GB"/>
        </w:rPr>
        <w:t>postsocialist</w:t>
      </w:r>
      <w:proofErr w:type="spellEnd"/>
      <w:r w:rsidRPr="00371F6B">
        <w:rPr>
          <w:rFonts w:cs="CMR10"/>
          <w:color w:val="000000"/>
          <w:lang w:val="en-GB"/>
        </w:rPr>
        <w:t xml:space="preserve"> Europe and the former Soviet Union.</w:t>
      </w:r>
      <w:proofErr w:type="gramEnd"/>
      <w:r w:rsidRPr="00371F6B">
        <w:rPr>
          <w:rFonts w:cs="CMR10"/>
          <w:color w:val="000000"/>
          <w:lang w:val="en-GB"/>
        </w:rPr>
        <w:t xml:space="preserve"> </w:t>
      </w:r>
      <w:r w:rsidRPr="00371F6B">
        <w:rPr>
          <w:rFonts w:cs="CMR10"/>
          <w:i/>
          <w:color w:val="000000"/>
          <w:lang w:val="en-GB"/>
        </w:rPr>
        <w:t>Environmental Politics</w:t>
      </w:r>
      <w:r w:rsidRPr="00371F6B">
        <w:rPr>
          <w:rFonts w:cs="CMR10"/>
          <w:color w:val="000000"/>
          <w:lang w:val="en-GB"/>
        </w:rPr>
        <w:t xml:space="preserve"> 19(5): 689–707.</w:t>
      </w:r>
    </w:p>
    <w:p w:rsidR="00545B42" w:rsidRPr="006E77DD" w:rsidRDefault="00545B42" w:rsidP="006E77DD">
      <w:pPr>
        <w:autoSpaceDE w:val="0"/>
        <w:autoSpaceDN w:val="0"/>
        <w:adjustRightInd w:val="0"/>
        <w:spacing w:after="0" w:line="360" w:lineRule="auto"/>
        <w:ind w:left="426" w:hanging="426"/>
        <w:rPr>
          <w:rFonts w:cs="CMR10"/>
          <w:color w:val="000000"/>
          <w:lang w:val="en-GB"/>
        </w:rPr>
      </w:pPr>
      <w:r w:rsidRPr="006E77DD">
        <w:rPr>
          <w:rFonts w:cs="CMR10"/>
          <w:color w:val="000000"/>
          <w:lang w:val="en-GB"/>
        </w:rPr>
        <w:t xml:space="preserve">CONCORD (2007) </w:t>
      </w:r>
      <w:proofErr w:type="spellStart"/>
      <w:r w:rsidRPr="006E77DD">
        <w:rPr>
          <w:rFonts w:cs="CMR10"/>
          <w:i/>
          <w:color w:val="000000"/>
          <w:lang w:val="en-GB"/>
        </w:rPr>
        <w:t>AidWatch</w:t>
      </w:r>
      <w:proofErr w:type="spellEnd"/>
      <w:r w:rsidRPr="006E77DD">
        <w:rPr>
          <w:rFonts w:cs="CMR10"/>
          <w:i/>
          <w:color w:val="000000"/>
          <w:lang w:val="en-GB"/>
        </w:rPr>
        <w:t xml:space="preserve"> 2007: Hold the Applause! EU Governments Risk Breaking Aid Promises</w:t>
      </w:r>
      <w:r w:rsidRPr="006E77DD">
        <w:rPr>
          <w:rFonts w:cs="CMR10"/>
          <w:color w:val="000000"/>
          <w:lang w:val="en-GB"/>
        </w:rPr>
        <w:t>, Brussels: CONCORD.</w:t>
      </w:r>
    </w:p>
    <w:p w:rsidR="00545B42" w:rsidRPr="00371F6B" w:rsidRDefault="00545B42" w:rsidP="00E86299">
      <w:pPr>
        <w:autoSpaceDE w:val="0"/>
        <w:autoSpaceDN w:val="0"/>
        <w:adjustRightInd w:val="0"/>
        <w:spacing w:after="0" w:line="360" w:lineRule="auto"/>
        <w:ind w:left="426" w:hanging="426"/>
        <w:rPr>
          <w:lang w:val="en-GB"/>
        </w:rPr>
      </w:pPr>
      <w:proofErr w:type="spellStart"/>
      <w:r w:rsidRPr="00371F6B">
        <w:rPr>
          <w:rFonts w:cs="CMR10"/>
          <w:color w:val="000000"/>
          <w:lang w:val="en-GB"/>
        </w:rPr>
        <w:t>Drążk</w:t>
      </w:r>
      <w:r w:rsidRPr="00371F6B">
        <w:rPr>
          <w:lang w:val="en-GB"/>
        </w:rPr>
        <w:t>iewicz-Grodzicka</w:t>
      </w:r>
      <w:proofErr w:type="spellEnd"/>
      <w:r w:rsidRPr="00371F6B">
        <w:rPr>
          <w:lang w:val="en-GB"/>
        </w:rPr>
        <w:t xml:space="preserve">, E. (2013) From Recipient to Donor: The Case of Polish Development Cooperation. </w:t>
      </w:r>
      <w:r w:rsidRPr="00371F6B">
        <w:rPr>
          <w:i/>
          <w:lang w:val="en-GB"/>
        </w:rPr>
        <w:t>Human Organization</w:t>
      </w:r>
      <w:r w:rsidRPr="00371F6B">
        <w:rPr>
          <w:lang w:val="en-GB"/>
        </w:rPr>
        <w:t xml:space="preserve"> 72(1): 65-75.</w:t>
      </w:r>
    </w:p>
    <w:p w:rsidR="00545B42" w:rsidRPr="006E77DD" w:rsidRDefault="00545B42" w:rsidP="006E77DD">
      <w:pPr>
        <w:rPr>
          <w:rFonts w:cs="CMR10"/>
          <w:color w:val="000000"/>
          <w:lang w:val="en-GB"/>
        </w:rPr>
      </w:pPr>
      <w:proofErr w:type="gramStart"/>
      <w:r w:rsidRPr="00371F6B">
        <w:rPr>
          <w:rFonts w:cs="CMR10"/>
          <w:color w:val="000000"/>
          <w:lang w:val="en-GB"/>
        </w:rPr>
        <w:t xml:space="preserve">Eurobarometer (2005) </w:t>
      </w:r>
      <w:r w:rsidRPr="006E77DD">
        <w:rPr>
          <w:rFonts w:cs="CMR10"/>
          <w:i/>
          <w:color w:val="000000"/>
          <w:lang w:val="en-GB"/>
        </w:rPr>
        <w:t>Attitudes towards Development Aid</w:t>
      </w:r>
      <w:r w:rsidRPr="006E77DD">
        <w:rPr>
          <w:rFonts w:cs="CMR10"/>
          <w:color w:val="000000"/>
          <w:lang w:val="en-GB"/>
        </w:rPr>
        <w:t>.</w:t>
      </w:r>
      <w:proofErr w:type="gramEnd"/>
      <w:r w:rsidRPr="006E77DD">
        <w:rPr>
          <w:rFonts w:cs="CMR10"/>
          <w:color w:val="000000"/>
          <w:lang w:val="en-GB"/>
        </w:rPr>
        <w:t xml:space="preserve"> </w:t>
      </w:r>
      <w:proofErr w:type="spellStart"/>
      <w:r w:rsidRPr="006E77DD">
        <w:rPr>
          <w:rFonts w:cs="CMR10"/>
          <w:color w:val="000000"/>
          <w:lang w:val="en-GB"/>
        </w:rPr>
        <w:t>Brussles</w:t>
      </w:r>
      <w:proofErr w:type="spellEnd"/>
      <w:r w:rsidRPr="006E77DD">
        <w:rPr>
          <w:rFonts w:cs="CMR10"/>
          <w:color w:val="000000"/>
          <w:lang w:val="en-GB"/>
        </w:rPr>
        <w:t>: European Commission</w:t>
      </w:r>
    </w:p>
    <w:p w:rsidR="00545B42" w:rsidRPr="00371F6B" w:rsidRDefault="00545B42" w:rsidP="00E86299">
      <w:pPr>
        <w:autoSpaceDE w:val="0"/>
        <w:autoSpaceDN w:val="0"/>
        <w:adjustRightInd w:val="0"/>
        <w:spacing w:after="0" w:line="360" w:lineRule="auto"/>
        <w:ind w:left="426" w:hanging="426"/>
        <w:rPr>
          <w:rFonts w:cs="CMR10"/>
          <w:lang w:val="en-GB"/>
        </w:rPr>
      </w:pPr>
      <w:r w:rsidRPr="00371F6B">
        <w:rPr>
          <w:rFonts w:cs="CMR10"/>
          <w:lang w:val="en-GB"/>
        </w:rPr>
        <w:t xml:space="preserve">Fagan, A. (2005) Taking Stock of Civil-Society Development in Post-communist Europe: Evidence from the Czech Republic. </w:t>
      </w:r>
      <w:r w:rsidRPr="00371F6B">
        <w:rPr>
          <w:rFonts w:cs="CMR10"/>
          <w:i/>
          <w:color w:val="000000"/>
          <w:lang w:val="en-GB"/>
        </w:rPr>
        <w:t>Democratization</w:t>
      </w:r>
      <w:r w:rsidRPr="00371F6B">
        <w:rPr>
          <w:rFonts w:cs="CMR10"/>
          <w:lang w:val="en-GB"/>
        </w:rPr>
        <w:t xml:space="preserve"> 12(4): 528–547.</w:t>
      </w:r>
    </w:p>
    <w:p w:rsidR="00545B42" w:rsidRPr="00371F6B" w:rsidRDefault="00545B42" w:rsidP="00E86299">
      <w:pPr>
        <w:autoSpaceDE w:val="0"/>
        <w:autoSpaceDN w:val="0"/>
        <w:adjustRightInd w:val="0"/>
        <w:spacing w:after="0" w:line="360" w:lineRule="auto"/>
        <w:ind w:left="426" w:hanging="426"/>
        <w:rPr>
          <w:rFonts w:cs="CMR10"/>
          <w:color w:val="000000"/>
          <w:lang w:val="en-GB"/>
        </w:rPr>
      </w:pPr>
      <w:proofErr w:type="gramStart"/>
      <w:r w:rsidRPr="00371F6B">
        <w:rPr>
          <w:rFonts w:cs="CMR10"/>
          <w:color w:val="000000"/>
          <w:lang w:val="en-GB"/>
        </w:rPr>
        <w:t>FoRS.</w:t>
      </w:r>
      <w:proofErr w:type="gramEnd"/>
      <w:r w:rsidRPr="00371F6B">
        <w:rPr>
          <w:rFonts w:cs="CMR10"/>
          <w:color w:val="000000"/>
          <w:lang w:val="en-GB"/>
        </w:rPr>
        <w:t xml:space="preserve"> </w:t>
      </w:r>
      <w:proofErr w:type="gramStart"/>
      <w:r w:rsidRPr="00371F6B">
        <w:rPr>
          <w:rFonts w:cs="CMR10"/>
          <w:color w:val="000000"/>
          <w:lang w:val="en-GB"/>
        </w:rPr>
        <w:t xml:space="preserve">(2011) </w:t>
      </w:r>
      <w:proofErr w:type="spellStart"/>
      <w:r w:rsidRPr="00371F6B">
        <w:rPr>
          <w:i/>
          <w:lang w:val="en-GB"/>
        </w:rPr>
        <w:t>Zahraniční</w:t>
      </w:r>
      <w:proofErr w:type="spellEnd"/>
      <w:r w:rsidRPr="00371F6B">
        <w:rPr>
          <w:i/>
          <w:lang w:val="en-GB"/>
        </w:rPr>
        <w:t xml:space="preserve"> </w:t>
      </w:r>
      <w:proofErr w:type="spellStart"/>
      <w:r w:rsidRPr="00371F6B">
        <w:rPr>
          <w:i/>
          <w:lang w:val="en-GB"/>
        </w:rPr>
        <w:t>rozvojová</w:t>
      </w:r>
      <w:proofErr w:type="spellEnd"/>
      <w:r w:rsidRPr="00371F6B">
        <w:rPr>
          <w:i/>
          <w:lang w:val="en-GB"/>
        </w:rPr>
        <w:t xml:space="preserve"> </w:t>
      </w:r>
      <w:proofErr w:type="spellStart"/>
      <w:r w:rsidRPr="00371F6B">
        <w:rPr>
          <w:i/>
          <w:lang w:val="en-GB"/>
        </w:rPr>
        <w:t>spolupráce</w:t>
      </w:r>
      <w:proofErr w:type="spellEnd"/>
      <w:r w:rsidRPr="00371F6B">
        <w:rPr>
          <w:i/>
          <w:lang w:val="en-GB"/>
        </w:rPr>
        <w:t xml:space="preserve"> v </w:t>
      </w:r>
      <w:proofErr w:type="spellStart"/>
      <w:r w:rsidRPr="00371F6B">
        <w:rPr>
          <w:i/>
          <w:lang w:val="en-GB"/>
        </w:rPr>
        <w:t>roce</w:t>
      </w:r>
      <w:proofErr w:type="spellEnd"/>
      <w:r w:rsidRPr="00371F6B">
        <w:rPr>
          <w:i/>
          <w:lang w:val="en-GB"/>
        </w:rPr>
        <w:t xml:space="preserve"> 2010</w:t>
      </w:r>
      <w:r w:rsidRPr="00371F6B">
        <w:rPr>
          <w:rFonts w:cs="CMR10"/>
          <w:i/>
          <w:color w:val="000000"/>
          <w:lang w:val="en-GB"/>
        </w:rPr>
        <w:t>.</w:t>
      </w:r>
      <w:proofErr w:type="gramEnd"/>
      <w:r w:rsidRPr="00371F6B">
        <w:rPr>
          <w:rFonts w:cs="CMR10"/>
          <w:color w:val="000000"/>
          <w:lang w:val="en-GB"/>
        </w:rPr>
        <w:t xml:space="preserve"> Prague: FoRS.</w:t>
      </w:r>
    </w:p>
    <w:p w:rsidR="00545B42" w:rsidRPr="00371F6B" w:rsidRDefault="00545B42" w:rsidP="00E86299">
      <w:pPr>
        <w:autoSpaceDE w:val="0"/>
        <w:autoSpaceDN w:val="0"/>
        <w:adjustRightInd w:val="0"/>
        <w:spacing w:after="0" w:line="360" w:lineRule="auto"/>
        <w:ind w:left="426" w:hanging="426"/>
        <w:rPr>
          <w:rFonts w:cs="CMR10"/>
          <w:color w:val="000000"/>
          <w:lang w:val="en-GB"/>
        </w:rPr>
      </w:pPr>
      <w:proofErr w:type="gramStart"/>
      <w:r w:rsidRPr="00371F6B">
        <w:rPr>
          <w:rFonts w:cs="CMR10"/>
          <w:color w:val="000000"/>
          <w:lang w:val="en-GB"/>
        </w:rPr>
        <w:t>FoRS.</w:t>
      </w:r>
      <w:proofErr w:type="gramEnd"/>
      <w:r w:rsidRPr="00371F6B">
        <w:rPr>
          <w:rFonts w:cs="CMR10"/>
          <w:color w:val="000000"/>
          <w:lang w:val="en-GB"/>
        </w:rPr>
        <w:t xml:space="preserve"> </w:t>
      </w:r>
      <w:proofErr w:type="gramStart"/>
      <w:r w:rsidRPr="00371F6B">
        <w:rPr>
          <w:rFonts w:cs="CMR10"/>
          <w:color w:val="000000"/>
          <w:lang w:val="en-GB"/>
        </w:rPr>
        <w:t xml:space="preserve">(2012) </w:t>
      </w:r>
      <w:proofErr w:type="spellStart"/>
      <w:r w:rsidRPr="00371F6B">
        <w:rPr>
          <w:rFonts w:cs="CMR10"/>
          <w:i/>
          <w:color w:val="000000"/>
          <w:lang w:val="en-GB"/>
        </w:rPr>
        <w:t>Zpráva</w:t>
      </w:r>
      <w:proofErr w:type="spellEnd"/>
      <w:r w:rsidRPr="00371F6B">
        <w:rPr>
          <w:rFonts w:cs="CMR10"/>
          <w:i/>
          <w:color w:val="000000"/>
          <w:lang w:val="en-GB"/>
        </w:rPr>
        <w:t xml:space="preserve"> </w:t>
      </w:r>
      <w:proofErr w:type="spellStart"/>
      <w:r w:rsidRPr="00371F6B">
        <w:rPr>
          <w:rFonts w:cs="CMR10"/>
          <w:i/>
          <w:color w:val="000000"/>
          <w:lang w:val="en-GB"/>
        </w:rPr>
        <w:t>FoRS</w:t>
      </w:r>
      <w:proofErr w:type="spellEnd"/>
      <w:r w:rsidRPr="00371F6B">
        <w:rPr>
          <w:rFonts w:cs="CMR10"/>
          <w:i/>
          <w:color w:val="000000"/>
          <w:lang w:val="en-GB"/>
        </w:rPr>
        <w:t xml:space="preserve"> o </w:t>
      </w:r>
      <w:proofErr w:type="spellStart"/>
      <w:r w:rsidRPr="00371F6B">
        <w:rPr>
          <w:rFonts w:cs="CMR10"/>
          <w:i/>
          <w:color w:val="000000"/>
          <w:lang w:val="en-GB"/>
        </w:rPr>
        <w:t>zahraniční</w:t>
      </w:r>
      <w:proofErr w:type="spellEnd"/>
      <w:r w:rsidRPr="00371F6B">
        <w:rPr>
          <w:rFonts w:cs="CMR10"/>
          <w:i/>
          <w:color w:val="000000"/>
          <w:lang w:val="en-GB"/>
        </w:rPr>
        <w:t xml:space="preserve"> </w:t>
      </w:r>
      <w:proofErr w:type="spellStart"/>
      <w:r w:rsidRPr="00371F6B">
        <w:rPr>
          <w:rFonts w:cs="CMR10"/>
          <w:i/>
          <w:color w:val="000000"/>
          <w:lang w:val="en-GB"/>
        </w:rPr>
        <w:t>rozvojovéspolupráci</w:t>
      </w:r>
      <w:proofErr w:type="spellEnd"/>
      <w:r w:rsidRPr="00371F6B">
        <w:rPr>
          <w:rFonts w:cs="CMR10"/>
          <w:i/>
          <w:color w:val="000000"/>
          <w:lang w:val="en-GB"/>
        </w:rPr>
        <w:t xml:space="preserve"> ČR </w:t>
      </w:r>
      <w:proofErr w:type="spellStart"/>
      <w:r w:rsidRPr="00371F6B">
        <w:rPr>
          <w:rFonts w:cs="CMR10"/>
          <w:i/>
          <w:color w:val="000000"/>
          <w:lang w:val="en-GB"/>
        </w:rPr>
        <w:t>za</w:t>
      </w:r>
      <w:proofErr w:type="spellEnd"/>
      <w:r w:rsidRPr="00371F6B">
        <w:rPr>
          <w:rFonts w:cs="CMR10"/>
          <w:i/>
          <w:color w:val="000000"/>
          <w:lang w:val="en-GB"/>
        </w:rPr>
        <w:t xml:space="preserve"> </w:t>
      </w:r>
      <w:proofErr w:type="spellStart"/>
      <w:r w:rsidRPr="00371F6B">
        <w:rPr>
          <w:rFonts w:cs="CMR10"/>
          <w:i/>
          <w:color w:val="000000"/>
          <w:lang w:val="en-GB"/>
        </w:rPr>
        <w:t>rok</w:t>
      </w:r>
      <w:proofErr w:type="spellEnd"/>
      <w:r w:rsidRPr="00371F6B">
        <w:rPr>
          <w:rFonts w:cs="CMR10"/>
          <w:i/>
          <w:color w:val="000000"/>
          <w:lang w:val="en-GB"/>
        </w:rPr>
        <w:t xml:space="preserve"> 2011.</w:t>
      </w:r>
      <w:proofErr w:type="gramEnd"/>
      <w:r w:rsidRPr="00371F6B">
        <w:rPr>
          <w:rFonts w:cs="CMR10"/>
          <w:color w:val="000000"/>
          <w:lang w:val="en-GB"/>
        </w:rPr>
        <w:t xml:space="preserve"> Prague: FoRS.</w:t>
      </w:r>
    </w:p>
    <w:p w:rsidR="00545B42" w:rsidRPr="00371F6B" w:rsidRDefault="00545B42" w:rsidP="00E86299">
      <w:pPr>
        <w:autoSpaceDE w:val="0"/>
        <w:autoSpaceDN w:val="0"/>
        <w:adjustRightInd w:val="0"/>
        <w:spacing w:after="0" w:line="360" w:lineRule="auto"/>
        <w:ind w:left="426" w:hanging="426"/>
        <w:rPr>
          <w:rFonts w:cs="CMR10"/>
          <w:color w:val="000000"/>
          <w:lang w:val="en-GB"/>
        </w:rPr>
      </w:pPr>
      <w:proofErr w:type="spellStart"/>
      <w:proofErr w:type="gramStart"/>
      <w:r w:rsidRPr="00371F6B">
        <w:rPr>
          <w:rFonts w:cs="CMR10"/>
          <w:color w:val="000000"/>
          <w:lang w:val="en-GB"/>
        </w:rPr>
        <w:t>Hódosi</w:t>
      </w:r>
      <w:proofErr w:type="spellEnd"/>
      <w:r w:rsidRPr="00371F6B">
        <w:rPr>
          <w:rFonts w:cs="CMR10"/>
          <w:color w:val="000000"/>
          <w:lang w:val="en-GB"/>
        </w:rPr>
        <w:t xml:space="preserve">, R. (2012) </w:t>
      </w:r>
      <w:proofErr w:type="spellStart"/>
      <w:r w:rsidRPr="00371F6B">
        <w:rPr>
          <w:rFonts w:cs="CMR10"/>
          <w:i/>
          <w:color w:val="000000"/>
          <w:lang w:val="en-GB"/>
        </w:rPr>
        <w:t>Mit</w:t>
      </w:r>
      <w:proofErr w:type="spellEnd"/>
      <w:r w:rsidRPr="00371F6B">
        <w:rPr>
          <w:rFonts w:cs="CMR10"/>
          <w:i/>
          <w:color w:val="000000"/>
          <w:lang w:val="en-GB"/>
        </w:rPr>
        <w:t xml:space="preserve"> </w:t>
      </w:r>
      <w:proofErr w:type="spellStart"/>
      <w:r w:rsidRPr="00371F6B">
        <w:rPr>
          <w:rFonts w:cs="CMR10"/>
          <w:i/>
          <w:color w:val="000000"/>
          <w:lang w:val="en-GB"/>
        </w:rPr>
        <w:t>tesz</w:t>
      </w:r>
      <w:proofErr w:type="spellEnd"/>
      <w:r w:rsidRPr="00371F6B">
        <w:rPr>
          <w:rFonts w:cs="CMR10"/>
          <w:i/>
          <w:color w:val="000000"/>
          <w:lang w:val="en-GB"/>
        </w:rPr>
        <w:t xml:space="preserve"> </w:t>
      </w:r>
      <w:proofErr w:type="spellStart"/>
      <w:r w:rsidRPr="00371F6B">
        <w:rPr>
          <w:rFonts w:cs="CMR10"/>
          <w:i/>
          <w:color w:val="000000"/>
          <w:lang w:val="en-GB"/>
        </w:rPr>
        <w:t>Magyarország</w:t>
      </w:r>
      <w:proofErr w:type="spellEnd"/>
      <w:r w:rsidRPr="00371F6B">
        <w:rPr>
          <w:rFonts w:cs="CMR10"/>
          <w:i/>
          <w:color w:val="000000"/>
          <w:lang w:val="en-GB"/>
        </w:rPr>
        <w:t xml:space="preserve"> a </w:t>
      </w:r>
      <w:proofErr w:type="spellStart"/>
      <w:r w:rsidRPr="00371F6B">
        <w:rPr>
          <w:rFonts w:cs="CMR10"/>
          <w:i/>
          <w:color w:val="000000"/>
          <w:lang w:val="en-GB"/>
        </w:rPr>
        <w:t>fejlődő</w:t>
      </w:r>
      <w:proofErr w:type="spellEnd"/>
      <w:r w:rsidRPr="00371F6B">
        <w:rPr>
          <w:rFonts w:cs="CMR10"/>
          <w:i/>
          <w:color w:val="000000"/>
          <w:lang w:val="en-GB"/>
        </w:rPr>
        <w:t xml:space="preserve"> </w:t>
      </w:r>
      <w:proofErr w:type="spellStart"/>
      <w:r w:rsidRPr="00371F6B">
        <w:rPr>
          <w:rFonts w:cs="CMR10"/>
          <w:i/>
          <w:color w:val="000000"/>
          <w:lang w:val="en-GB"/>
        </w:rPr>
        <w:t>országokért</w:t>
      </w:r>
      <w:proofErr w:type="spellEnd"/>
      <w:r w:rsidRPr="00371F6B">
        <w:rPr>
          <w:rFonts w:cs="CMR10"/>
          <w:i/>
          <w:color w:val="000000"/>
          <w:lang w:val="en-GB"/>
        </w:rPr>
        <w:t>?</w:t>
      </w:r>
      <w:proofErr w:type="gramEnd"/>
      <w:r w:rsidRPr="00371F6B">
        <w:rPr>
          <w:rFonts w:cs="CMR10"/>
          <w:i/>
          <w:color w:val="000000"/>
          <w:lang w:val="en-GB"/>
        </w:rPr>
        <w:t xml:space="preserve"> </w:t>
      </w:r>
      <w:proofErr w:type="spellStart"/>
      <w:r w:rsidRPr="00371F6B">
        <w:rPr>
          <w:rFonts w:cs="CMR10"/>
          <w:i/>
          <w:color w:val="000000"/>
          <w:lang w:val="en-GB"/>
        </w:rPr>
        <w:t>Stratégiai</w:t>
      </w:r>
      <w:proofErr w:type="spellEnd"/>
      <w:r w:rsidRPr="00371F6B">
        <w:rPr>
          <w:rFonts w:cs="CMR10"/>
          <w:i/>
          <w:color w:val="000000"/>
          <w:lang w:val="en-GB"/>
        </w:rPr>
        <w:t xml:space="preserve"> </w:t>
      </w:r>
      <w:proofErr w:type="spellStart"/>
      <w:r w:rsidRPr="00371F6B">
        <w:rPr>
          <w:rFonts w:cs="CMR10"/>
          <w:i/>
          <w:color w:val="000000"/>
          <w:lang w:val="en-GB"/>
        </w:rPr>
        <w:t>fordulópont</w:t>
      </w:r>
      <w:proofErr w:type="spellEnd"/>
      <w:r w:rsidRPr="00371F6B">
        <w:rPr>
          <w:rFonts w:cs="CMR10"/>
          <w:i/>
          <w:color w:val="000000"/>
          <w:lang w:val="en-GB"/>
        </w:rPr>
        <w:t xml:space="preserve"> </w:t>
      </w:r>
      <w:proofErr w:type="spellStart"/>
      <w:r w:rsidRPr="00371F6B">
        <w:rPr>
          <w:rFonts w:cs="CMR10"/>
          <w:i/>
          <w:color w:val="000000"/>
          <w:lang w:val="en-GB"/>
        </w:rPr>
        <w:t>előtt</w:t>
      </w:r>
      <w:proofErr w:type="spellEnd"/>
      <w:r w:rsidRPr="00371F6B">
        <w:rPr>
          <w:rFonts w:cs="CMR10"/>
          <w:i/>
          <w:color w:val="000000"/>
          <w:lang w:val="en-GB"/>
        </w:rPr>
        <w:t xml:space="preserve"> a </w:t>
      </w:r>
      <w:proofErr w:type="spellStart"/>
      <w:proofErr w:type="gramStart"/>
      <w:r w:rsidRPr="00371F6B">
        <w:rPr>
          <w:rFonts w:cs="CMR10"/>
          <w:i/>
          <w:color w:val="000000"/>
          <w:lang w:val="en-GB"/>
        </w:rPr>
        <w:t>magyar</w:t>
      </w:r>
      <w:proofErr w:type="spellEnd"/>
      <w:proofErr w:type="gramEnd"/>
      <w:r w:rsidRPr="00371F6B">
        <w:rPr>
          <w:rFonts w:cs="CMR10"/>
          <w:i/>
          <w:color w:val="000000"/>
          <w:lang w:val="en-GB"/>
        </w:rPr>
        <w:t xml:space="preserve"> </w:t>
      </w:r>
      <w:proofErr w:type="spellStart"/>
      <w:r w:rsidRPr="00371F6B">
        <w:rPr>
          <w:rFonts w:cs="CMR10"/>
          <w:i/>
          <w:color w:val="000000"/>
          <w:lang w:val="en-GB"/>
        </w:rPr>
        <w:t>nemzetközi</w:t>
      </w:r>
      <w:proofErr w:type="spellEnd"/>
      <w:r w:rsidRPr="00371F6B">
        <w:rPr>
          <w:rFonts w:cs="CMR10"/>
          <w:i/>
          <w:color w:val="000000"/>
          <w:lang w:val="en-GB"/>
        </w:rPr>
        <w:t xml:space="preserve"> </w:t>
      </w:r>
      <w:proofErr w:type="spellStart"/>
      <w:r w:rsidRPr="00371F6B">
        <w:rPr>
          <w:rFonts w:cs="CMR10"/>
          <w:i/>
          <w:color w:val="000000"/>
          <w:lang w:val="en-GB"/>
        </w:rPr>
        <w:t>fejlesztési</w:t>
      </w:r>
      <w:proofErr w:type="spellEnd"/>
      <w:r w:rsidRPr="00371F6B">
        <w:rPr>
          <w:rFonts w:cs="CMR10"/>
          <w:i/>
          <w:color w:val="000000"/>
          <w:lang w:val="en-GB"/>
        </w:rPr>
        <w:t xml:space="preserve"> </w:t>
      </w:r>
      <w:proofErr w:type="spellStart"/>
      <w:r w:rsidRPr="00371F6B">
        <w:rPr>
          <w:rFonts w:cs="CMR10"/>
          <w:i/>
          <w:color w:val="000000"/>
          <w:lang w:val="en-GB"/>
        </w:rPr>
        <w:t>együttműködés</w:t>
      </w:r>
      <w:proofErr w:type="spellEnd"/>
      <w:r w:rsidRPr="00371F6B">
        <w:rPr>
          <w:rFonts w:cs="CMR10"/>
          <w:color w:val="000000"/>
          <w:lang w:val="en-GB"/>
        </w:rPr>
        <w:t>. Budapest: HAND.</w:t>
      </w:r>
    </w:p>
    <w:p w:rsidR="00545B42" w:rsidRPr="00371F6B" w:rsidRDefault="00545B42" w:rsidP="00E86299">
      <w:pPr>
        <w:spacing w:after="0" w:line="360" w:lineRule="auto"/>
        <w:ind w:left="426" w:hanging="426"/>
        <w:rPr>
          <w:lang w:val="en-GB"/>
        </w:rPr>
      </w:pPr>
      <w:r w:rsidRPr="00371F6B">
        <w:rPr>
          <w:lang w:val="en-GB"/>
        </w:rPr>
        <w:t xml:space="preserve">Horký, O. (2010) Development Cooperation in the Czech Foreign Policy. In M. </w:t>
      </w:r>
      <w:proofErr w:type="spellStart"/>
      <w:r w:rsidRPr="00371F6B">
        <w:rPr>
          <w:lang w:val="en-GB"/>
        </w:rPr>
        <w:t>Kořan</w:t>
      </w:r>
      <w:proofErr w:type="spellEnd"/>
      <w:r w:rsidRPr="00371F6B">
        <w:rPr>
          <w:lang w:val="en-GB"/>
        </w:rPr>
        <w:t xml:space="preserve"> (ed.), </w:t>
      </w:r>
      <w:r w:rsidRPr="00371F6B">
        <w:rPr>
          <w:rStyle w:val="Emphasis"/>
          <w:lang w:val="en-GB"/>
        </w:rPr>
        <w:t>Czech Foreign Policy in 2007-2009: Analysis</w:t>
      </w:r>
      <w:r w:rsidRPr="00371F6B">
        <w:rPr>
          <w:lang w:val="en-GB"/>
        </w:rPr>
        <w:t>. Prague: Institute of International Relations, 347-361.</w:t>
      </w:r>
    </w:p>
    <w:p w:rsidR="00545B42" w:rsidRPr="00371F6B" w:rsidRDefault="00545B42" w:rsidP="00E86299">
      <w:pPr>
        <w:spacing w:after="0" w:line="360" w:lineRule="auto"/>
        <w:ind w:left="426" w:hanging="426"/>
        <w:rPr>
          <w:lang w:val="en-GB"/>
        </w:rPr>
      </w:pPr>
      <w:r w:rsidRPr="00371F6B">
        <w:rPr>
          <w:lang w:val="en-GB"/>
        </w:rPr>
        <w:t xml:space="preserve">Horký, O. (2012) </w:t>
      </w:r>
      <w:proofErr w:type="gramStart"/>
      <w:r w:rsidRPr="00371F6B">
        <w:rPr>
          <w:lang w:val="en-GB"/>
        </w:rPr>
        <w:t>The</w:t>
      </w:r>
      <w:proofErr w:type="gramEnd"/>
      <w:r w:rsidRPr="00371F6B">
        <w:rPr>
          <w:lang w:val="en-GB"/>
        </w:rPr>
        <w:t xml:space="preserve"> Transfer of the Central and Eastern European ‘Transition Experience’ to the South: Myth or Reality? </w:t>
      </w:r>
      <w:r w:rsidRPr="00371F6B">
        <w:rPr>
          <w:i/>
          <w:lang w:val="en-GB"/>
        </w:rPr>
        <w:t>Perspectives on European Politics and Society</w:t>
      </w:r>
      <w:r w:rsidRPr="00371F6B">
        <w:rPr>
          <w:lang w:val="en-GB"/>
        </w:rPr>
        <w:t xml:space="preserve"> 13(1): 17-32.</w:t>
      </w:r>
    </w:p>
    <w:p w:rsidR="00545B42" w:rsidRDefault="00545B42" w:rsidP="006E77DD">
      <w:pPr>
        <w:spacing w:after="0" w:line="360" w:lineRule="auto"/>
        <w:ind w:left="426" w:hanging="426"/>
        <w:rPr>
          <w:lang w:val="en-GB"/>
        </w:rPr>
      </w:pPr>
      <w:proofErr w:type="gramStart"/>
      <w:r w:rsidRPr="006E77DD">
        <w:rPr>
          <w:lang w:val="en-GB"/>
        </w:rPr>
        <w:t xml:space="preserve">Hungarian MFA (2012) </w:t>
      </w:r>
      <w:r w:rsidRPr="006E77DD">
        <w:rPr>
          <w:i/>
          <w:lang w:val="en-GB"/>
        </w:rPr>
        <w:t>Magyarország 2012.</w:t>
      </w:r>
      <w:proofErr w:type="gramEnd"/>
      <w:r w:rsidRPr="006E77DD">
        <w:rPr>
          <w:i/>
          <w:lang w:val="en-GB"/>
        </w:rPr>
        <w:t xml:space="preserve"> </w:t>
      </w:r>
      <w:proofErr w:type="gramStart"/>
      <w:r w:rsidRPr="006E77DD">
        <w:rPr>
          <w:i/>
          <w:lang w:val="en-GB"/>
        </w:rPr>
        <w:t>évi</w:t>
      </w:r>
      <w:proofErr w:type="gramEnd"/>
      <w:r w:rsidRPr="006E77DD">
        <w:rPr>
          <w:i/>
          <w:lang w:val="en-GB"/>
        </w:rPr>
        <w:t xml:space="preserve"> </w:t>
      </w:r>
      <w:proofErr w:type="spellStart"/>
      <w:r w:rsidRPr="006E77DD">
        <w:rPr>
          <w:i/>
          <w:lang w:val="en-GB"/>
        </w:rPr>
        <w:t>nemzetközi</w:t>
      </w:r>
      <w:proofErr w:type="spellEnd"/>
      <w:r w:rsidRPr="006E77DD">
        <w:rPr>
          <w:i/>
          <w:lang w:val="en-GB"/>
        </w:rPr>
        <w:t xml:space="preserve"> </w:t>
      </w:r>
      <w:proofErr w:type="spellStart"/>
      <w:r w:rsidRPr="006E77DD">
        <w:rPr>
          <w:i/>
          <w:lang w:val="en-GB"/>
        </w:rPr>
        <w:t>fejlesztési</w:t>
      </w:r>
      <w:proofErr w:type="spellEnd"/>
      <w:r w:rsidRPr="006E77DD">
        <w:rPr>
          <w:i/>
          <w:lang w:val="en-GB"/>
        </w:rPr>
        <w:t xml:space="preserve"> </w:t>
      </w:r>
      <w:proofErr w:type="spellStart"/>
      <w:r w:rsidRPr="006E77DD">
        <w:rPr>
          <w:i/>
          <w:lang w:val="en-GB"/>
        </w:rPr>
        <w:t>és</w:t>
      </w:r>
      <w:proofErr w:type="spellEnd"/>
      <w:r w:rsidRPr="006E77DD">
        <w:rPr>
          <w:i/>
          <w:lang w:val="en-GB"/>
        </w:rPr>
        <w:t xml:space="preserve"> </w:t>
      </w:r>
      <w:proofErr w:type="spellStart"/>
      <w:r w:rsidRPr="006E77DD">
        <w:rPr>
          <w:i/>
          <w:lang w:val="en-GB"/>
        </w:rPr>
        <w:t>humanitárius</w:t>
      </w:r>
      <w:proofErr w:type="spellEnd"/>
      <w:r w:rsidRPr="006E77DD">
        <w:rPr>
          <w:i/>
          <w:lang w:val="en-GB"/>
        </w:rPr>
        <w:t xml:space="preserve"> </w:t>
      </w:r>
      <w:proofErr w:type="spellStart"/>
      <w:r w:rsidRPr="006E77DD">
        <w:rPr>
          <w:i/>
          <w:lang w:val="en-GB"/>
        </w:rPr>
        <w:t>segítségnyújtási</w:t>
      </w:r>
      <w:proofErr w:type="spellEnd"/>
      <w:r w:rsidRPr="006E77DD">
        <w:rPr>
          <w:i/>
          <w:lang w:val="en-GB"/>
        </w:rPr>
        <w:t xml:space="preserve"> </w:t>
      </w:r>
      <w:proofErr w:type="spellStart"/>
      <w:r w:rsidRPr="006E77DD">
        <w:rPr>
          <w:i/>
          <w:lang w:val="en-GB"/>
        </w:rPr>
        <w:t>tevékenységéről</w:t>
      </w:r>
      <w:proofErr w:type="spellEnd"/>
      <w:r>
        <w:rPr>
          <w:lang w:val="en-GB"/>
        </w:rPr>
        <w:t>. Budapest: Ministry of Foreign Affairs.</w:t>
      </w:r>
    </w:p>
    <w:p w:rsidR="00545B42" w:rsidRPr="00371F6B" w:rsidRDefault="00545B42" w:rsidP="006E77DD">
      <w:pPr>
        <w:spacing w:after="0" w:line="360" w:lineRule="auto"/>
        <w:ind w:left="426" w:hanging="426"/>
        <w:rPr>
          <w:rFonts w:cs="CMR10"/>
          <w:color w:val="000000"/>
          <w:lang w:val="en-GB"/>
        </w:rPr>
      </w:pPr>
      <w:proofErr w:type="gramStart"/>
      <w:r w:rsidRPr="00371F6B">
        <w:rPr>
          <w:rFonts w:cs="CMR10"/>
          <w:color w:val="000000"/>
          <w:lang w:val="en-GB"/>
        </w:rPr>
        <w:t>Johansson, K-E</w:t>
      </w:r>
      <w:r>
        <w:rPr>
          <w:rFonts w:cs="CMR10"/>
          <w:color w:val="000000"/>
          <w:lang w:val="en-GB"/>
        </w:rPr>
        <w:t>.</w:t>
      </w:r>
      <w:r w:rsidRPr="00371F6B">
        <w:rPr>
          <w:rFonts w:cs="CMR10"/>
          <w:color w:val="000000"/>
          <w:lang w:val="en-GB"/>
        </w:rPr>
        <w:t xml:space="preserve">, </w:t>
      </w:r>
      <w:r w:rsidRPr="006E77DD">
        <w:t>Elgström</w:t>
      </w:r>
      <w:r>
        <w:t xml:space="preserve">, O., </w:t>
      </w:r>
      <w:r w:rsidRPr="006E77DD">
        <w:t>Kimanzu</w:t>
      </w:r>
      <w:r>
        <w:t xml:space="preserve">, N., </w:t>
      </w:r>
      <w:r w:rsidRPr="006E77DD">
        <w:t>Nylund</w:t>
      </w:r>
      <w:r>
        <w:t xml:space="preserve">, J-E., </w:t>
      </w:r>
      <w:r w:rsidRPr="006E77DD">
        <w:t>Persson</w:t>
      </w:r>
      <w:r>
        <w:t>, R.</w:t>
      </w:r>
      <w:r w:rsidRPr="00371F6B">
        <w:rPr>
          <w:rFonts w:cs="CMR10"/>
          <w:color w:val="000000"/>
          <w:lang w:val="en-GB"/>
        </w:rPr>
        <w:t xml:space="preserve"> (2010) Trends in Development Aid, Negotiation Processes and NGO Policy Change</w:t>
      </w:r>
      <w:r>
        <w:rPr>
          <w:rFonts w:cs="CMR10"/>
          <w:color w:val="000000"/>
          <w:lang w:val="en-GB"/>
        </w:rPr>
        <w:t>.</w:t>
      </w:r>
      <w:proofErr w:type="gramEnd"/>
      <w:r w:rsidRPr="00371F6B">
        <w:rPr>
          <w:rFonts w:cs="CMR10"/>
          <w:color w:val="000000"/>
          <w:lang w:val="en-GB"/>
        </w:rPr>
        <w:t xml:space="preserve"> </w:t>
      </w:r>
      <w:proofErr w:type="spellStart"/>
      <w:r w:rsidRPr="00371F6B">
        <w:rPr>
          <w:rFonts w:cs="CMR10"/>
          <w:color w:val="000000"/>
          <w:lang w:val="en-GB"/>
        </w:rPr>
        <w:t>Voluntas</w:t>
      </w:r>
      <w:proofErr w:type="spellEnd"/>
      <w:r w:rsidRPr="00371F6B">
        <w:rPr>
          <w:rFonts w:cs="CMR10"/>
          <w:color w:val="000000"/>
          <w:lang w:val="en-GB"/>
        </w:rPr>
        <w:t xml:space="preserve"> 21 (3): 371-392.</w:t>
      </w:r>
    </w:p>
    <w:p w:rsidR="00545B42" w:rsidRPr="00371F6B" w:rsidRDefault="00545B42" w:rsidP="00E86299">
      <w:pPr>
        <w:autoSpaceDE w:val="0"/>
        <w:autoSpaceDN w:val="0"/>
        <w:adjustRightInd w:val="0"/>
        <w:spacing w:after="0" w:line="360" w:lineRule="auto"/>
        <w:ind w:left="426" w:hanging="426"/>
        <w:rPr>
          <w:rFonts w:cs="CMR10"/>
          <w:color w:val="000000"/>
          <w:lang w:val="en-GB"/>
        </w:rPr>
      </w:pPr>
      <w:r w:rsidRPr="00371F6B">
        <w:rPr>
          <w:rFonts w:cs="CMR10"/>
          <w:color w:val="000000"/>
          <w:lang w:val="en-GB"/>
        </w:rPr>
        <w:t xml:space="preserve">Kiss, J. (2007) </w:t>
      </w:r>
      <w:r w:rsidRPr="00371F6B">
        <w:rPr>
          <w:rFonts w:cs="CMR10"/>
          <w:i/>
          <w:color w:val="000000"/>
          <w:lang w:val="en-GB"/>
        </w:rPr>
        <w:t xml:space="preserve">A </w:t>
      </w:r>
      <w:proofErr w:type="spellStart"/>
      <w:proofErr w:type="gramStart"/>
      <w:r w:rsidRPr="00371F6B">
        <w:rPr>
          <w:rFonts w:cs="CMR10"/>
          <w:i/>
          <w:color w:val="000000"/>
          <w:lang w:val="en-GB"/>
        </w:rPr>
        <w:t>magyar</w:t>
      </w:r>
      <w:proofErr w:type="spellEnd"/>
      <w:proofErr w:type="gramEnd"/>
      <w:r w:rsidRPr="00371F6B">
        <w:rPr>
          <w:rFonts w:cs="CMR10"/>
          <w:i/>
          <w:color w:val="000000"/>
          <w:lang w:val="en-GB"/>
        </w:rPr>
        <w:t xml:space="preserve"> </w:t>
      </w:r>
      <w:proofErr w:type="spellStart"/>
      <w:r w:rsidRPr="00371F6B">
        <w:rPr>
          <w:rFonts w:cs="CMR10"/>
          <w:i/>
          <w:color w:val="000000"/>
          <w:lang w:val="en-GB"/>
        </w:rPr>
        <w:t>nemzetközi</w:t>
      </w:r>
      <w:proofErr w:type="spellEnd"/>
      <w:r w:rsidRPr="00371F6B">
        <w:rPr>
          <w:rFonts w:cs="CMR10"/>
          <w:i/>
          <w:color w:val="000000"/>
          <w:lang w:val="en-GB"/>
        </w:rPr>
        <w:t xml:space="preserve"> </w:t>
      </w:r>
      <w:proofErr w:type="spellStart"/>
      <w:r w:rsidRPr="00371F6B">
        <w:rPr>
          <w:rFonts w:cs="CMR10"/>
          <w:i/>
          <w:color w:val="000000"/>
          <w:lang w:val="en-GB"/>
        </w:rPr>
        <w:t>fejlesztéspolitika</w:t>
      </w:r>
      <w:proofErr w:type="spellEnd"/>
      <w:r w:rsidRPr="00371F6B">
        <w:rPr>
          <w:rFonts w:cs="CMR10"/>
          <w:i/>
          <w:color w:val="000000"/>
          <w:lang w:val="en-GB"/>
        </w:rPr>
        <w:t xml:space="preserve"> a </w:t>
      </w:r>
      <w:proofErr w:type="spellStart"/>
      <w:r w:rsidRPr="00371F6B">
        <w:rPr>
          <w:rFonts w:cs="CMR10"/>
          <w:i/>
          <w:color w:val="000000"/>
          <w:lang w:val="en-GB"/>
        </w:rPr>
        <w:t>számok</w:t>
      </w:r>
      <w:proofErr w:type="spellEnd"/>
      <w:r w:rsidRPr="00371F6B">
        <w:rPr>
          <w:rFonts w:cs="CMR10"/>
          <w:i/>
          <w:color w:val="000000"/>
          <w:lang w:val="en-GB"/>
        </w:rPr>
        <w:t xml:space="preserve"> </w:t>
      </w:r>
      <w:proofErr w:type="spellStart"/>
      <w:r w:rsidRPr="00371F6B">
        <w:rPr>
          <w:rFonts w:cs="CMR10"/>
          <w:i/>
          <w:color w:val="000000"/>
          <w:lang w:val="en-GB"/>
        </w:rPr>
        <w:t>tükrében</w:t>
      </w:r>
      <w:proofErr w:type="spellEnd"/>
      <w:r w:rsidRPr="00371F6B">
        <w:rPr>
          <w:rFonts w:cs="CMR10"/>
          <w:color w:val="000000"/>
          <w:lang w:val="en-GB"/>
        </w:rPr>
        <w:t>. Budapest: HAND.</w:t>
      </w:r>
    </w:p>
    <w:p w:rsidR="00545B42" w:rsidRPr="00371F6B" w:rsidRDefault="00545B42" w:rsidP="00E86299">
      <w:pPr>
        <w:autoSpaceDE w:val="0"/>
        <w:autoSpaceDN w:val="0"/>
        <w:adjustRightInd w:val="0"/>
        <w:spacing w:after="0" w:line="360" w:lineRule="auto"/>
        <w:ind w:left="426" w:hanging="426"/>
        <w:rPr>
          <w:rFonts w:cs="CMR10"/>
          <w:color w:val="000000"/>
          <w:lang w:val="en-GB"/>
        </w:rPr>
      </w:pPr>
      <w:r w:rsidRPr="00371F6B">
        <w:rPr>
          <w:rFonts w:cs="CMR10"/>
          <w:color w:val="000000"/>
          <w:lang w:val="en-GB"/>
        </w:rPr>
        <w:t xml:space="preserve">Kiss, J. (2011) </w:t>
      </w:r>
      <w:r w:rsidRPr="00371F6B">
        <w:rPr>
          <w:rFonts w:cs="CMR10"/>
          <w:i/>
          <w:color w:val="000000"/>
          <w:lang w:val="en-GB"/>
        </w:rPr>
        <w:t xml:space="preserve">A </w:t>
      </w:r>
      <w:proofErr w:type="spellStart"/>
      <w:proofErr w:type="gramStart"/>
      <w:r w:rsidRPr="00371F6B">
        <w:rPr>
          <w:rFonts w:cs="CMR10"/>
          <w:i/>
          <w:color w:val="000000"/>
          <w:lang w:val="en-GB"/>
        </w:rPr>
        <w:t>magyar</w:t>
      </w:r>
      <w:proofErr w:type="spellEnd"/>
      <w:proofErr w:type="gramEnd"/>
      <w:r w:rsidRPr="00371F6B">
        <w:rPr>
          <w:rFonts w:cs="CMR10"/>
          <w:i/>
          <w:color w:val="000000"/>
          <w:lang w:val="en-GB"/>
        </w:rPr>
        <w:t xml:space="preserve"> NEFE a </w:t>
      </w:r>
      <w:proofErr w:type="spellStart"/>
      <w:r w:rsidRPr="00371F6B">
        <w:rPr>
          <w:rFonts w:cs="CMR10"/>
          <w:i/>
          <w:color w:val="000000"/>
          <w:lang w:val="en-GB"/>
        </w:rPr>
        <w:t>válság</w:t>
      </w:r>
      <w:proofErr w:type="spellEnd"/>
      <w:r w:rsidRPr="00371F6B">
        <w:rPr>
          <w:rFonts w:cs="CMR10"/>
          <w:i/>
          <w:color w:val="000000"/>
          <w:lang w:val="en-GB"/>
        </w:rPr>
        <w:t xml:space="preserve"> </w:t>
      </w:r>
      <w:proofErr w:type="spellStart"/>
      <w:r w:rsidRPr="00371F6B">
        <w:rPr>
          <w:rFonts w:cs="CMR10"/>
          <w:i/>
          <w:color w:val="000000"/>
          <w:lang w:val="en-GB"/>
        </w:rPr>
        <w:t>éveiben</w:t>
      </w:r>
      <w:proofErr w:type="spellEnd"/>
      <w:r w:rsidRPr="00371F6B">
        <w:rPr>
          <w:rFonts w:cs="CMR10"/>
          <w:color w:val="000000"/>
          <w:lang w:val="en-GB"/>
        </w:rPr>
        <w:t>. Budapest: HAND.</w:t>
      </w:r>
    </w:p>
    <w:p w:rsidR="00545B42" w:rsidRPr="00371F6B" w:rsidRDefault="00545B42" w:rsidP="00E86299">
      <w:pPr>
        <w:autoSpaceDE w:val="0"/>
        <w:autoSpaceDN w:val="0"/>
        <w:adjustRightInd w:val="0"/>
        <w:spacing w:after="0" w:line="360" w:lineRule="auto"/>
        <w:ind w:left="426" w:hanging="426"/>
        <w:rPr>
          <w:rFonts w:cs="CMR10"/>
          <w:color w:val="000000"/>
          <w:lang w:val="en-GB"/>
        </w:rPr>
      </w:pPr>
      <w:proofErr w:type="spellStart"/>
      <w:r w:rsidRPr="00371F6B">
        <w:rPr>
          <w:rFonts w:cs="CMR10"/>
          <w:color w:val="000000"/>
          <w:lang w:val="en-GB"/>
        </w:rPr>
        <w:t>Kutter</w:t>
      </w:r>
      <w:proofErr w:type="spellEnd"/>
      <w:r w:rsidRPr="00371F6B">
        <w:rPr>
          <w:rFonts w:cs="CMR10"/>
          <w:color w:val="000000"/>
          <w:lang w:val="en-GB"/>
        </w:rPr>
        <w:t xml:space="preserve">, A. and </w:t>
      </w:r>
      <w:proofErr w:type="spellStart"/>
      <w:r w:rsidRPr="00371F6B">
        <w:rPr>
          <w:rFonts w:cs="CMR10"/>
          <w:color w:val="000000"/>
          <w:lang w:val="en-GB"/>
        </w:rPr>
        <w:t>Trappmann</w:t>
      </w:r>
      <w:proofErr w:type="spellEnd"/>
      <w:r w:rsidRPr="00371F6B">
        <w:rPr>
          <w:rFonts w:cs="CMR10"/>
          <w:color w:val="000000"/>
          <w:lang w:val="en-GB"/>
        </w:rPr>
        <w:t xml:space="preserve">, V. (2010) Civil society in Central and Eastern Europe: The ambivalent legacy of accession. </w:t>
      </w:r>
      <w:proofErr w:type="spellStart"/>
      <w:r w:rsidRPr="00371F6B">
        <w:rPr>
          <w:rFonts w:cs="CMR10"/>
          <w:i/>
          <w:color w:val="000000"/>
          <w:lang w:val="en-GB"/>
        </w:rPr>
        <w:t>Acta</w:t>
      </w:r>
      <w:proofErr w:type="spellEnd"/>
      <w:r w:rsidRPr="00371F6B">
        <w:rPr>
          <w:rFonts w:cs="CMR10"/>
          <w:i/>
          <w:color w:val="000000"/>
          <w:lang w:val="en-GB"/>
        </w:rPr>
        <w:t xml:space="preserve"> </w:t>
      </w:r>
      <w:proofErr w:type="spellStart"/>
      <w:r w:rsidRPr="00371F6B">
        <w:rPr>
          <w:rFonts w:cs="CMR10"/>
          <w:i/>
          <w:color w:val="000000"/>
          <w:lang w:val="en-GB"/>
        </w:rPr>
        <w:t>Politica</w:t>
      </w:r>
      <w:proofErr w:type="spellEnd"/>
      <w:r w:rsidRPr="00371F6B">
        <w:rPr>
          <w:rFonts w:cs="CMR10"/>
          <w:color w:val="000000"/>
          <w:lang w:val="en-GB"/>
        </w:rPr>
        <w:t xml:space="preserve"> 45(1-2): 41–69.</w:t>
      </w:r>
    </w:p>
    <w:p w:rsidR="00545B42" w:rsidRPr="00371F6B" w:rsidRDefault="00545B42" w:rsidP="00E86299">
      <w:pPr>
        <w:autoSpaceDE w:val="0"/>
        <w:autoSpaceDN w:val="0"/>
        <w:adjustRightInd w:val="0"/>
        <w:spacing w:after="0" w:line="360" w:lineRule="auto"/>
        <w:ind w:left="426" w:hanging="426"/>
        <w:rPr>
          <w:rFonts w:cs="CMR10"/>
          <w:color w:val="000000"/>
          <w:lang w:val="en-GB"/>
        </w:rPr>
      </w:pPr>
      <w:r w:rsidRPr="00371F6B">
        <w:rPr>
          <w:rFonts w:cs="CMR10"/>
          <w:color w:val="000000"/>
          <w:lang w:val="en-GB"/>
        </w:rPr>
        <w:t xml:space="preserve">Lancaster, C. (2006) </w:t>
      </w:r>
      <w:r w:rsidRPr="006E77DD">
        <w:rPr>
          <w:rFonts w:cs="CMR10"/>
          <w:i/>
          <w:color w:val="000000"/>
          <w:lang w:val="en-GB"/>
        </w:rPr>
        <w:t>Foreign Aid: Diplomacy, Development, Domestic Politics</w:t>
      </w:r>
      <w:r>
        <w:rPr>
          <w:rFonts w:cs="CMR10"/>
          <w:color w:val="000000"/>
          <w:lang w:val="en-GB"/>
        </w:rPr>
        <w:t>.</w:t>
      </w:r>
      <w:r w:rsidRPr="00371F6B">
        <w:rPr>
          <w:rFonts w:cs="CMR10"/>
          <w:color w:val="000000"/>
          <w:lang w:val="en-GB"/>
        </w:rPr>
        <w:t xml:space="preserve"> Chicago: University Of Chicago Press.</w:t>
      </w:r>
    </w:p>
    <w:p w:rsidR="00545B42" w:rsidRPr="00371F6B" w:rsidRDefault="00545B42" w:rsidP="00E86299">
      <w:pPr>
        <w:autoSpaceDE w:val="0"/>
        <w:autoSpaceDN w:val="0"/>
        <w:adjustRightInd w:val="0"/>
        <w:spacing w:after="0" w:line="360" w:lineRule="auto"/>
        <w:ind w:left="426" w:hanging="426"/>
        <w:rPr>
          <w:rFonts w:cs="CMR10"/>
          <w:color w:val="000000"/>
          <w:lang w:val="en-GB"/>
        </w:rPr>
      </w:pPr>
      <w:proofErr w:type="spellStart"/>
      <w:r w:rsidRPr="00371F6B">
        <w:rPr>
          <w:rFonts w:cs="CMR10"/>
          <w:color w:val="000000"/>
          <w:lang w:val="en-GB"/>
        </w:rPr>
        <w:t>Lundsgaarde</w:t>
      </w:r>
      <w:proofErr w:type="spellEnd"/>
      <w:r w:rsidRPr="00371F6B">
        <w:rPr>
          <w:rFonts w:cs="CMR10"/>
          <w:color w:val="000000"/>
          <w:lang w:val="en-GB"/>
        </w:rPr>
        <w:t xml:space="preserve">, E. (2013) </w:t>
      </w:r>
      <w:proofErr w:type="gramStart"/>
      <w:r w:rsidRPr="006E77DD">
        <w:rPr>
          <w:rFonts w:cs="CMR10"/>
          <w:i/>
          <w:color w:val="000000"/>
          <w:lang w:val="en-GB"/>
        </w:rPr>
        <w:t>The</w:t>
      </w:r>
      <w:proofErr w:type="gramEnd"/>
      <w:r w:rsidRPr="006E77DD">
        <w:rPr>
          <w:rFonts w:cs="CMR10"/>
          <w:i/>
          <w:color w:val="000000"/>
          <w:lang w:val="en-GB"/>
        </w:rPr>
        <w:t xml:space="preserve"> Domestic Politics of Foreign Aid</w:t>
      </w:r>
      <w:r>
        <w:rPr>
          <w:rFonts w:cs="CMR10"/>
          <w:color w:val="000000"/>
          <w:lang w:val="en-GB"/>
        </w:rPr>
        <w:t>.</w:t>
      </w:r>
      <w:r w:rsidRPr="00371F6B">
        <w:rPr>
          <w:rFonts w:cs="CMR10"/>
          <w:color w:val="000000"/>
          <w:lang w:val="en-GB"/>
        </w:rPr>
        <w:t xml:space="preserve"> London: Routledge.</w:t>
      </w:r>
    </w:p>
    <w:p w:rsidR="00545B42" w:rsidRPr="00371F6B" w:rsidRDefault="00545B42" w:rsidP="00E86299">
      <w:pPr>
        <w:autoSpaceDE w:val="0"/>
        <w:autoSpaceDN w:val="0"/>
        <w:adjustRightInd w:val="0"/>
        <w:spacing w:after="0" w:line="360" w:lineRule="auto"/>
        <w:ind w:left="426" w:hanging="426"/>
        <w:rPr>
          <w:rFonts w:cs="CMR10"/>
          <w:color w:val="000000"/>
          <w:lang w:val="en-GB"/>
        </w:rPr>
      </w:pPr>
      <w:proofErr w:type="gramStart"/>
      <w:r w:rsidRPr="00371F6B">
        <w:rPr>
          <w:rFonts w:cs="CMR10"/>
          <w:color w:val="000000"/>
          <w:lang w:val="en-GB"/>
        </w:rPr>
        <w:t xml:space="preserve">Lister, M. and Carbone, M. (2006) </w:t>
      </w:r>
      <w:r w:rsidRPr="00371F6B">
        <w:rPr>
          <w:rFonts w:cs="CMR10"/>
          <w:i/>
          <w:color w:val="000000"/>
          <w:lang w:val="en-GB"/>
        </w:rPr>
        <w:t>New Pathways in International Development.</w:t>
      </w:r>
      <w:proofErr w:type="gramEnd"/>
      <w:r w:rsidRPr="00371F6B">
        <w:rPr>
          <w:rFonts w:cs="CMR10"/>
          <w:i/>
          <w:color w:val="000000"/>
          <w:lang w:val="en-GB"/>
        </w:rPr>
        <w:t xml:space="preserve"> </w:t>
      </w:r>
      <w:proofErr w:type="gramStart"/>
      <w:r w:rsidRPr="00371F6B">
        <w:rPr>
          <w:rFonts w:cs="CMR10"/>
          <w:i/>
          <w:color w:val="000000"/>
          <w:lang w:val="en-GB"/>
        </w:rPr>
        <w:t>Gender and Civil Society in EU Policy</w:t>
      </w:r>
      <w:r w:rsidRPr="00371F6B">
        <w:rPr>
          <w:rFonts w:cs="CMR10"/>
          <w:color w:val="000000"/>
          <w:lang w:val="en-GB"/>
        </w:rPr>
        <w:t>.</w:t>
      </w:r>
      <w:proofErr w:type="gramEnd"/>
      <w:r w:rsidRPr="00371F6B">
        <w:rPr>
          <w:rFonts w:cs="CMR10"/>
          <w:color w:val="000000"/>
          <w:lang w:val="en-GB"/>
        </w:rPr>
        <w:t xml:space="preserve"> Aldershot: </w:t>
      </w:r>
      <w:proofErr w:type="spellStart"/>
      <w:r w:rsidRPr="00371F6B">
        <w:rPr>
          <w:rFonts w:cs="CMR10"/>
          <w:color w:val="000000"/>
          <w:lang w:val="en-GB"/>
        </w:rPr>
        <w:t>Ashgate</w:t>
      </w:r>
      <w:proofErr w:type="spellEnd"/>
      <w:r w:rsidRPr="00371F6B">
        <w:rPr>
          <w:rFonts w:cs="CMR10"/>
          <w:color w:val="000000"/>
          <w:lang w:val="en-GB"/>
        </w:rPr>
        <w:t>.</w:t>
      </w:r>
    </w:p>
    <w:p w:rsidR="00545B42" w:rsidRPr="00371F6B" w:rsidRDefault="00545B42" w:rsidP="00E86299">
      <w:pPr>
        <w:spacing w:after="0" w:line="360" w:lineRule="auto"/>
        <w:ind w:left="426" w:hanging="426"/>
        <w:rPr>
          <w:lang w:val="en-GB"/>
        </w:rPr>
      </w:pPr>
      <w:proofErr w:type="gramStart"/>
      <w:r w:rsidRPr="00371F6B">
        <w:rPr>
          <w:lang w:val="en-GB"/>
        </w:rPr>
        <w:t>OECD.</w:t>
      </w:r>
      <w:proofErr w:type="gramEnd"/>
      <w:r w:rsidRPr="00371F6B">
        <w:rPr>
          <w:lang w:val="en-GB"/>
        </w:rPr>
        <w:t xml:space="preserve"> </w:t>
      </w:r>
      <w:proofErr w:type="gramStart"/>
      <w:r w:rsidRPr="00371F6B">
        <w:rPr>
          <w:lang w:val="en-GB"/>
        </w:rPr>
        <w:t xml:space="preserve">(2007) </w:t>
      </w:r>
      <w:r w:rsidRPr="00371F6B">
        <w:rPr>
          <w:i/>
          <w:lang w:val="en-GB"/>
        </w:rPr>
        <w:t>DAC Special Review of the Czech Republic</w:t>
      </w:r>
      <w:r w:rsidRPr="00371F6B">
        <w:rPr>
          <w:lang w:val="en-GB"/>
        </w:rPr>
        <w:t>.</w:t>
      </w:r>
      <w:proofErr w:type="gramEnd"/>
      <w:r w:rsidRPr="00371F6B">
        <w:rPr>
          <w:lang w:val="en-GB"/>
        </w:rPr>
        <w:t xml:space="preserve"> Paris: OECD</w:t>
      </w:r>
    </w:p>
    <w:p w:rsidR="00545B42" w:rsidRDefault="00545B42" w:rsidP="00052F07">
      <w:pPr>
        <w:spacing w:after="0" w:line="360" w:lineRule="auto"/>
        <w:ind w:left="425" w:hanging="425"/>
        <w:rPr>
          <w:lang w:val="en-GB"/>
        </w:rPr>
      </w:pPr>
      <w:proofErr w:type="gramStart"/>
      <w:r w:rsidRPr="00DB598A">
        <w:rPr>
          <w:lang w:val="en-GB"/>
        </w:rPr>
        <w:t xml:space="preserve">OECD (2014) DAC datasets on </w:t>
      </w:r>
      <w:proofErr w:type="spellStart"/>
      <w:r w:rsidRPr="00DB598A">
        <w:rPr>
          <w:lang w:val="en-GB"/>
        </w:rPr>
        <w:t>OECD.stat</w:t>
      </w:r>
      <w:proofErr w:type="spellEnd"/>
      <w:r w:rsidRPr="00DB598A">
        <w:rPr>
          <w:lang w:val="en-GB"/>
        </w:rPr>
        <w:t xml:space="preserve"> </w:t>
      </w:r>
      <w:hyperlink r:id="rId2" w:history="1">
        <w:r w:rsidRPr="00972F72">
          <w:rPr>
            <w:rStyle w:val="Hyperlink"/>
            <w:lang w:val="en-GB"/>
          </w:rPr>
          <w:t>http://www.oecd.org/dac/aidstatistics/internationaldevelopmentstatisticsidsonlinedatabasesonaidandotherresourceflows.htm</w:t>
        </w:r>
      </w:hyperlink>
      <w:r>
        <w:rPr>
          <w:lang w:val="en-GB"/>
        </w:rPr>
        <w:t xml:space="preserve"> </w:t>
      </w:r>
      <w:r w:rsidRPr="00DB598A">
        <w:rPr>
          <w:lang w:val="en-GB"/>
        </w:rPr>
        <w:t>(14 July 2014).</w:t>
      </w:r>
      <w:proofErr w:type="gramEnd"/>
    </w:p>
    <w:p w:rsidR="00545B42" w:rsidRPr="00371F6B" w:rsidRDefault="00545B42" w:rsidP="00E86299">
      <w:pPr>
        <w:autoSpaceDE w:val="0"/>
        <w:autoSpaceDN w:val="0"/>
        <w:adjustRightInd w:val="0"/>
        <w:spacing w:after="0" w:line="360" w:lineRule="auto"/>
        <w:ind w:left="426" w:hanging="426"/>
        <w:rPr>
          <w:rFonts w:ascii="Calibri" w:eastAsia="Calibri" w:hAnsi="Calibri" w:cs="CMR10"/>
          <w:color w:val="000000"/>
          <w:lang w:val="en-GB"/>
        </w:rPr>
      </w:pPr>
      <w:proofErr w:type="spellStart"/>
      <w:r w:rsidRPr="00371F6B">
        <w:rPr>
          <w:rFonts w:ascii="Calibri" w:eastAsia="Calibri" w:hAnsi="Calibri" w:cs="CMR10"/>
          <w:color w:val="000000"/>
          <w:lang w:val="en-GB"/>
        </w:rPr>
        <w:t>Palubinskas</w:t>
      </w:r>
      <w:proofErr w:type="spellEnd"/>
      <w:r w:rsidRPr="00371F6B">
        <w:rPr>
          <w:rFonts w:ascii="Calibri" w:eastAsia="Calibri" w:hAnsi="Calibri" w:cs="CMR10"/>
          <w:color w:val="000000"/>
          <w:lang w:val="en-GB"/>
        </w:rPr>
        <w:t xml:space="preserve">, G. (2003) Democratization: The Development of Nongovernmental Organizations (NGOs) in Central and Eastern Europe. </w:t>
      </w:r>
      <w:r w:rsidRPr="00371F6B">
        <w:rPr>
          <w:rFonts w:ascii="Calibri" w:eastAsia="Calibri" w:hAnsi="Calibri" w:cs="CMR10"/>
          <w:i/>
          <w:color w:val="000000"/>
          <w:lang w:val="en-GB"/>
        </w:rPr>
        <w:t>Public Administration &amp; Management</w:t>
      </w:r>
      <w:r w:rsidRPr="00371F6B">
        <w:rPr>
          <w:rFonts w:ascii="Calibri" w:eastAsia="Calibri" w:hAnsi="Calibri" w:cs="CMR10"/>
          <w:color w:val="000000"/>
          <w:lang w:val="en-GB"/>
        </w:rPr>
        <w:t xml:space="preserve"> 8(3): 150-163.</w:t>
      </w:r>
    </w:p>
    <w:p w:rsidR="00545B42" w:rsidRPr="00371F6B" w:rsidRDefault="00545B42" w:rsidP="00E86299">
      <w:pPr>
        <w:spacing w:after="0" w:line="360" w:lineRule="auto"/>
        <w:ind w:left="426" w:hanging="426"/>
        <w:rPr>
          <w:lang w:val="en-GB"/>
        </w:rPr>
      </w:pPr>
      <w:proofErr w:type="gramStart"/>
      <w:r w:rsidRPr="00052F07">
        <w:rPr>
          <w:lang w:val="en-GB"/>
        </w:rPr>
        <w:t>Paragi, B. (2010) Hungarian development policy.</w:t>
      </w:r>
      <w:proofErr w:type="gramEnd"/>
      <w:r w:rsidRPr="00052F07">
        <w:rPr>
          <w:lang w:val="en-GB"/>
        </w:rPr>
        <w:t xml:space="preserve"> </w:t>
      </w:r>
      <w:proofErr w:type="gramStart"/>
      <w:r w:rsidRPr="00052F07">
        <w:rPr>
          <w:lang w:val="en-GB"/>
        </w:rPr>
        <w:t xml:space="preserve">In P. </w:t>
      </w:r>
      <w:proofErr w:type="spellStart"/>
      <w:r w:rsidRPr="00052F07">
        <w:rPr>
          <w:lang w:val="en-GB"/>
        </w:rPr>
        <w:t>Hoebink</w:t>
      </w:r>
      <w:proofErr w:type="spellEnd"/>
      <w:r w:rsidRPr="00052F07">
        <w:rPr>
          <w:lang w:val="en-GB"/>
        </w:rPr>
        <w:t xml:space="preserve"> (ed.) </w:t>
      </w:r>
      <w:r w:rsidRPr="00052F07">
        <w:rPr>
          <w:i/>
          <w:lang w:val="en-GB"/>
        </w:rPr>
        <w:t>European Development Cooperation – In Between the Local and the Global.</w:t>
      </w:r>
      <w:proofErr w:type="gramEnd"/>
      <w:r w:rsidRPr="00052F07">
        <w:rPr>
          <w:lang w:val="en-GB"/>
        </w:rPr>
        <w:t xml:space="preserve"> Amsterdam: Amsterdam University Press.</w:t>
      </w:r>
    </w:p>
    <w:p w:rsidR="00545B42" w:rsidRPr="00371F6B" w:rsidRDefault="00545B42" w:rsidP="00E86299">
      <w:pPr>
        <w:autoSpaceDE w:val="0"/>
        <w:autoSpaceDN w:val="0"/>
        <w:adjustRightInd w:val="0"/>
        <w:spacing w:after="0" w:line="360" w:lineRule="auto"/>
        <w:ind w:left="426" w:hanging="426"/>
        <w:rPr>
          <w:rFonts w:cs="CMR10"/>
          <w:color w:val="000000"/>
          <w:lang w:val="en-GB"/>
        </w:rPr>
      </w:pPr>
      <w:proofErr w:type="spellStart"/>
      <w:r w:rsidRPr="00371F6B">
        <w:rPr>
          <w:rFonts w:cs="CMR10"/>
          <w:color w:val="000000"/>
          <w:lang w:val="en-GB"/>
        </w:rPr>
        <w:t>Parau</w:t>
      </w:r>
      <w:proofErr w:type="spellEnd"/>
      <w:r w:rsidRPr="00371F6B">
        <w:rPr>
          <w:rFonts w:cs="CMR10"/>
          <w:color w:val="000000"/>
          <w:lang w:val="en-GB"/>
        </w:rPr>
        <w:t xml:space="preserve">, C. (2009) Impaling Dracula: How EU Accession Empowered Civil Society in Romania. </w:t>
      </w:r>
      <w:r w:rsidRPr="00371F6B">
        <w:rPr>
          <w:rFonts w:cs="CMR10"/>
          <w:i/>
          <w:color w:val="000000"/>
          <w:lang w:val="en-GB"/>
        </w:rPr>
        <w:t>West European Politics</w:t>
      </w:r>
      <w:r w:rsidRPr="00371F6B">
        <w:rPr>
          <w:rFonts w:cs="CMR10"/>
          <w:color w:val="000000"/>
          <w:lang w:val="en-GB"/>
        </w:rPr>
        <w:t xml:space="preserve"> 32 (1): 119–141.</w:t>
      </w:r>
    </w:p>
    <w:p w:rsidR="00545B42" w:rsidRPr="00052F07" w:rsidRDefault="00545B42" w:rsidP="00E86299">
      <w:pPr>
        <w:spacing w:after="0" w:line="360" w:lineRule="auto"/>
        <w:ind w:left="426" w:hanging="426"/>
        <w:rPr>
          <w:rFonts w:cs="CMR10"/>
          <w:lang w:val="en-GB"/>
        </w:rPr>
      </w:pPr>
      <w:proofErr w:type="spellStart"/>
      <w:r w:rsidRPr="00371F6B">
        <w:rPr>
          <w:rFonts w:cs="CMR10"/>
          <w:lang w:val="en-GB"/>
        </w:rPr>
        <w:t>Petrova</w:t>
      </w:r>
      <w:proofErr w:type="spellEnd"/>
      <w:r w:rsidRPr="00371F6B">
        <w:rPr>
          <w:rFonts w:cs="CMR10"/>
          <w:lang w:val="en-GB"/>
        </w:rPr>
        <w:t xml:space="preserve">, T and </w:t>
      </w:r>
      <w:proofErr w:type="spellStart"/>
      <w:r w:rsidRPr="00371F6B">
        <w:rPr>
          <w:rFonts w:cs="CMR10"/>
          <w:lang w:val="en-GB"/>
        </w:rPr>
        <w:t>Tarrow</w:t>
      </w:r>
      <w:proofErr w:type="spellEnd"/>
      <w:r w:rsidRPr="00371F6B">
        <w:rPr>
          <w:rFonts w:cs="CMR10"/>
          <w:lang w:val="en-GB"/>
        </w:rPr>
        <w:t xml:space="preserve">, S. (2007) Transactional and Participatory Activism in the Emerging European Polity: The Puzzle of East-Central Europe. </w:t>
      </w:r>
      <w:r w:rsidRPr="00371F6B">
        <w:rPr>
          <w:rFonts w:cs="CMR10"/>
          <w:i/>
          <w:lang w:val="en-GB"/>
        </w:rPr>
        <w:t>Comparative Politic</w:t>
      </w:r>
      <w:r w:rsidRPr="00052F07">
        <w:rPr>
          <w:rFonts w:cs="CMR10"/>
          <w:i/>
          <w:lang w:val="en-GB"/>
        </w:rPr>
        <w:t>al Studies</w:t>
      </w:r>
      <w:r w:rsidRPr="00052F07">
        <w:rPr>
          <w:rFonts w:cs="CMR10"/>
          <w:lang w:val="en-GB"/>
        </w:rPr>
        <w:t xml:space="preserve"> 40(1): 74–94.</w:t>
      </w:r>
    </w:p>
    <w:p w:rsidR="00545B42" w:rsidRDefault="00545B42" w:rsidP="00E86299">
      <w:pPr>
        <w:spacing w:after="0" w:line="360" w:lineRule="auto"/>
        <w:ind w:left="426" w:hanging="426"/>
        <w:rPr>
          <w:rFonts w:ascii="Calibri" w:eastAsia="Calibri" w:hAnsi="Calibri" w:cs="Times New Roman"/>
          <w:lang w:val="en-GB"/>
        </w:rPr>
      </w:pPr>
      <w:r w:rsidRPr="00052F07">
        <w:rPr>
          <w:bCs/>
          <w:lang w:val="en-GB"/>
        </w:rPr>
        <w:t xml:space="preserve">Publish What You Fund (2013) Aid Transparency Index, </w:t>
      </w:r>
      <w:hyperlink r:id="rId3" w:history="1">
        <w:r w:rsidRPr="00052F07">
          <w:rPr>
            <w:rStyle w:val="Hyperlink"/>
            <w:bCs/>
            <w:lang w:val="en-GB"/>
          </w:rPr>
          <w:t>http://ati.publishwhatyoufund.org/wp-content/uploads/2013/10/2013-Aid-Transparency-Index.pdf</w:t>
        </w:r>
      </w:hyperlink>
      <w:r w:rsidRPr="00052F07">
        <w:rPr>
          <w:rFonts w:ascii="Calibri" w:eastAsia="Calibri" w:hAnsi="Calibri" w:cs="Times New Roman"/>
          <w:lang w:val="en-GB"/>
        </w:rPr>
        <w:t xml:space="preserve"> (</w:t>
      </w:r>
      <w:r>
        <w:rPr>
          <w:rFonts w:ascii="Calibri" w:eastAsia="Calibri" w:hAnsi="Calibri" w:cs="Times New Roman"/>
          <w:lang w:val="en-GB"/>
        </w:rPr>
        <w:t>5 September 2014).</w:t>
      </w:r>
    </w:p>
    <w:p w:rsidR="00545B42" w:rsidRPr="00371F6B" w:rsidRDefault="00545B42" w:rsidP="00E86299">
      <w:pPr>
        <w:spacing w:after="0" w:line="360" w:lineRule="auto"/>
        <w:ind w:left="426" w:hanging="426"/>
        <w:rPr>
          <w:rFonts w:ascii="Calibri" w:eastAsia="Calibri" w:hAnsi="Calibri" w:cs="Times New Roman"/>
          <w:lang w:val="en-GB"/>
        </w:rPr>
      </w:pPr>
      <w:r w:rsidRPr="00371F6B">
        <w:rPr>
          <w:rFonts w:ascii="Calibri" w:eastAsia="Calibri" w:hAnsi="Calibri" w:cs="Times New Roman"/>
          <w:lang w:val="en-GB"/>
        </w:rPr>
        <w:t xml:space="preserve">Selmeczi, A. (2013) </w:t>
      </w:r>
      <w:proofErr w:type="gramStart"/>
      <w:r w:rsidRPr="00371F6B">
        <w:rPr>
          <w:rFonts w:ascii="Calibri" w:eastAsia="Calibri" w:hAnsi="Calibri" w:cs="Times New Roman"/>
          <w:lang w:val="en-GB"/>
        </w:rPr>
        <w:t>The</w:t>
      </w:r>
      <w:proofErr w:type="gramEnd"/>
      <w:r w:rsidRPr="00371F6B">
        <w:rPr>
          <w:rFonts w:ascii="Calibri" w:eastAsia="Calibri" w:hAnsi="Calibri" w:cs="Times New Roman"/>
          <w:lang w:val="en-GB"/>
        </w:rPr>
        <w:t xml:space="preserve"> Role of the Hungarian Civil Society in Development Assistance and Aid Effectiveness. </w:t>
      </w:r>
      <w:proofErr w:type="gramStart"/>
      <w:r w:rsidRPr="00371F6B">
        <w:rPr>
          <w:rFonts w:ascii="Calibri" w:eastAsia="Calibri" w:hAnsi="Calibri" w:cs="Times New Roman"/>
          <w:lang w:val="en-GB"/>
        </w:rPr>
        <w:t>CEU Centre for Policy Studies Policy Paper.</w:t>
      </w:r>
      <w:proofErr w:type="gramEnd"/>
    </w:p>
    <w:p w:rsidR="00545B42" w:rsidRDefault="00545B42" w:rsidP="00E86299">
      <w:pPr>
        <w:spacing w:after="0" w:line="360" w:lineRule="auto"/>
        <w:ind w:left="426" w:hanging="426"/>
        <w:rPr>
          <w:lang w:val="en-GB"/>
        </w:rPr>
      </w:pPr>
      <w:r w:rsidRPr="00371F6B">
        <w:rPr>
          <w:lang w:val="en-GB"/>
        </w:rPr>
        <w:t xml:space="preserve">Szent-Iványi, B. (2012) Hungarian international development co-operation: context, stakeholders and performance. </w:t>
      </w:r>
      <w:r w:rsidRPr="00371F6B">
        <w:rPr>
          <w:i/>
          <w:lang w:val="en-GB"/>
        </w:rPr>
        <w:t>Perspectives on European Politics and Society</w:t>
      </w:r>
      <w:r w:rsidRPr="00371F6B">
        <w:rPr>
          <w:lang w:val="en-GB"/>
        </w:rPr>
        <w:t xml:space="preserve"> 13(1): 50-65.</w:t>
      </w:r>
    </w:p>
    <w:p w:rsidR="00F7478E" w:rsidRPr="00371F6B" w:rsidRDefault="00F7478E" w:rsidP="00E86299">
      <w:pPr>
        <w:spacing w:after="0" w:line="360" w:lineRule="auto"/>
        <w:ind w:left="426" w:hanging="426"/>
        <w:rPr>
          <w:lang w:val="en-GB"/>
        </w:rPr>
      </w:pPr>
      <w:proofErr w:type="spellStart"/>
      <w:r>
        <w:rPr>
          <w:lang w:val="en-GB"/>
        </w:rPr>
        <w:t>Szent-</w:t>
      </w:r>
      <w:r w:rsidRPr="00371F6B">
        <w:rPr>
          <w:lang w:val="en-GB"/>
        </w:rPr>
        <w:t>Iványi</w:t>
      </w:r>
      <w:proofErr w:type="spellEnd"/>
      <w:r w:rsidRPr="00371F6B">
        <w:rPr>
          <w:lang w:val="en-GB"/>
        </w:rPr>
        <w:t>,</w:t>
      </w:r>
      <w:r>
        <w:rPr>
          <w:lang w:val="en-GB"/>
        </w:rPr>
        <w:t xml:space="preserve"> B. and Lightfoot, S. (2015) </w:t>
      </w:r>
      <w:proofErr w:type="gramStart"/>
      <w:r w:rsidRPr="00F7478E">
        <w:rPr>
          <w:i/>
          <w:lang w:val="en-GB"/>
        </w:rPr>
        <w:t>New</w:t>
      </w:r>
      <w:proofErr w:type="gramEnd"/>
      <w:r w:rsidRPr="00F7478E">
        <w:rPr>
          <w:i/>
          <w:lang w:val="en-GB"/>
        </w:rPr>
        <w:t xml:space="preserve"> Europe’s New Development Aid.</w:t>
      </w:r>
      <w:r>
        <w:rPr>
          <w:lang w:val="en-GB"/>
        </w:rPr>
        <w:t xml:space="preserve"> Abingdon: Routledge.</w:t>
      </w:r>
    </w:p>
    <w:p w:rsidR="00545B42" w:rsidRPr="00371F6B" w:rsidRDefault="00545B42" w:rsidP="00E86299">
      <w:pPr>
        <w:spacing w:after="0" w:line="360" w:lineRule="auto"/>
        <w:ind w:left="426" w:hanging="426"/>
        <w:rPr>
          <w:lang w:val="en-GB"/>
        </w:rPr>
      </w:pPr>
      <w:proofErr w:type="gramStart"/>
      <w:r w:rsidRPr="00371F6B">
        <w:rPr>
          <w:lang w:val="en-GB"/>
        </w:rPr>
        <w:t xml:space="preserve">Szent-Iványi, B. and Tétényi, A. (2008) Transition and foreign aid policies in the </w:t>
      </w:r>
      <w:proofErr w:type="spellStart"/>
      <w:r w:rsidRPr="00371F6B">
        <w:rPr>
          <w:lang w:val="en-GB"/>
        </w:rPr>
        <w:t>Visegrád</w:t>
      </w:r>
      <w:proofErr w:type="spellEnd"/>
      <w:r w:rsidRPr="00371F6B">
        <w:rPr>
          <w:lang w:val="en-GB"/>
        </w:rPr>
        <w:t xml:space="preserve"> countries.</w:t>
      </w:r>
      <w:proofErr w:type="gramEnd"/>
      <w:r w:rsidRPr="00371F6B">
        <w:rPr>
          <w:lang w:val="en-GB"/>
        </w:rPr>
        <w:t xml:space="preserve"> </w:t>
      </w:r>
      <w:proofErr w:type="gramStart"/>
      <w:r w:rsidRPr="00371F6B">
        <w:rPr>
          <w:lang w:val="en-GB"/>
        </w:rPr>
        <w:t>A path dependant approach.</w:t>
      </w:r>
      <w:proofErr w:type="gramEnd"/>
      <w:r w:rsidRPr="00371F6B">
        <w:rPr>
          <w:lang w:val="en-GB"/>
        </w:rPr>
        <w:t xml:space="preserve"> </w:t>
      </w:r>
      <w:r w:rsidRPr="00371F6B">
        <w:rPr>
          <w:i/>
          <w:lang w:val="en-GB"/>
        </w:rPr>
        <w:t>Transition Studies Review</w:t>
      </w:r>
      <w:r w:rsidRPr="00371F6B">
        <w:rPr>
          <w:lang w:val="en-GB"/>
        </w:rPr>
        <w:t xml:space="preserve"> 15(3): 573-587.</w:t>
      </w:r>
    </w:p>
    <w:p w:rsidR="00545B42" w:rsidRDefault="00545B42" w:rsidP="00E86299">
      <w:pPr>
        <w:spacing w:after="0" w:line="360" w:lineRule="auto"/>
        <w:ind w:left="426" w:hanging="426"/>
        <w:rPr>
          <w:lang w:val="en-GB"/>
        </w:rPr>
      </w:pPr>
      <w:proofErr w:type="spellStart"/>
      <w:r w:rsidRPr="00371F6B">
        <w:rPr>
          <w:lang w:val="en-GB"/>
        </w:rPr>
        <w:t>Topolánek</w:t>
      </w:r>
      <w:proofErr w:type="spellEnd"/>
      <w:r w:rsidRPr="00371F6B">
        <w:rPr>
          <w:lang w:val="en-GB"/>
        </w:rPr>
        <w:t xml:space="preserve">, M. (2006) </w:t>
      </w:r>
      <w:proofErr w:type="spellStart"/>
      <w:r w:rsidRPr="00371F6B">
        <w:rPr>
          <w:lang w:val="en-GB"/>
        </w:rPr>
        <w:t>Projev</w:t>
      </w:r>
      <w:proofErr w:type="spellEnd"/>
      <w:r w:rsidRPr="00371F6B">
        <w:rPr>
          <w:lang w:val="en-GB"/>
        </w:rPr>
        <w:t xml:space="preserve"> </w:t>
      </w:r>
      <w:proofErr w:type="spellStart"/>
      <w:r w:rsidRPr="00371F6B">
        <w:rPr>
          <w:lang w:val="en-GB"/>
        </w:rPr>
        <w:t>premiéra</w:t>
      </w:r>
      <w:proofErr w:type="spellEnd"/>
      <w:r w:rsidRPr="00371F6B">
        <w:rPr>
          <w:lang w:val="en-GB"/>
        </w:rPr>
        <w:t xml:space="preserve"> </w:t>
      </w:r>
      <w:proofErr w:type="spellStart"/>
      <w:r w:rsidRPr="00371F6B">
        <w:rPr>
          <w:lang w:val="en-GB"/>
        </w:rPr>
        <w:t>Mirka</w:t>
      </w:r>
      <w:proofErr w:type="spellEnd"/>
      <w:r w:rsidRPr="00371F6B">
        <w:rPr>
          <w:lang w:val="en-GB"/>
        </w:rPr>
        <w:t xml:space="preserve"> </w:t>
      </w:r>
      <w:proofErr w:type="spellStart"/>
      <w:r w:rsidRPr="00371F6B">
        <w:rPr>
          <w:lang w:val="en-GB"/>
        </w:rPr>
        <w:t>Topolánka</w:t>
      </w:r>
      <w:proofErr w:type="spellEnd"/>
      <w:r w:rsidRPr="00371F6B">
        <w:rPr>
          <w:lang w:val="en-GB"/>
        </w:rPr>
        <w:t xml:space="preserve"> </w:t>
      </w:r>
      <w:proofErr w:type="spellStart"/>
      <w:proofErr w:type="gramStart"/>
      <w:r w:rsidRPr="00371F6B">
        <w:rPr>
          <w:lang w:val="en-GB"/>
        </w:rPr>
        <w:t>na</w:t>
      </w:r>
      <w:proofErr w:type="spellEnd"/>
      <w:proofErr w:type="gramEnd"/>
      <w:r w:rsidRPr="00371F6B">
        <w:rPr>
          <w:lang w:val="en-GB"/>
        </w:rPr>
        <w:t xml:space="preserve"> </w:t>
      </w:r>
      <w:proofErr w:type="spellStart"/>
      <w:r w:rsidRPr="00371F6B">
        <w:rPr>
          <w:lang w:val="en-GB"/>
        </w:rPr>
        <w:t>výroční</w:t>
      </w:r>
      <w:proofErr w:type="spellEnd"/>
      <w:r w:rsidRPr="00371F6B">
        <w:rPr>
          <w:lang w:val="en-GB"/>
        </w:rPr>
        <w:t xml:space="preserve"> </w:t>
      </w:r>
      <w:proofErr w:type="spellStart"/>
      <w:r w:rsidRPr="00371F6B">
        <w:rPr>
          <w:lang w:val="en-GB"/>
        </w:rPr>
        <w:t>poradě</w:t>
      </w:r>
      <w:proofErr w:type="spellEnd"/>
      <w:r w:rsidRPr="00371F6B">
        <w:rPr>
          <w:lang w:val="en-GB"/>
        </w:rPr>
        <w:t xml:space="preserve"> </w:t>
      </w:r>
      <w:proofErr w:type="spellStart"/>
      <w:r w:rsidRPr="00371F6B">
        <w:rPr>
          <w:lang w:val="en-GB"/>
        </w:rPr>
        <w:t>vedoucích</w:t>
      </w:r>
      <w:proofErr w:type="spellEnd"/>
      <w:r w:rsidRPr="00371F6B">
        <w:rPr>
          <w:lang w:val="en-GB"/>
        </w:rPr>
        <w:t xml:space="preserve"> </w:t>
      </w:r>
      <w:proofErr w:type="spellStart"/>
      <w:r w:rsidRPr="00371F6B">
        <w:rPr>
          <w:lang w:val="en-GB"/>
        </w:rPr>
        <w:t>zastupitelských</w:t>
      </w:r>
      <w:proofErr w:type="spellEnd"/>
      <w:r w:rsidRPr="00371F6B">
        <w:rPr>
          <w:lang w:val="en-GB"/>
        </w:rPr>
        <w:t xml:space="preserve"> </w:t>
      </w:r>
      <w:proofErr w:type="spellStart"/>
      <w:r w:rsidRPr="00371F6B">
        <w:rPr>
          <w:lang w:val="en-GB"/>
        </w:rPr>
        <w:t>úřadů</w:t>
      </w:r>
      <w:proofErr w:type="spellEnd"/>
      <w:r w:rsidRPr="00371F6B">
        <w:rPr>
          <w:lang w:val="en-GB"/>
        </w:rPr>
        <w:t xml:space="preserve"> ČR v </w:t>
      </w:r>
      <w:proofErr w:type="spellStart"/>
      <w:r w:rsidRPr="00371F6B">
        <w:rPr>
          <w:lang w:val="en-GB"/>
        </w:rPr>
        <w:t>Černínském</w:t>
      </w:r>
      <w:proofErr w:type="spellEnd"/>
      <w:r w:rsidRPr="00371F6B">
        <w:rPr>
          <w:lang w:val="en-GB"/>
        </w:rPr>
        <w:t xml:space="preserve"> </w:t>
      </w:r>
      <w:proofErr w:type="spellStart"/>
      <w:r w:rsidRPr="00371F6B">
        <w:rPr>
          <w:lang w:val="en-GB"/>
        </w:rPr>
        <w:t>paláci</w:t>
      </w:r>
      <w:proofErr w:type="spellEnd"/>
      <w:r w:rsidRPr="00371F6B">
        <w:rPr>
          <w:lang w:val="en-GB"/>
        </w:rPr>
        <w:t xml:space="preserve"> </w:t>
      </w:r>
      <w:proofErr w:type="spellStart"/>
      <w:r w:rsidRPr="00371F6B">
        <w:rPr>
          <w:lang w:val="en-GB"/>
        </w:rPr>
        <w:t>dne</w:t>
      </w:r>
      <w:proofErr w:type="spellEnd"/>
      <w:r w:rsidRPr="00371F6B">
        <w:rPr>
          <w:lang w:val="en-GB"/>
        </w:rPr>
        <w:t xml:space="preserve"> 7. </w:t>
      </w:r>
      <w:proofErr w:type="spellStart"/>
      <w:proofErr w:type="gramStart"/>
      <w:r w:rsidRPr="00371F6B">
        <w:rPr>
          <w:lang w:val="en-GB"/>
        </w:rPr>
        <w:t>září</w:t>
      </w:r>
      <w:proofErr w:type="spellEnd"/>
      <w:proofErr w:type="gramEnd"/>
      <w:r w:rsidRPr="00371F6B">
        <w:rPr>
          <w:lang w:val="en-GB"/>
        </w:rPr>
        <w:t xml:space="preserve"> 2006</w:t>
      </w:r>
      <w:r>
        <w:rPr>
          <w:lang w:val="en-GB"/>
        </w:rPr>
        <w:t>,</w:t>
      </w:r>
      <w:r w:rsidRPr="00371F6B">
        <w:rPr>
          <w:lang w:val="en-GB"/>
        </w:rPr>
        <w:t xml:space="preserve"> </w:t>
      </w:r>
      <w:hyperlink r:id="rId4" w:history="1">
        <w:r w:rsidRPr="00371F6B">
          <w:rPr>
            <w:rStyle w:val="Hyperlink"/>
            <w:lang w:val="en-GB"/>
          </w:rPr>
          <w:t>http://www.vlada.cz/scripts/detail.php?id=18863</w:t>
        </w:r>
      </w:hyperlink>
      <w:r>
        <w:rPr>
          <w:lang w:val="en-GB"/>
        </w:rPr>
        <w:t xml:space="preserve"> (20 August 2015).</w:t>
      </w:r>
    </w:p>
    <w:p w:rsidR="00545B42" w:rsidRPr="00371F6B" w:rsidRDefault="00545B42" w:rsidP="00E86299">
      <w:pPr>
        <w:spacing w:after="0" w:line="360" w:lineRule="auto"/>
        <w:ind w:left="426" w:hanging="426"/>
        <w:rPr>
          <w:lang w:val="en-GB"/>
        </w:rPr>
      </w:pPr>
      <w:proofErr w:type="spellStart"/>
      <w:proofErr w:type="gramStart"/>
      <w:r w:rsidRPr="00371F6B">
        <w:rPr>
          <w:lang w:val="en-GB"/>
        </w:rPr>
        <w:t>Vachudová</w:t>
      </w:r>
      <w:proofErr w:type="spellEnd"/>
      <w:r w:rsidRPr="00371F6B">
        <w:rPr>
          <w:lang w:val="en-GB"/>
        </w:rPr>
        <w:t xml:space="preserve">, M. (2005) </w:t>
      </w:r>
      <w:r w:rsidRPr="00371F6B">
        <w:rPr>
          <w:i/>
          <w:lang w:val="en-GB"/>
        </w:rPr>
        <w:t>Europe Undivided: Democracy, Leverage and Integration after Communism.</w:t>
      </w:r>
      <w:proofErr w:type="gramEnd"/>
      <w:r w:rsidRPr="00371F6B">
        <w:rPr>
          <w:lang w:val="en-GB"/>
        </w:rPr>
        <w:t xml:space="preserve"> Oxford: Oxford University Press.</w:t>
      </w:r>
    </w:p>
    <w:p w:rsidR="00545B42" w:rsidRPr="00371F6B" w:rsidRDefault="00545B42" w:rsidP="00E86299">
      <w:pPr>
        <w:spacing w:after="0" w:line="360" w:lineRule="auto"/>
        <w:ind w:left="426" w:hanging="426"/>
        <w:rPr>
          <w:lang w:val="en-GB"/>
        </w:rPr>
      </w:pPr>
      <w:r w:rsidRPr="00371F6B">
        <w:rPr>
          <w:lang w:val="en-GB"/>
        </w:rPr>
        <w:t xml:space="preserve">Vaughan, D. (2006) Simon </w:t>
      </w:r>
      <w:proofErr w:type="spellStart"/>
      <w:r w:rsidRPr="00371F6B">
        <w:rPr>
          <w:lang w:val="en-GB"/>
        </w:rPr>
        <w:t>Panek</w:t>
      </w:r>
      <w:proofErr w:type="spellEnd"/>
      <w:r w:rsidRPr="00371F6B">
        <w:rPr>
          <w:lang w:val="en-GB"/>
        </w:rPr>
        <w:t xml:space="preserve">: a former student leader remembers the drama of November 1989, </w:t>
      </w:r>
      <w:hyperlink r:id="rId5" w:history="1">
        <w:r w:rsidRPr="00371F6B">
          <w:rPr>
            <w:rStyle w:val="Hyperlink"/>
            <w:lang w:val="en-GB"/>
          </w:rPr>
          <w:t>http://www.radio.cz/en/section/one-on-one/simon-panek-a-former-student-leader-remembers-the-drama-of-november-1989</w:t>
        </w:r>
      </w:hyperlink>
    </w:p>
    <w:p w:rsidR="00545B42" w:rsidRPr="00371F6B" w:rsidRDefault="00545B42" w:rsidP="00E86299">
      <w:pPr>
        <w:spacing w:after="0" w:line="360" w:lineRule="auto"/>
        <w:ind w:left="426" w:hanging="426"/>
        <w:rPr>
          <w:lang w:val="en-GB"/>
        </w:rPr>
      </w:pPr>
      <w:r w:rsidRPr="00371F6B">
        <w:rPr>
          <w:lang w:val="en-GB"/>
        </w:rPr>
        <w:t xml:space="preserve">Wallace, C., </w:t>
      </w:r>
      <w:proofErr w:type="spellStart"/>
      <w:r w:rsidRPr="00371F6B">
        <w:rPr>
          <w:lang w:val="en-GB"/>
        </w:rPr>
        <w:t>Pichler</w:t>
      </w:r>
      <w:proofErr w:type="spellEnd"/>
      <w:r w:rsidRPr="00371F6B">
        <w:rPr>
          <w:lang w:val="en-GB"/>
        </w:rPr>
        <w:t xml:space="preserve">, F., and </w:t>
      </w:r>
      <w:proofErr w:type="spellStart"/>
      <w:r w:rsidRPr="00371F6B">
        <w:rPr>
          <w:lang w:val="en-GB"/>
        </w:rPr>
        <w:t>Haerpfer</w:t>
      </w:r>
      <w:proofErr w:type="spellEnd"/>
      <w:r w:rsidRPr="00371F6B">
        <w:rPr>
          <w:lang w:val="en-GB"/>
        </w:rPr>
        <w:t xml:space="preserve">, C. (2012) Is Eastern Europe Different? </w:t>
      </w:r>
      <w:proofErr w:type="gramStart"/>
      <w:r w:rsidRPr="00371F6B">
        <w:rPr>
          <w:lang w:val="en-GB"/>
        </w:rPr>
        <w:t>Changing Patterns of Civil Society in Europe and America 1995-2005.</w:t>
      </w:r>
      <w:proofErr w:type="gramEnd"/>
      <w:r w:rsidRPr="00371F6B">
        <w:rPr>
          <w:lang w:val="en-GB"/>
        </w:rPr>
        <w:t xml:space="preserve"> </w:t>
      </w:r>
      <w:r w:rsidRPr="00371F6B">
        <w:rPr>
          <w:i/>
          <w:lang w:val="en-GB"/>
        </w:rPr>
        <w:t xml:space="preserve">East European Politics and Societies </w:t>
      </w:r>
      <w:r w:rsidRPr="00371F6B">
        <w:rPr>
          <w:lang w:val="en-GB"/>
        </w:rPr>
        <w:t>26 (3): 3-19.</w:t>
      </w:r>
    </w:p>
    <w:p w:rsidR="00545B42" w:rsidRPr="00371F6B" w:rsidRDefault="00545B42" w:rsidP="00E86299">
      <w:pPr>
        <w:spacing w:after="0" w:line="360" w:lineRule="auto"/>
        <w:ind w:left="426" w:hanging="426"/>
        <w:rPr>
          <w:sz w:val="18"/>
          <w:szCs w:val="18"/>
          <w:lang w:val="en-GB"/>
        </w:rPr>
      </w:pPr>
      <w:proofErr w:type="spellStart"/>
      <w:r w:rsidRPr="00371F6B">
        <w:rPr>
          <w:lang w:val="en-GB"/>
        </w:rPr>
        <w:t>Zázvorkova</w:t>
      </w:r>
      <w:proofErr w:type="spellEnd"/>
      <w:r w:rsidRPr="00371F6B">
        <w:rPr>
          <w:lang w:val="en-GB"/>
        </w:rPr>
        <w:t xml:space="preserve">, M. (2011) </w:t>
      </w:r>
      <w:proofErr w:type="gramStart"/>
      <w:r w:rsidRPr="00371F6B">
        <w:rPr>
          <w:i/>
          <w:lang w:val="en-GB"/>
        </w:rPr>
        <w:t>The</w:t>
      </w:r>
      <w:proofErr w:type="gramEnd"/>
      <w:r w:rsidRPr="00371F6B">
        <w:rPr>
          <w:i/>
          <w:lang w:val="en-GB"/>
        </w:rPr>
        <w:t xml:space="preserve"> Involvement of Development NGOs from </w:t>
      </w:r>
      <w:proofErr w:type="spellStart"/>
      <w:r w:rsidRPr="00371F6B">
        <w:rPr>
          <w:i/>
          <w:lang w:val="en-GB"/>
        </w:rPr>
        <w:t>Visegrad</w:t>
      </w:r>
      <w:proofErr w:type="spellEnd"/>
      <w:r w:rsidRPr="00371F6B">
        <w:rPr>
          <w:i/>
          <w:lang w:val="en-GB"/>
        </w:rPr>
        <w:t xml:space="preserve"> Countries in the Financial Instruments of the European Commission</w:t>
      </w:r>
      <w:r w:rsidRPr="00371F6B">
        <w:rPr>
          <w:lang w:val="en-GB"/>
        </w:rPr>
        <w:t>. Prague: FoRS.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MR10">
    <w:altName w:val="Times New Roman"/>
    <w:panose1 w:val="00000000000000000000"/>
    <w:charset w:val="A1"/>
    <w:family w:val="auto"/>
    <w:notTrueType/>
    <w:pitch w:val="default"/>
    <w:sig w:usb0="00000081" w:usb1="00000000" w:usb2="00000000" w:usb3="00000000" w:csb0="00000008" w:csb1="00000000"/>
  </w:font>
  <w:font w:name="CMTI10">
    <w:altName w:val="Times New Roman"/>
    <w:panose1 w:val="00000000000000000000"/>
    <w:charset w:val="00"/>
    <w:family w:val="auto"/>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760813"/>
      <w:docPartObj>
        <w:docPartGallery w:val="Page Numbers (Bottom of Page)"/>
        <w:docPartUnique/>
      </w:docPartObj>
    </w:sdtPr>
    <w:sdtEndPr>
      <w:rPr>
        <w:noProof/>
      </w:rPr>
    </w:sdtEndPr>
    <w:sdtContent>
      <w:p w:rsidR="00545B42" w:rsidRDefault="00F778BC">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545B42" w:rsidRDefault="00545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42" w:rsidRDefault="00545B42" w:rsidP="00BE30A2">
      <w:pPr>
        <w:spacing w:after="0" w:line="240" w:lineRule="auto"/>
      </w:pPr>
      <w:r>
        <w:separator/>
      </w:r>
    </w:p>
  </w:footnote>
  <w:footnote w:type="continuationSeparator" w:id="0">
    <w:p w:rsidR="00545B42" w:rsidRDefault="00545B42" w:rsidP="00BE30A2">
      <w:pPr>
        <w:spacing w:after="0" w:line="240" w:lineRule="auto"/>
      </w:pPr>
      <w:r>
        <w:continuationSeparator/>
      </w:r>
    </w:p>
  </w:footnote>
  <w:footnote w:id="1">
    <w:p w:rsidR="00F7478E" w:rsidRPr="003C39FF" w:rsidRDefault="00F7478E" w:rsidP="00F7478E">
      <w:pPr>
        <w:pStyle w:val="FootnoteText"/>
        <w:spacing w:line="360" w:lineRule="auto"/>
        <w:jc w:val="both"/>
        <w:rPr>
          <w:sz w:val="18"/>
          <w:szCs w:val="18"/>
        </w:rPr>
      </w:pPr>
      <w:r w:rsidRPr="003C39FF">
        <w:rPr>
          <w:rStyle w:val="FootnoteReference"/>
          <w:sz w:val="18"/>
          <w:szCs w:val="18"/>
        </w:rPr>
        <w:footnoteRef/>
      </w:r>
      <w:r w:rsidRPr="003C39FF">
        <w:rPr>
          <w:sz w:val="18"/>
          <w:szCs w:val="18"/>
        </w:rPr>
        <w:t xml:space="preserve"> The authors gratefully acknowledge the support of the EU’s Marie Curie program (project INDEPNEW).</w:t>
      </w:r>
    </w:p>
  </w:footnote>
  <w:footnote w:id="2">
    <w:p w:rsidR="00F7478E" w:rsidRPr="003C39FF" w:rsidRDefault="00F7478E" w:rsidP="00F7478E">
      <w:pPr>
        <w:pStyle w:val="FootnoteText"/>
        <w:spacing w:line="360" w:lineRule="auto"/>
        <w:jc w:val="both"/>
        <w:rPr>
          <w:sz w:val="18"/>
          <w:szCs w:val="18"/>
        </w:rPr>
      </w:pPr>
      <w:r w:rsidRPr="003C39FF">
        <w:rPr>
          <w:rStyle w:val="FootnoteReference"/>
          <w:sz w:val="18"/>
          <w:szCs w:val="18"/>
        </w:rPr>
        <w:footnoteRef/>
      </w:r>
      <w:r w:rsidRPr="003C39FF">
        <w:rPr>
          <w:sz w:val="18"/>
          <w:szCs w:val="18"/>
        </w:rPr>
        <w:t xml:space="preserve"> </w:t>
      </w:r>
      <w:r w:rsidRPr="003C39FF">
        <w:rPr>
          <w:sz w:val="18"/>
          <w:szCs w:val="18"/>
        </w:rPr>
        <w:t xml:space="preserve">Corresponding </w:t>
      </w:r>
      <w:r w:rsidRPr="003C39FF">
        <w:rPr>
          <w:sz w:val="18"/>
          <w:szCs w:val="18"/>
        </w:rPr>
        <w:t xml:space="preserve">author. Email: </w:t>
      </w:r>
      <w:hyperlink r:id="rId1" w:history="1">
        <w:r w:rsidRPr="003673B6">
          <w:rPr>
            <w:rStyle w:val="Hyperlink"/>
            <w:sz w:val="18"/>
            <w:szCs w:val="18"/>
          </w:rPr>
          <w:t>b.szent-ivanyi@aston.ac.uk</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5B0F"/>
    <w:multiLevelType w:val="hybridMultilevel"/>
    <w:tmpl w:val="2B2C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CA2F04"/>
    <w:multiLevelType w:val="hybridMultilevel"/>
    <w:tmpl w:val="F64EC7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D9B25E7"/>
    <w:multiLevelType w:val="hybridMultilevel"/>
    <w:tmpl w:val="9CF6F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9718E4"/>
    <w:multiLevelType w:val="hybridMultilevel"/>
    <w:tmpl w:val="3A44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6F3DEB"/>
    <w:multiLevelType w:val="hybridMultilevel"/>
    <w:tmpl w:val="2D0468C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
    <w:nsid w:val="524E386B"/>
    <w:multiLevelType w:val="hybridMultilevel"/>
    <w:tmpl w:val="3B2088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BB454B8"/>
    <w:multiLevelType w:val="hybridMultilevel"/>
    <w:tmpl w:val="9ECEC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A2"/>
    <w:rsid w:val="00005A23"/>
    <w:rsid w:val="00015E58"/>
    <w:rsid w:val="000167A6"/>
    <w:rsid w:val="0004273A"/>
    <w:rsid w:val="000438E3"/>
    <w:rsid w:val="00052F07"/>
    <w:rsid w:val="000535D3"/>
    <w:rsid w:val="00054B60"/>
    <w:rsid w:val="000E7788"/>
    <w:rsid w:val="000F5D6B"/>
    <w:rsid w:val="00100C2F"/>
    <w:rsid w:val="00117898"/>
    <w:rsid w:val="00127D59"/>
    <w:rsid w:val="00176F30"/>
    <w:rsid w:val="001D0CA9"/>
    <w:rsid w:val="001E2083"/>
    <w:rsid w:val="001F645C"/>
    <w:rsid w:val="0021793C"/>
    <w:rsid w:val="0022371C"/>
    <w:rsid w:val="002357FC"/>
    <w:rsid w:val="00242B89"/>
    <w:rsid w:val="00260831"/>
    <w:rsid w:val="00264936"/>
    <w:rsid w:val="00284101"/>
    <w:rsid w:val="002C3BEB"/>
    <w:rsid w:val="00346689"/>
    <w:rsid w:val="0034679E"/>
    <w:rsid w:val="00366425"/>
    <w:rsid w:val="00371F6B"/>
    <w:rsid w:val="003D2C82"/>
    <w:rsid w:val="003D6357"/>
    <w:rsid w:val="004072F8"/>
    <w:rsid w:val="00423AA9"/>
    <w:rsid w:val="004271B5"/>
    <w:rsid w:val="004403D7"/>
    <w:rsid w:val="00456E0F"/>
    <w:rsid w:val="00473416"/>
    <w:rsid w:val="004A0D7C"/>
    <w:rsid w:val="004A7B5E"/>
    <w:rsid w:val="00525B34"/>
    <w:rsid w:val="00545B42"/>
    <w:rsid w:val="005816E6"/>
    <w:rsid w:val="005B03F0"/>
    <w:rsid w:val="005B6B1E"/>
    <w:rsid w:val="005D3E86"/>
    <w:rsid w:val="0062096F"/>
    <w:rsid w:val="00645977"/>
    <w:rsid w:val="00670689"/>
    <w:rsid w:val="006928AE"/>
    <w:rsid w:val="006B2EFF"/>
    <w:rsid w:val="006E77DD"/>
    <w:rsid w:val="006F47C5"/>
    <w:rsid w:val="007333A7"/>
    <w:rsid w:val="00762A9C"/>
    <w:rsid w:val="007773C2"/>
    <w:rsid w:val="0079562D"/>
    <w:rsid w:val="007A14BD"/>
    <w:rsid w:val="007A6EF8"/>
    <w:rsid w:val="007B45AE"/>
    <w:rsid w:val="007C24B5"/>
    <w:rsid w:val="007C4716"/>
    <w:rsid w:val="007C4F9D"/>
    <w:rsid w:val="007D7143"/>
    <w:rsid w:val="007F1327"/>
    <w:rsid w:val="007F5C45"/>
    <w:rsid w:val="008158F1"/>
    <w:rsid w:val="00834875"/>
    <w:rsid w:val="00835D86"/>
    <w:rsid w:val="00840B64"/>
    <w:rsid w:val="00855171"/>
    <w:rsid w:val="008D5BEE"/>
    <w:rsid w:val="0094537F"/>
    <w:rsid w:val="0096577B"/>
    <w:rsid w:val="00984DE0"/>
    <w:rsid w:val="009A1AA8"/>
    <w:rsid w:val="009B144C"/>
    <w:rsid w:val="009B3AC3"/>
    <w:rsid w:val="009D0F41"/>
    <w:rsid w:val="009F039C"/>
    <w:rsid w:val="009F7160"/>
    <w:rsid w:val="00A053B6"/>
    <w:rsid w:val="00A06B5D"/>
    <w:rsid w:val="00A06D81"/>
    <w:rsid w:val="00A16942"/>
    <w:rsid w:val="00A45BAC"/>
    <w:rsid w:val="00A63D75"/>
    <w:rsid w:val="00A97A9E"/>
    <w:rsid w:val="00AB6232"/>
    <w:rsid w:val="00AC7BF9"/>
    <w:rsid w:val="00AD0718"/>
    <w:rsid w:val="00AD2594"/>
    <w:rsid w:val="00AF36B8"/>
    <w:rsid w:val="00B05E24"/>
    <w:rsid w:val="00B24B93"/>
    <w:rsid w:val="00B75C51"/>
    <w:rsid w:val="00B86AFE"/>
    <w:rsid w:val="00BB42A5"/>
    <w:rsid w:val="00BB7107"/>
    <w:rsid w:val="00BE30A2"/>
    <w:rsid w:val="00C24D6A"/>
    <w:rsid w:val="00C31498"/>
    <w:rsid w:val="00C62EAB"/>
    <w:rsid w:val="00C86C38"/>
    <w:rsid w:val="00C93D5D"/>
    <w:rsid w:val="00CA4093"/>
    <w:rsid w:val="00CB6803"/>
    <w:rsid w:val="00CD1928"/>
    <w:rsid w:val="00CE004E"/>
    <w:rsid w:val="00D8633E"/>
    <w:rsid w:val="00D972F7"/>
    <w:rsid w:val="00DB5393"/>
    <w:rsid w:val="00DB6D30"/>
    <w:rsid w:val="00DD18D5"/>
    <w:rsid w:val="00E244A1"/>
    <w:rsid w:val="00E86299"/>
    <w:rsid w:val="00E8788A"/>
    <w:rsid w:val="00ED0CA4"/>
    <w:rsid w:val="00ED51C7"/>
    <w:rsid w:val="00EE20AF"/>
    <w:rsid w:val="00F06B82"/>
    <w:rsid w:val="00F20A3B"/>
    <w:rsid w:val="00F2410A"/>
    <w:rsid w:val="00F43C23"/>
    <w:rsid w:val="00F5044C"/>
    <w:rsid w:val="00F66719"/>
    <w:rsid w:val="00F709F1"/>
    <w:rsid w:val="00F740EB"/>
    <w:rsid w:val="00F7478E"/>
    <w:rsid w:val="00F778BC"/>
    <w:rsid w:val="00FA5A0E"/>
    <w:rsid w:val="00FD623F"/>
    <w:rsid w:val="00FE3982"/>
    <w:rsid w:val="00FE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A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70689"/>
    <w:pPr>
      <w:spacing w:after="0" w:line="240" w:lineRule="auto"/>
    </w:pPr>
    <w:rPr>
      <w:rFonts w:ascii="Times New Roman" w:eastAsia="Times New Roman" w:hAnsi="Times New Roman" w:cs="Times New Roman"/>
      <w:b/>
      <w:bCs/>
      <w:sz w:val="20"/>
      <w:szCs w:val="20"/>
      <w:lang w:val="en-US"/>
    </w:rPr>
  </w:style>
  <w:style w:type="paragraph" w:customStyle="1" w:styleId="Cmsor11">
    <w:name w:val="Címsor 11"/>
    <w:qFormat/>
    <w:rsid w:val="00670689"/>
    <w:pPr>
      <w:keepNext/>
      <w:outlineLvl w:val="0"/>
    </w:pPr>
    <w:rPr>
      <w:rFonts w:ascii="Helvetica" w:eastAsia="Arial Unicode MS" w:hAnsi="Helvetica"/>
      <w:b/>
      <w:color w:val="000000"/>
      <w:sz w:val="36"/>
    </w:rPr>
  </w:style>
  <w:style w:type="paragraph" w:styleId="EndnoteText">
    <w:name w:val="endnote text"/>
    <w:basedOn w:val="Normal"/>
    <w:link w:val="EndnoteTextChar"/>
    <w:uiPriority w:val="99"/>
    <w:semiHidden/>
    <w:unhideWhenUsed/>
    <w:rsid w:val="00BE3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0A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BE30A2"/>
    <w:rPr>
      <w:vertAlign w:val="superscript"/>
    </w:rPr>
  </w:style>
  <w:style w:type="paragraph" w:styleId="BalloonText">
    <w:name w:val="Balloon Text"/>
    <w:basedOn w:val="Normal"/>
    <w:link w:val="BalloonTextChar"/>
    <w:uiPriority w:val="99"/>
    <w:semiHidden/>
    <w:unhideWhenUsed/>
    <w:rsid w:val="00BE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0A2"/>
    <w:rPr>
      <w:rFonts w:ascii="Tahoma" w:eastAsiaTheme="minorHAnsi" w:hAnsi="Tahoma" w:cs="Tahoma"/>
      <w:sz w:val="16"/>
      <w:szCs w:val="16"/>
      <w:lang w:eastAsia="en-US"/>
    </w:rPr>
  </w:style>
  <w:style w:type="paragraph" w:styleId="ListParagraph">
    <w:name w:val="List Paragraph"/>
    <w:basedOn w:val="Normal"/>
    <w:uiPriority w:val="34"/>
    <w:qFormat/>
    <w:rsid w:val="00F709F1"/>
    <w:pPr>
      <w:ind w:left="720"/>
      <w:contextualSpacing/>
    </w:pPr>
  </w:style>
  <w:style w:type="character" w:styleId="Hyperlink">
    <w:name w:val="Hyperlink"/>
    <w:basedOn w:val="DefaultParagraphFont"/>
    <w:uiPriority w:val="99"/>
    <w:unhideWhenUsed/>
    <w:rsid w:val="00A06D81"/>
    <w:rPr>
      <w:color w:val="0000FF" w:themeColor="hyperlink"/>
      <w:u w:val="single"/>
    </w:rPr>
  </w:style>
  <w:style w:type="character" w:styleId="Emphasis">
    <w:name w:val="Emphasis"/>
    <w:basedOn w:val="DefaultParagraphFont"/>
    <w:uiPriority w:val="20"/>
    <w:qFormat/>
    <w:locked/>
    <w:rsid w:val="00A06D81"/>
    <w:rPr>
      <w:i/>
      <w:iCs/>
    </w:rPr>
  </w:style>
  <w:style w:type="character" w:styleId="FollowedHyperlink">
    <w:name w:val="FollowedHyperlink"/>
    <w:basedOn w:val="DefaultParagraphFont"/>
    <w:uiPriority w:val="99"/>
    <w:semiHidden/>
    <w:unhideWhenUsed/>
    <w:rsid w:val="0021793C"/>
    <w:rPr>
      <w:color w:val="800080" w:themeColor="followedHyperlink"/>
      <w:u w:val="single"/>
    </w:rPr>
  </w:style>
  <w:style w:type="paragraph" w:styleId="Header">
    <w:name w:val="header"/>
    <w:basedOn w:val="Normal"/>
    <w:link w:val="HeaderChar"/>
    <w:uiPriority w:val="99"/>
    <w:unhideWhenUsed/>
    <w:rsid w:val="0083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D8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3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D86"/>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9B1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44C"/>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9B144C"/>
    <w:rPr>
      <w:vertAlign w:val="superscript"/>
    </w:rPr>
  </w:style>
  <w:style w:type="character" w:customStyle="1" w:styleId="hps">
    <w:name w:val="hps"/>
    <w:basedOn w:val="DefaultParagraphFont"/>
    <w:rsid w:val="00AC7BF9"/>
  </w:style>
  <w:style w:type="character" w:styleId="CommentReference">
    <w:name w:val="annotation reference"/>
    <w:basedOn w:val="DefaultParagraphFont"/>
    <w:uiPriority w:val="99"/>
    <w:semiHidden/>
    <w:unhideWhenUsed/>
    <w:rsid w:val="00AB6232"/>
    <w:rPr>
      <w:sz w:val="16"/>
      <w:szCs w:val="16"/>
    </w:rPr>
  </w:style>
  <w:style w:type="paragraph" w:styleId="CommentText">
    <w:name w:val="annotation text"/>
    <w:basedOn w:val="Normal"/>
    <w:link w:val="CommentTextChar"/>
    <w:uiPriority w:val="99"/>
    <w:semiHidden/>
    <w:unhideWhenUsed/>
    <w:rsid w:val="00AB6232"/>
    <w:pPr>
      <w:spacing w:line="240" w:lineRule="auto"/>
    </w:pPr>
    <w:rPr>
      <w:sz w:val="20"/>
      <w:szCs w:val="20"/>
    </w:rPr>
  </w:style>
  <w:style w:type="character" w:customStyle="1" w:styleId="CommentTextChar">
    <w:name w:val="Comment Text Char"/>
    <w:basedOn w:val="DefaultParagraphFont"/>
    <w:link w:val="CommentText"/>
    <w:uiPriority w:val="99"/>
    <w:semiHidden/>
    <w:rsid w:val="00AB62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B6232"/>
    <w:rPr>
      <w:b/>
      <w:bCs/>
    </w:rPr>
  </w:style>
  <w:style w:type="character" w:customStyle="1" w:styleId="CommentSubjectChar">
    <w:name w:val="Comment Subject Char"/>
    <w:basedOn w:val="CommentTextChar"/>
    <w:link w:val="CommentSubject"/>
    <w:uiPriority w:val="99"/>
    <w:semiHidden/>
    <w:rsid w:val="00AB6232"/>
    <w:rPr>
      <w:rFonts w:asciiTheme="minorHAnsi" w:eastAsiaTheme="minorHAnsi" w:hAnsiTheme="minorHAnsi" w:cstheme="minorBidi"/>
      <w:b/>
      <w:bCs/>
      <w:lang w:eastAsia="en-US"/>
    </w:rPr>
  </w:style>
  <w:style w:type="paragraph" w:styleId="NoSpacing">
    <w:name w:val="No Spacing"/>
    <w:uiPriority w:val="1"/>
    <w:qFormat/>
    <w:rsid w:val="006E77DD"/>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A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70689"/>
    <w:pPr>
      <w:spacing w:after="0" w:line="240" w:lineRule="auto"/>
    </w:pPr>
    <w:rPr>
      <w:rFonts w:ascii="Times New Roman" w:eastAsia="Times New Roman" w:hAnsi="Times New Roman" w:cs="Times New Roman"/>
      <w:b/>
      <w:bCs/>
      <w:sz w:val="20"/>
      <w:szCs w:val="20"/>
      <w:lang w:val="en-US"/>
    </w:rPr>
  </w:style>
  <w:style w:type="paragraph" w:customStyle="1" w:styleId="Cmsor11">
    <w:name w:val="Címsor 11"/>
    <w:qFormat/>
    <w:rsid w:val="00670689"/>
    <w:pPr>
      <w:keepNext/>
      <w:outlineLvl w:val="0"/>
    </w:pPr>
    <w:rPr>
      <w:rFonts w:ascii="Helvetica" w:eastAsia="Arial Unicode MS" w:hAnsi="Helvetica"/>
      <w:b/>
      <w:color w:val="000000"/>
      <w:sz w:val="36"/>
    </w:rPr>
  </w:style>
  <w:style w:type="paragraph" w:styleId="EndnoteText">
    <w:name w:val="endnote text"/>
    <w:basedOn w:val="Normal"/>
    <w:link w:val="EndnoteTextChar"/>
    <w:uiPriority w:val="99"/>
    <w:semiHidden/>
    <w:unhideWhenUsed/>
    <w:rsid w:val="00BE3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0A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BE30A2"/>
    <w:rPr>
      <w:vertAlign w:val="superscript"/>
    </w:rPr>
  </w:style>
  <w:style w:type="paragraph" w:styleId="BalloonText">
    <w:name w:val="Balloon Text"/>
    <w:basedOn w:val="Normal"/>
    <w:link w:val="BalloonTextChar"/>
    <w:uiPriority w:val="99"/>
    <w:semiHidden/>
    <w:unhideWhenUsed/>
    <w:rsid w:val="00BE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0A2"/>
    <w:rPr>
      <w:rFonts w:ascii="Tahoma" w:eastAsiaTheme="minorHAnsi" w:hAnsi="Tahoma" w:cs="Tahoma"/>
      <w:sz w:val="16"/>
      <w:szCs w:val="16"/>
      <w:lang w:eastAsia="en-US"/>
    </w:rPr>
  </w:style>
  <w:style w:type="paragraph" w:styleId="ListParagraph">
    <w:name w:val="List Paragraph"/>
    <w:basedOn w:val="Normal"/>
    <w:uiPriority w:val="34"/>
    <w:qFormat/>
    <w:rsid w:val="00F709F1"/>
    <w:pPr>
      <w:ind w:left="720"/>
      <w:contextualSpacing/>
    </w:pPr>
  </w:style>
  <w:style w:type="character" w:styleId="Hyperlink">
    <w:name w:val="Hyperlink"/>
    <w:basedOn w:val="DefaultParagraphFont"/>
    <w:uiPriority w:val="99"/>
    <w:unhideWhenUsed/>
    <w:rsid w:val="00A06D81"/>
    <w:rPr>
      <w:color w:val="0000FF" w:themeColor="hyperlink"/>
      <w:u w:val="single"/>
    </w:rPr>
  </w:style>
  <w:style w:type="character" w:styleId="Emphasis">
    <w:name w:val="Emphasis"/>
    <w:basedOn w:val="DefaultParagraphFont"/>
    <w:uiPriority w:val="20"/>
    <w:qFormat/>
    <w:locked/>
    <w:rsid w:val="00A06D81"/>
    <w:rPr>
      <w:i/>
      <w:iCs/>
    </w:rPr>
  </w:style>
  <w:style w:type="character" w:styleId="FollowedHyperlink">
    <w:name w:val="FollowedHyperlink"/>
    <w:basedOn w:val="DefaultParagraphFont"/>
    <w:uiPriority w:val="99"/>
    <w:semiHidden/>
    <w:unhideWhenUsed/>
    <w:rsid w:val="0021793C"/>
    <w:rPr>
      <w:color w:val="800080" w:themeColor="followedHyperlink"/>
      <w:u w:val="single"/>
    </w:rPr>
  </w:style>
  <w:style w:type="paragraph" w:styleId="Header">
    <w:name w:val="header"/>
    <w:basedOn w:val="Normal"/>
    <w:link w:val="HeaderChar"/>
    <w:uiPriority w:val="99"/>
    <w:unhideWhenUsed/>
    <w:rsid w:val="0083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D8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3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D86"/>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9B1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44C"/>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9B144C"/>
    <w:rPr>
      <w:vertAlign w:val="superscript"/>
    </w:rPr>
  </w:style>
  <w:style w:type="character" w:customStyle="1" w:styleId="hps">
    <w:name w:val="hps"/>
    <w:basedOn w:val="DefaultParagraphFont"/>
    <w:rsid w:val="00AC7BF9"/>
  </w:style>
  <w:style w:type="character" w:styleId="CommentReference">
    <w:name w:val="annotation reference"/>
    <w:basedOn w:val="DefaultParagraphFont"/>
    <w:uiPriority w:val="99"/>
    <w:semiHidden/>
    <w:unhideWhenUsed/>
    <w:rsid w:val="00AB6232"/>
    <w:rPr>
      <w:sz w:val="16"/>
      <w:szCs w:val="16"/>
    </w:rPr>
  </w:style>
  <w:style w:type="paragraph" w:styleId="CommentText">
    <w:name w:val="annotation text"/>
    <w:basedOn w:val="Normal"/>
    <w:link w:val="CommentTextChar"/>
    <w:uiPriority w:val="99"/>
    <w:semiHidden/>
    <w:unhideWhenUsed/>
    <w:rsid w:val="00AB6232"/>
    <w:pPr>
      <w:spacing w:line="240" w:lineRule="auto"/>
    </w:pPr>
    <w:rPr>
      <w:sz w:val="20"/>
      <w:szCs w:val="20"/>
    </w:rPr>
  </w:style>
  <w:style w:type="character" w:customStyle="1" w:styleId="CommentTextChar">
    <w:name w:val="Comment Text Char"/>
    <w:basedOn w:val="DefaultParagraphFont"/>
    <w:link w:val="CommentText"/>
    <w:uiPriority w:val="99"/>
    <w:semiHidden/>
    <w:rsid w:val="00AB62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B6232"/>
    <w:rPr>
      <w:b/>
      <w:bCs/>
    </w:rPr>
  </w:style>
  <w:style w:type="character" w:customStyle="1" w:styleId="CommentSubjectChar">
    <w:name w:val="Comment Subject Char"/>
    <w:basedOn w:val="CommentTextChar"/>
    <w:link w:val="CommentSubject"/>
    <w:uiPriority w:val="99"/>
    <w:semiHidden/>
    <w:rsid w:val="00AB6232"/>
    <w:rPr>
      <w:rFonts w:asciiTheme="minorHAnsi" w:eastAsiaTheme="minorHAnsi" w:hAnsiTheme="minorHAnsi" w:cstheme="minorBidi"/>
      <w:b/>
      <w:bCs/>
      <w:lang w:eastAsia="en-US"/>
    </w:rPr>
  </w:style>
  <w:style w:type="paragraph" w:styleId="NoSpacing">
    <w:name w:val="No Spacing"/>
    <w:uiPriority w:val="1"/>
    <w:qFormat/>
    <w:rsid w:val="006E77DD"/>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1237">
      <w:bodyDiv w:val="1"/>
      <w:marLeft w:val="0"/>
      <w:marRight w:val="0"/>
      <w:marTop w:val="0"/>
      <w:marBottom w:val="0"/>
      <w:divBdr>
        <w:top w:val="none" w:sz="0" w:space="0" w:color="auto"/>
        <w:left w:val="none" w:sz="0" w:space="0" w:color="auto"/>
        <w:bottom w:val="none" w:sz="0" w:space="0" w:color="auto"/>
        <w:right w:val="none" w:sz="0" w:space="0" w:color="auto"/>
      </w:divBdr>
      <w:divsChild>
        <w:div w:id="1956867030">
          <w:marLeft w:val="0"/>
          <w:marRight w:val="0"/>
          <w:marTop w:val="0"/>
          <w:marBottom w:val="0"/>
          <w:divBdr>
            <w:top w:val="none" w:sz="0" w:space="0" w:color="auto"/>
            <w:left w:val="none" w:sz="0" w:space="0" w:color="auto"/>
            <w:bottom w:val="none" w:sz="0" w:space="0" w:color="auto"/>
            <w:right w:val="none" w:sz="0" w:space="0" w:color="auto"/>
          </w:divBdr>
        </w:div>
        <w:div w:id="408960402">
          <w:marLeft w:val="0"/>
          <w:marRight w:val="0"/>
          <w:marTop w:val="0"/>
          <w:marBottom w:val="0"/>
          <w:divBdr>
            <w:top w:val="none" w:sz="0" w:space="0" w:color="auto"/>
            <w:left w:val="none" w:sz="0" w:space="0" w:color="auto"/>
            <w:bottom w:val="none" w:sz="0" w:space="0" w:color="auto"/>
            <w:right w:val="none" w:sz="0" w:space="0" w:color="auto"/>
          </w:divBdr>
        </w:div>
        <w:div w:id="839932686">
          <w:marLeft w:val="0"/>
          <w:marRight w:val="0"/>
          <w:marTop w:val="0"/>
          <w:marBottom w:val="0"/>
          <w:divBdr>
            <w:top w:val="none" w:sz="0" w:space="0" w:color="auto"/>
            <w:left w:val="none" w:sz="0" w:space="0" w:color="auto"/>
            <w:bottom w:val="none" w:sz="0" w:space="0" w:color="auto"/>
            <w:right w:val="none" w:sz="0" w:space="0" w:color="auto"/>
          </w:divBdr>
        </w:div>
        <w:div w:id="1151630626">
          <w:marLeft w:val="0"/>
          <w:marRight w:val="0"/>
          <w:marTop w:val="0"/>
          <w:marBottom w:val="0"/>
          <w:divBdr>
            <w:top w:val="none" w:sz="0" w:space="0" w:color="auto"/>
            <w:left w:val="none" w:sz="0" w:space="0" w:color="auto"/>
            <w:bottom w:val="none" w:sz="0" w:space="0" w:color="auto"/>
            <w:right w:val="none" w:sz="0" w:space="0" w:color="auto"/>
          </w:divBdr>
        </w:div>
      </w:divsChild>
    </w:div>
    <w:div w:id="8083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endnotes.xml.rels><?xml version="1.0" encoding="UTF-8" standalone="yes"?>
<Relationships xmlns="http://schemas.openxmlformats.org/package/2006/relationships"><Relationship Id="rId3" Type="http://schemas.openxmlformats.org/officeDocument/2006/relationships/hyperlink" Target="http://ati.publishwhatyoufund.org/wp-content/uploads/2013/10/2013-Aid-Transparency-Index.pdf" TargetMode="External"/><Relationship Id="rId2" Type="http://schemas.openxmlformats.org/officeDocument/2006/relationships/hyperlink" Target="http://www.oecd.org/dac/aidstatistics/internationaldevelopmentstatisticsidsonlinedatabasesonaidandotherresourceflows.htm" TargetMode="External"/><Relationship Id="rId1" Type="http://schemas.openxmlformats.org/officeDocument/2006/relationships/hyperlink" Target="http://ec.europa.eu/europeaid/work/funding/beneficiaries/index.cfm?lang=en" TargetMode="External"/><Relationship Id="rId5" Type="http://schemas.openxmlformats.org/officeDocument/2006/relationships/hyperlink" Target="http://www.radio.cz/en/section/one-on-one/simon-panek-a-former-student-leader-remembers-the-drama-of-november-1989" TargetMode="External"/><Relationship Id="rId4" Type="http://schemas.openxmlformats.org/officeDocument/2006/relationships/hyperlink" Target="http://www.vlada.cz/scripts/detail.php?id=188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b.szent-ivanyi@aston.ac.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rvinus\AppData\Local\Temp\aa934803-73de-4c6a-a5f9-aca67846fcdc.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5262874360275381E-2"/>
          <c:y val="5.134843020067334E-2"/>
          <c:w val="0.61395603674540744"/>
          <c:h val="0.7827803295421405"/>
        </c:manualLayout>
      </c:layout>
      <c:lineChart>
        <c:grouping val="standard"/>
        <c:varyColors val="0"/>
        <c:ser>
          <c:idx val="1"/>
          <c:order val="0"/>
          <c:tx>
            <c:strRef>
              <c:f>'OECD.Stat export'!$A$21</c:f>
              <c:strCache>
                <c:ptCount val="1"/>
                <c:pt idx="0">
                  <c:v>Czech Republic</c:v>
                </c:pt>
              </c:strCache>
            </c:strRef>
          </c:tx>
          <c:marker>
            <c:symbol val="none"/>
          </c:marker>
          <c:cat>
            <c:numRef>
              <c:f>'OECD.Stat export'!$B$20:$M$20</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'OECD.Stat export'!$B$21:$M$21</c:f>
              <c:numCache>
                <c:formatCode>General</c:formatCode>
                <c:ptCount val="12"/>
                <c:pt idx="0">
                  <c:v>59.379999999999995</c:v>
                </c:pt>
                <c:pt idx="1">
                  <c:v>85.410000000000025</c:v>
                </c:pt>
                <c:pt idx="2">
                  <c:v>144.99</c:v>
                </c:pt>
                <c:pt idx="3">
                  <c:v>152.22999999999999</c:v>
                </c:pt>
                <c:pt idx="4">
                  <c:v>177.76</c:v>
                </c:pt>
                <c:pt idx="5">
                  <c:v>198.44</c:v>
                </c:pt>
                <c:pt idx="6">
                  <c:v>191.85000000000008</c:v>
                </c:pt>
                <c:pt idx="7">
                  <c:v>224.23</c:v>
                </c:pt>
                <c:pt idx="8">
                  <c:v>206.73999999999998</c:v>
                </c:pt>
                <c:pt idx="9">
                  <c:v>223.7</c:v>
                </c:pt>
                <c:pt idx="10">
                  <c:v>230.22</c:v>
                </c:pt>
                <c:pt idx="11">
                  <c:v>219.63</c:v>
                </c:pt>
              </c:numCache>
            </c:numRef>
          </c:val>
          <c:smooth val="0"/>
        </c:ser>
        <c:ser>
          <c:idx val="2"/>
          <c:order val="1"/>
          <c:tx>
            <c:strRef>
              <c:f>'OECD.Stat export'!$A$22</c:f>
              <c:strCache>
                <c:ptCount val="1"/>
                <c:pt idx="0">
                  <c:v>Hungary</c:v>
                </c:pt>
              </c:strCache>
            </c:strRef>
          </c:tx>
          <c:spPr>
            <a:ln>
              <a:solidFill>
                <a:sysClr val="windowText" lastClr="000000"/>
              </a:solidFill>
            </a:ln>
          </c:spPr>
          <c:marker>
            <c:symbol val="none"/>
          </c:marker>
          <c:cat>
            <c:numRef>
              <c:f>'OECD.Stat export'!$B$20:$M$20</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'OECD.Stat export'!$B$22:$M$22</c:f>
              <c:numCache>
                <c:formatCode>General</c:formatCode>
                <c:ptCount val="12"/>
                <c:pt idx="2">
                  <c:v>29.47</c:v>
                </c:pt>
                <c:pt idx="3">
                  <c:v>83.57</c:v>
                </c:pt>
                <c:pt idx="4">
                  <c:v>114.91000000000004</c:v>
                </c:pt>
                <c:pt idx="5">
                  <c:v>174.38000000000008</c:v>
                </c:pt>
                <c:pt idx="6">
                  <c:v>99.88</c:v>
                </c:pt>
                <c:pt idx="7">
                  <c:v>93.79</c:v>
                </c:pt>
                <c:pt idx="8">
                  <c:v>113.59</c:v>
                </c:pt>
                <c:pt idx="9">
                  <c:v>111.92</c:v>
                </c:pt>
                <c:pt idx="10">
                  <c:v>128.88000000000008</c:v>
                </c:pt>
                <c:pt idx="11">
                  <c:v>118.38</c:v>
                </c:pt>
              </c:numCache>
            </c:numRef>
          </c:val>
          <c:smooth val="0"/>
        </c:ser>
        <c:dLbls>
          <c:showLegendKey val="0"/>
          <c:showVal val="0"/>
          <c:showCatName val="0"/>
          <c:showSerName val="0"/>
          <c:showPercent val="0"/>
          <c:showBubbleSize val="0"/>
        </c:dLbls>
        <c:marker val="1"/>
        <c:smooth val="0"/>
        <c:axId val="79444608"/>
        <c:axId val="79469568"/>
      </c:lineChart>
      <c:catAx>
        <c:axId val="79444608"/>
        <c:scaling>
          <c:orientation val="minMax"/>
        </c:scaling>
        <c:delete val="0"/>
        <c:axPos val="b"/>
        <c:numFmt formatCode="General" sourceLinked="1"/>
        <c:majorTickMark val="out"/>
        <c:minorTickMark val="none"/>
        <c:tickLblPos val="nextTo"/>
        <c:crossAx val="79469568"/>
        <c:crosses val="autoZero"/>
        <c:auto val="1"/>
        <c:lblAlgn val="ctr"/>
        <c:lblOffset val="100"/>
        <c:noMultiLvlLbl val="0"/>
      </c:catAx>
      <c:valAx>
        <c:axId val="79469568"/>
        <c:scaling>
          <c:orientation val="minMax"/>
        </c:scaling>
        <c:delete val="0"/>
        <c:axPos val="l"/>
        <c:majorGridlines/>
        <c:numFmt formatCode="General" sourceLinked="1"/>
        <c:majorTickMark val="out"/>
        <c:minorTickMark val="none"/>
        <c:tickLblPos val="nextTo"/>
        <c:crossAx val="79444608"/>
        <c:crosses val="autoZero"/>
        <c:crossBetween val="between"/>
      </c:valAx>
    </c:plotArea>
    <c:legend>
      <c:legendPos val="r"/>
      <c:layout>
        <c:manualLayout>
          <c:xMode val="edge"/>
          <c:yMode val="edge"/>
          <c:x val="0.70043564379227219"/>
          <c:y val="0.32035387356392453"/>
          <c:w val="0.2763094425935847"/>
          <c:h val="0.3188348021179623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Munka1!$A$2</c:f>
              <c:strCache>
                <c:ptCount val="1"/>
                <c:pt idx="0">
                  <c:v>Czech Republic</c:v>
                </c:pt>
              </c:strCache>
            </c:strRef>
          </c:tx>
          <c:cat>
            <c:numRef>
              <c:f>Munka1!$B$1:$F$1</c:f>
              <c:numCache>
                <c:formatCode>General</c:formatCode>
                <c:ptCount val="5"/>
                <c:pt idx="0">
                  <c:v>2007</c:v>
                </c:pt>
                <c:pt idx="1">
                  <c:v>2008</c:v>
                </c:pt>
                <c:pt idx="2">
                  <c:v>2009</c:v>
                </c:pt>
                <c:pt idx="3">
                  <c:v>2010</c:v>
                </c:pt>
                <c:pt idx="4">
                  <c:v>2011</c:v>
                </c:pt>
              </c:numCache>
            </c:numRef>
          </c:cat>
          <c:val>
            <c:numRef>
              <c:f>Munka1!$B$2:$F$2</c:f>
              <c:numCache>
                <c:formatCode>General</c:formatCode>
                <c:ptCount val="5"/>
                <c:pt idx="0">
                  <c:v>4</c:v>
                </c:pt>
                <c:pt idx="1">
                  <c:v>5</c:v>
                </c:pt>
                <c:pt idx="2">
                  <c:v>7</c:v>
                </c:pt>
                <c:pt idx="3">
                  <c:v>11</c:v>
                </c:pt>
                <c:pt idx="4">
                  <c:v>7</c:v>
                </c:pt>
              </c:numCache>
            </c:numRef>
          </c:val>
          <c:smooth val="0"/>
        </c:ser>
        <c:ser>
          <c:idx val="1"/>
          <c:order val="1"/>
          <c:tx>
            <c:strRef>
              <c:f>Munka1!$A$3</c:f>
              <c:strCache>
                <c:ptCount val="1"/>
                <c:pt idx="0">
                  <c:v>Hungary</c:v>
                </c:pt>
              </c:strCache>
            </c:strRef>
          </c:tx>
          <c:cat>
            <c:numRef>
              <c:f>Munka1!$B$1:$F$1</c:f>
              <c:numCache>
                <c:formatCode>General</c:formatCode>
                <c:ptCount val="5"/>
                <c:pt idx="0">
                  <c:v>2007</c:v>
                </c:pt>
                <c:pt idx="1">
                  <c:v>2008</c:v>
                </c:pt>
                <c:pt idx="2">
                  <c:v>2009</c:v>
                </c:pt>
                <c:pt idx="3">
                  <c:v>2010</c:v>
                </c:pt>
                <c:pt idx="4">
                  <c:v>2011</c:v>
                </c:pt>
              </c:numCache>
            </c:numRef>
          </c:cat>
          <c:val>
            <c:numRef>
              <c:f>Munka1!$B$3:$F$3</c:f>
              <c:numCache>
                <c:formatCode>General</c:formatCode>
                <c:ptCount val="5"/>
                <c:pt idx="0">
                  <c:v>6</c:v>
                </c:pt>
                <c:pt idx="1">
                  <c:v>2</c:v>
                </c:pt>
                <c:pt idx="2">
                  <c:v>1</c:v>
                </c:pt>
                <c:pt idx="3">
                  <c:v>4</c:v>
                </c:pt>
                <c:pt idx="4">
                  <c:v>3</c:v>
                </c:pt>
              </c:numCache>
            </c:numRef>
          </c:val>
          <c:smooth val="0"/>
        </c:ser>
        <c:ser>
          <c:idx val="2"/>
          <c:order val="2"/>
          <c:tx>
            <c:strRef>
              <c:f>Munka1!$A$4</c:f>
              <c:strCache>
                <c:ptCount val="1"/>
                <c:pt idx="0">
                  <c:v>Slovakia</c:v>
                </c:pt>
              </c:strCache>
            </c:strRef>
          </c:tx>
          <c:cat>
            <c:numRef>
              <c:f>Munka1!$B$1:$F$1</c:f>
              <c:numCache>
                <c:formatCode>General</c:formatCode>
                <c:ptCount val="5"/>
                <c:pt idx="0">
                  <c:v>2007</c:v>
                </c:pt>
                <c:pt idx="1">
                  <c:v>2008</c:v>
                </c:pt>
                <c:pt idx="2">
                  <c:v>2009</c:v>
                </c:pt>
                <c:pt idx="3">
                  <c:v>2010</c:v>
                </c:pt>
                <c:pt idx="4">
                  <c:v>2011</c:v>
                </c:pt>
              </c:numCache>
            </c:numRef>
          </c:cat>
          <c:val>
            <c:numRef>
              <c:f>Munka1!$B$4:$F$4</c:f>
              <c:numCache>
                <c:formatCode>General</c:formatCode>
                <c:ptCount val="5"/>
                <c:pt idx="0">
                  <c:v>2</c:v>
                </c:pt>
                <c:pt idx="1">
                  <c:v>2</c:v>
                </c:pt>
                <c:pt idx="2">
                  <c:v>1</c:v>
                </c:pt>
                <c:pt idx="3">
                  <c:v>1</c:v>
                </c:pt>
                <c:pt idx="4">
                  <c:v>0</c:v>
                </c:pt>
              </c:numCache>
            </c:numRef>
          </c:val>
          <c:smooth val="0"/>
        </c:ser>
        <c:ser>
          <c:idx val="3"/>
          <c:order val="3"/>
          <c:tx>
            <c:strRef>
              <c:f>Munka1!$A$5</c:f>
              <c:strCache>
                <c:ptCount val="1"/>
                <c:pt idx="0">
                  <c:v>Slovenia</c:v>
                </c:pt>
              </c:strCache>
            </c:strRef>
          </c:tx>
          <c:cat>
            <c:numRef>
              <c:f>Munka1!$B$1:$F$1</c:f>
              <c:numCache>
                <c:formatCode>General</c:formatCode>
                <c:ptCount val="5"/>
                <c:pt idx="0">
                  <c:v>2007</c:v>
                </c:pt>
                <c:pt idx="1">
                  <c:v>2008</c:v>
                </c:pt>
                <c:pt idx="2">
                  <c:v>2009</c:v>
                </c:pt>
                <c:pt idx="3">
                  <c:v>2010</c:v>
                </c:pt>
                <c:pt idx="4">
                  <c:v>2011</c:v>
                </c:pt>
              </c:numCache>
            </c:numRef>
          </c:cat>
          <c:val>
            <c:numRef>
              <c:f>Munka1!$B$5:$F$5</c:f>
              <c:numCache>
                <c:formatCode>General</c:formatCode>
                <c:ptCount val="5"/>
                <c:pt idx="0">
                  <c:v>3</c:v>
                </c:pt>
                <c:pt idx="1">
                  <c:v>2</c:v>
                </c:pt>
                <c:pt idx="2">
                  <c:v>2</c:v>
                </c:pt>
                <c:pt idx="3">
                  <c:v>3</c:v>
                </c:pt>
                <c:pt idx="4">
                  <c:v>2</c:v>
                </c:pt>
              </c:numCache>
            </c:numRef>
          </c:val>
          <c:smooth val="0"/>
        </c:ser>
        <c:ser>
          <c:idx val="4"/>
          <c:order val="4"/>
          <c:tx>
            <c:strRef>
              <c:f>Munka1!$A$6</c:f>
              <c:strCache>
                <c:ptCount val="1"/>
                <c:pt idx="0">
                  <c:v>Poland</c:v>
                </c:pt>
              </c:strCache>
            </c:strRef>
          </c:tx>
          <c:cat>
            <c:numRef>
              <c:f>Munka1!$B$1:$F$1</c:f>
              <c:numCache>
                <c:formatCode>General</c:formatCode>
                <c:ptCount val="5"/>
                <c:pt idx="0">
                  <c:v>2007</c:v>
                </c:pt>
                <c:pt idx="1">
                  <c:v>2008</c:v>
                </c:pt>
                <c:pt idx="2">
                  <c:v>2009</c:v>
                </c:pt>
                <c:pt idx="3">
                  <c:v>2010</c:v>
                </c:pt>
                <c:pt idx="4">
                  <c:v>2011</c:v>
                </c:pt>
              </c:numCache>
            </c:numRef>
          </c:cat>
          <c:val>
            <c:numRef>
              <c:f>Munka1!$B$6:$F$6</c:f>
              <c:numCache>
                <c:formatCode>General</c:formatCode>
                <c:ptCount val="5"/>
                <c:pt idx="0">
                  <c:v>12</c:v>
                </c:pt>
                <c:pt idx="1">
                  <c:v>6</c:v>
                </c:pt>
                <c:pt idx="2">
                  <c:v>4</c:v>
                </c:pt>
                <c:pt idx="3">
                  <c:v>2</c:v>
                </c:pt>
                <c:pt idx="4">
                  <c:v>3</c:v>
                </c:pt>
              </c:numCache>
            </c:numRef>
          </c:val>
          <c:smooth val="0"/>
        </c:ser>
        <c:dLbls>
          <c:showLegendKey val="0"/>
          <c:showVal val="0"/>
          <c:showCatName val="0"/>
          <c:showSerName val="0"/>
          <c:showPercent val="0"/>
          <c:showBubbleSize val="0"/>
        </c:dLbls>
        <c:marker val="1"/>
        <c:smooth val="0"/>
        <c:axId val="116085120"/>
        <c:axId val="116088192"/>
      </c:lineChart>
      <c:catAx>
        <c:axId val="116085120"/>
        <c:scaling>
          <c:orientation val="minMax"/>
        </c:scaling>
        <c:delete val="0"/>
        <c:axPos val="b"/>
        <c:numFmt formatCode="General" sourceLinked="1"/>
        <c:majorTickMark val="out"/>
        <c:minorTickMark val="none"/>
        <c:tickLblPos val="nextTo"/>
        <c:crossAx val="116088192"/>
        <c:crosses val="autoZero"/>
        <c:auto val="1"/>
        <c:lblAlgn val="ctr"/>
        <c:lblOffset val="100"/>
        <c:noMultiLvlLbl val="0"/>
      </c:catAx>
      <c:valAx>
        <c:axId val="116088192"/>
        <c:scaling>
          <c:orientation val="minMax"/>
        </c:scaling>
        <c:delete val="0"/>
        <c:axPos val="l"/>
        <c:majorGridlines/>
        <c:numFmt formatCode="General" sourceLinked="1"/>
        <c:majorTickMark val="out"/>
        <c:minorTickMark val="none"/>
        <c:tickLblPos val="nextTo"/>
        <c:crossAx val="1160851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CF2D-1EE0-48F2-AA38-1994EC24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6910</Words>
  <Characters>39392</Characters>
  <Application>Microsoft Office Word</Application>
  <DocSecurity>0</DocSecurity>
  <Lines>328</Lines>
  <Paragraphs>92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Budapesti Corvinus Egyetem</Company>
  <LinksUpToDate>false</LinksUpToDate>
  <CharactersWithSpaces>46210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dc:creator>
  <cp:lastModifiedBy>Balazs Szent-Ivanyi</cp:lastModifiedBy>
  <cp:revision>4</cp:revision>
  <dcterms:created xsi:type="dcterms:W3CDTF">2014-10-30T09:14:00Z</dcterms:created>
  <dcterms:modified xsi:type="dcterms:W3CDTF">2014-10-30T09:24:00Z</dcterms:modified>
</cp:coreProperties>
</file>