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E7" w:rsidRPr="00E526E7" w:rsidRDefault="00E526E7" w:rsidP="00E526E7">
      <w:pPr>
        <w:pStyle w:val="Felsorols"/>
        <w:numPr>
          <w:ilvl w:val="0"/>
          <w:numId w:val="0"/>
        </w:numPr>
        <w:rPr>
          <w:b/>
        </w:rPr>
      </w:pPr>
      <w:r w:rsidRPr="00E526E7">
        <w:rPr>
          <w:b/>
        </w:rPr>
        <w:t>The Europeanisation of Foreign Aid Policy. Slovenia and Latvia 1998-2010</w:t>
      </w:r>
    </w:p>
    <w:p w:rsidR="00416A8C" w:rsidRDefault="000B4F22" w:rsidP="00E526E7">
      <w:pPr>
        <w:pStyle w:val="Felsorols"/>
        <w:numPr>
          <w:ilvl w:val="0"/>
          <w:numId w:val="0"/>
        </w:numPr>
      </w:pPr>
      <w:proofErr w:type="spellStart"/>
      <w:r>
        <w:t>Peteris</w:t>
      </w:r>
      <w:proofErr w:type="spellEnd"/>
      <w:r>
        <w:t xml:space="preserve"> Timofejevs Henriksson</w:t>
      </w:r>
    </w:p>
    <w:p w:rsidR="000B4F22" w:rsidRDefault="000B4F22" w:rsidP="000B4F22">
      <w:pPr>
        <w:pStyle w:val="Felsorols"/>
        <w:numPr>
          <w:ilvl w:val="0"/>
          <w:numId w:val="0"/>
        </w:numPr>
      </w:pPr>
      <w:proofErr w:type="spellStart"/>
      <w:r>
        <w:t>Ume</w:t>
      </w:r>
      <w:r w:rsidR="00750466">
        <w:t>å</w:t>
      </w:r>
      <w:proofErr w:type="spellEnd"/>
      <w:r w:rsidR="00E526E7">
        <w:t xml:space="preserve">, </w:t>
      </w:r>
      <w:proofErr w:type="spellStart"/>
      <w:r w:rsidR="00E526E7">
        <w:t>Ume</w:t>
      </w:r>
      <w:r w:rsidR="00750466">
        <w:t>å</w:t>
      </w:r>
      <w:proofErr w:type="spellEnd"/>
      <w:r>
        <w:t xml:space="preserve"> University Department of Political Science, 2013</w:t>
      </w:r>
    </w:p>
    <w:p w:rsidR="000B4F22" w:rsidRDefault="000B4F22" w:rsidP="000B4F22">
      <w:pPr>
        <w:pStyle w:val="Felsorols"/>
        <w:numPr>
          <w:ilvl w:val="0"/>
          <w:numId w:val="0"/>
        </w:numPr>
      </w:pPr>
      <w:r>
        <w:t>ISBN: 978-91-7459-716-5</w:t>
      </w:r>
    </w:p>
    <w:p w:rsidR="000B4F22" w:rsidRDefault="000B4F22" w:rsidP="000B4F22">
      <w:pPr>
        <w:pStyle w:val="Felsorols"/>
        <w:numPr>
          <w:ilvl w:val="0"/>
          <w:numId w:val="0"/>
        </w:numPr>
      </w:pPr>
    </w:p>
    <w:p w:rsidR="00E526E7" w:rsidRDefault="00E526E7" w:rsidP="00B64949">
      <w:pPr>
        <w:pStyle w:val="Felsorols"/>
        <w:numPr>
          <w:ilvl w:val="0"/>
          <w:numId w:val="0"/>
        </w:numPr>
        <w:jc w:val="both"/>
      </w:pPr>
      <w:r>
        <w:t>The</w:t>
      </w:r>
      <w:r w:rsidR="000B4F22">
        <w:t xml:space="preserve"> ten</w:t>
      </w:r>
      <w:r>
        <w:t xml:space="preserve"> year</w:t>
      </w:r>
      <w:r w:rsidR="000B4F22">
        <w:t xml:space="preserve"> anniversary of the EU’s ‘big bang’</w:t>
      </w:r>
      <w:r>
        <w:t xml:space="preserve"> Eastern enlargement has prompted </w:t>
      </w:r>
      <w:r w:rsidR="000B4F22">
        <w:t xml:space="preserve">many scholars and policy practitioners </w:t>
      </w:r>
      <w:r>
        <w:t xml:space="preserve">to ask questions related to the net effect </w:t>
      </w:r>
      <w:r w:rsidR="00FD0FB5">
        <w:t xml:space="preserve">of </w:t>
      </w:r>
      <w:r>
        <w:t xml:space="preserve">accession on the region. One often overlooked </w:t>
      </w:r>
      <w:r w:rsidR="00FD0FB5">
        <w:t>policy area</w:t>
      </w:r>
      <w:r>
        <w:t xml:space="preserve"> </w:t>
      </w:r>
      <w:r w:rsidR="00FD0FB5">
        <w:t xml:space="preserve">in these exercises </w:t>
      </w:r>
      <w:r>
        <w:t>is international development (or foreign aid)</w:t>
      </w:r>
      <w:r w:rsidR="00FD0FB5">
        <w:t xml:space="preserve"> policy</w:t>
      </w:r>
      <w:r>
        <w:t xml:space="preserve">. Most scholars agree that </w:t>
      </w:r>
      <w:r w:rsidR="00FD0FB5">
        <w:t xml:space="preserve">the </w:t>
      </w:r>
      <w:r>
        <w:t xml:space="preserve">EU played a key role in </w:t>
      </w:r>
      <w:r w:rsidR="00FD0FB5">
        <w:t>pushing</w:t>
      </w:r>
      <w:r>
        <w:t xml:space="preserve"> the East Central European </w:t>
      </w:r>
      <w:r w:rsidR="00C30052">
        <w:t xml:space="preserve">(ECE) </w:t>
      </w:r>
      <w:r>
        <w:t xml:space="preserve">countries </w:t>
      </w:r>
      <w:r w:rsidR="00FD0FB5">
        <w:t xml:space="preserve">to </w:t>
      </w:r>
      <w:r>
        <w:t xml:space="preserve">start </w:t>
      </w:r>
      <w:r w:rsidR="00FD0FB5">
        <w:t>(or in some cases re</w:t>
      </w:r>
      <w:r w:rsidR="00A479A6">
        <w:t>-</w:t>
      </w:r>
      <w:r w:rsidR="00FD0FB5">
        <w:t xml:space="preserve">start) their </w:t>
      </w:r>
      <w:r>
        <w:t>international development policies</w:t>
      </w:r>
      <w:r w:rsidR="004F254B">
        <w:t xml:space="preserve"> </w:t>
      </w:r>
      <w:r w:rsidR="00FD0FB5">
        <w:t xml:space="preserve">in the run-up to accession, and has thus successfully contributed to </w:t>
      </w:r>
      <w:r w:rsidR="004F254B">
        <w:t>turning the</w:t>
      </w:r>
      <w:r w:rsidR="00FD0FB5">
        <w:t xml:space="preserve">se countries </w:t>
      </w:r>
      <w:r w:rsidR="004F254B">
        <w:t>from recipients of aid into donors. B</w:t>
      </w:r>
      <w:r>
        <w:t>ut</w:t>
      </w:r>
      <w:r w:rsidR="004F254B">
        <w:t>,</w:t>
      </w:r>
      <w:r>
        <w:t xml:space="preserve"> there is less agreement on the </w:t>
      </w:r>
      <w:r w:rsidR="00FD0FB5">
        <w:t xml:space="preserve">impact </w:t>
      </w:r>
      <w:r w:rsidR="00A479A6">
        <w:t>of the</w:t>
      </w:r>
      <w:r>
        <w:t xml:space="preserve"> Community </w:t>
      </w:r>
      <w:r w:rsidR="00FD0FB5">
        <w:t xml:space="preserve">on the evolution these policies have undergone in the decade after </w:t>
      </w:r>
      <w:r w:rsidR="00B64949">
        <w:t xml:space="preserve">the enlargement. The main dilemma </w:t>
      </w:r>
      <w:r w:rsidR="00A479A6">
        <w:t>relates</w:t>
      </w:r>
      <w:r w:rsidR="00B64949">
        <w:t xml:space="preserve"> to the fact that EU legislation in the field of international development is predominantly in the field of ‘soft law’, leaving the Commission little possibilities to foster compliance among </w:t>
      </w:r>
      <w:r w:rsidR="00B64949">
        <w:t>member</w:t>
      </w:r>
      <w:r w:rsidR="00C30052">
        <w:t xml:space="preserve"> states</w:t>
      </w:r>
      <w:r w:rsidR="00B64949">
        <w:t xml:space="preserve"> if the</w:t>
      </w:r>
      <w:r w:rsidR="00C30052">
        <w:t>y</w:t>
      </w:r>
      <w:r w:rsidR="00B64949">
        <w:t xml:space="preserve"> </w:t>
      </w:r>
      <w:r w:rsidR="00B64949">
        <w:t xml:space="preserve">have different priorities. </w:t>
      </w:r>
    </w:p>
    <w:p w:rsidR="00E526E7" w:rsidRDefault="00E526E7" w:rsidP="000B4F22">
      <w:pPr>
        <w:pStyle w:val="Felsorols"/>
        <w:numPr>
          <w:ilvl w:val="0"/>
          <w:numId w:val="0"/>
        </w:numPr>
      </w:pPr>
    </w:p>
    <w:p w:rsidR="001C1B80" w:rsidRDefault="00E526E7" w:rsidP="004C2FD7">
      <w:pPr>
        <w:pStyle w:val="Felsorols"/>
        <w:numPr>
          <w:ilvl w:val="0"/>
          <w:numId w:val="0"/>
        </w:numPr>
        <w:jc w:val="both"/>
      </w:pPr>
      <w:r w:rsidRPr="001C1B80">
        <w:rPr>
          <w:i/>
        </w:rPr>
        <w:t>The Europeanisation of Foreign Aid Policy</w:t>
      </w:r>
      <w:r w:rsidR="001C1B80">
        <w:t xml:space="preserve">, </w:t>
      </w:r>
      <w:proofErr w:type="spellStart"/>
      <w:r w:rsidR="001C1B80">
        <w:t>Peteris</w:t>
      </w:r>
      <w:proofErr w:type="spellEnd"/>
      <w:r w:rsidR="001C1B80">
        <w:t xml:space="preserve"> Timofejevs </w:t>
      </w:r>
      <w:proofErr w:type="spellStart"/>
      <w:r w:rsidR="001C1B80">
        <w:t>Henriksson’s</w:t>
      </w:r>
      <w:proofErr w:type="spellEnd"/>
      <w:r w:rsidR="001C1B80">
        <w:t xml:space="preserve"> PhD dissertation at the University of </w:t>
      </w:r>
      <w:proofErr w:type="spellStart"/>
      <w:r w:rsidR="001C1B80">
        <w:t>Ume</w:t>
      </w:r>
      <w:r w:rsidR="00750466">
        <w:t>å</w:t>
      </w:r>
      <w:proofErr w:type="spellEnd"/>
      <w:r w:rsidR="004F254B">
        <w:t>,</w:t>
      </w:r>
      <w:r w:rsidR="001C1B80">
        <w:t xml:space="preserve"> aims </w:t>
      </w:r>
      <w:r w:rsidR="001C1B80">
        <w:t>to</w:t>
      </w:r>
      <w:r>
        <w:t xml:space="preserve"> explore the role of the EU </w:t>
      </w:r>
      <w:r w:rsidR="001C1B80">
        <w:t xml:space="preserve">and domestic conditions </w:t>
      </w:r>
      <w:r>
        <w:t xml:space="preserve">in influencing </w:t>
      </w:r>
      <w:r w:rsidR="001C1B80">
        <w:t xml:space="preserve">the evolution of </w:t>
      </w:r>
      <w:r>
        <w:t xml:space="preserve">foreign aid policies in two 2004 accession countries, Slovenia and Latvia, both </w:t>
      </w:r>
      <w:r w:rsidR="004C2FD7">
        <w:t xml:space="preserve">in the </w:t>
      </w:r>
      <w:r>
        <w:t>pre</w:t>
      </w:r>
      <w:r w:rsidR="004C2FD7">
        <w:t>-</w:t>
      </w:r>
      <w:r>
        <w:t xml:space="preserve"> and post-accession</w:t>
      </w:r>
      <w:r w:rsidR="004C2FD7">
        <w:t xml:space="preserve"> periods</w:t>
      </w:r>
      <w:r>
        <w:t xml:space="preserve">. </w:t>
      </w:r>
      <w:r w:rsidR="001C1B80">
        <w:t>The</w:t>
      </w:r>
      <w:r w:rsidR="00A479A6">
        <w:t xml:space="preserve">se two countries offer excellent possibilities for an insightful comparative case study as there </w:t>
      </w:r>
      <w:r w:rsidR="001C1B80">
        <w:t xml:space="preserve">are </w:t>
      </w:r>
      <w:r w:rsidR="00A479A6">
        <w:t xml:space="preserve">both strong </w:t>
      </w:r>
      <w:r w:rsidR="001C1B80">
        <w:t>similarities</w:t>
      </w:r>
      <w:r w:rsidR="004C2FD7">
        <w:t>,</w:t>
      </w:r>
      <w:r w:rsidR="001C1B80">
        <w:t xml:space="preserve"> but also key differences between the</w:t>
      </w:r>
      <w:r w:rsidR="00A479A6">
        <w:t>m. B</w:t>
      </w:r>
      <w:r w:rsidR="004C2FD7">
        <w:t xml:space="preserve">oth </w:t>
      </w:r>
      <w:r w:rsidR="00A479A6">
        <w:t xml:space="preserve">of them </w:t>
      </w:r>
      <w:r w:rsidR="004C2FD7">
        <w:t xml:space="preserve">are new </w:t>
      </w:r>
      <w:r w:rsidR="00A479A6">
        <w:t xml:space="preserve">aid </w:t>
      </w:r>
      <w:r w:rsidR="004C2FD7">
        <w:t xml:space="preserve">donors without the burden of Communist-era policy legacies: unlike </w:t>
      </w:r>
      <w:r w:rsidR="00C30052">
        <w:t xml:space="preserve">other ECE </w:t>
      </w:r>
      <w:r w:rsidR="004C2FD7">
        <w:t xml:space="preserve">countries like </w:t>
      </w:r>
      <w:r w:rsidR="001C1B80">
        <w:t>Poland or Hungary</w:t>
      </w:r>
      <w:r w:rsidR="004C2FD7">
        <w:t xml:space="preserve">, </w:t>
      </w:r>
      <w:r w:rsidR="001C1B80">
        <w:t xml:space="preserve">Slovenia and Latvia only experienced contacts with the developing world indirectly, as parts of Yugoslavia and </w:t>
      </w:r>
      <w:r w:rsidR="004C2FD7">
        <w:t xml:space="preserve">the Soviet Union. They also faced similar </w:t>
      </w:r>
      <w:proofErr w:type="spellStart"/>
      <w:r w:rsidR="004C2FD7">
        <w:t>a</w:t>
      </w:r>
      <w:r w:rsidR="001C1B80">
        <w:t>daptational</w:t>
      </w:r>
      <w:proofErr w:type="spellEnd"/>
      <w:r w:rsidR="004C2FD7">
        <w:t xml:space="preserve"> pressure</w:t>
      </w:r>
      <w:r w:rsidR="00A479A6">
        <w:t>s</w:t>
      </w:r>
      <w:r w:rsidR="004C2FD7">
        <w:t xml:space="preserve"> from the EU</w:t>
      </w:r>
      <w:r w:rsidR="00A479A6">
        <w:t>, both before and after accession</w:t>
      </w:r>
      <w:r w:rsidR="004C2FD7">
        <w:t>. However, foreign aid policy outcomes seem to be rather different in the two countries in a sense that Slovenia has clearly placed a greater emphasis on the policy and has done more to approximate it</w:t>
      </w:r>
      <w:r w:rsidR="00A479A6">
        <w:t>s</w:t>
      </w:r>
      <w:r w:rsidR="004C2FD7">
        <w:t xml:space="preserve"> rules </w:t>
      </w:r>
      <w:r w:rsidR="00A479A6">
        <w:t xml:space="preserve">to those embodied </w:t>
      </w:r>
      <w:r w:rsidR="004C2FD7">
        <w:t xml:space="preserve">in the EU’s relevant </w:t>
      </w:r>
      <w:proofErr w:type="spellStart"/>
      <w:r w:rsidR="004C2FD7" w:rsidRPr="004C2FD7">
        <w:rPr>
          <w:i/>
        </w:rPr>
        <w:t>acquis</w:t>
      </w:r>
      <w:proofErr w:type="spellEnd"/>
      <w:r w:rsidR="004C2FD7">
        <w:t>.</w:t>
      </w:r>
    </w:p>
    <w:p w:rsidR="001C1B80" w:rsidRDefault="001C1B80" w:rsidP="000B4F22">
      <w:pPr>
        <w:pStyle w:val="Felsorols"/>
        <w:numPr>
          <w:ilvl w:val="0"/>
          <w:numId w:val="0"/>
        </w:numPr>
      </w:pPr>
    </w:p>
    <w:p w:rsidR="00E526E7" w:rsidRDefault="004C2FD7" w:rsidP="004B0BA2">
      <w:pPr>
        <w:pStyle w:val="Felsorols"/>
        <w:numPr>
          <w:ilvl w:val="0"/>
          <w:numId w:val="0"/>
        </w:numPr>
        <w:jc w:val="both"/>
      </w:pPr>
      <w:r>
        <w:t xml:space="preserve">The volume seeks to explain these different outcomes, and to do so it </w:t>
      </w:r>
      <w:r w:rsidR="001C1B80">
        <w:t xml:space="preserve">uses </w:t>
      </w:r>
      <w:r w:rsidR="00C30052">
        <w:t>a framework based on</w:t>
      </w:r>
      <w:r w:rsidR="001C1B80">
        <w:t xml:space="preserve"> </w:t>
      </w:r>
      <w:proofErr w:type="spellStart"/>
      <w:r w:rsidR="001C1B80">
        <w:t>Europeanis</w:t>
      </w:r>
      <w:r w:rsidR="00E526E7">
        <w:t>ation</w:t>
      </w:r>
      <w:proofErr w:type="spellEnd"/>
      <w:r w:rsidR="00A479A6">
        <w:t xml:space="preserve">. </w:t>
      </w:r>
      <w:r w:rsidR="00750466">
        <w:t xml:space="preserve">The concept of </w:t>
      </w:r>
      <w:r w:rsidR="00A479A6">
        <w:t>Europeanisation</w:t>
      </w:r>
      <w:r w:rsidR="00E526E7">
        <w:t xml:space="preserve"> </w:t>
      </w:r>
      <w:r w:rsidR="00A479A6">
        <w:t xml:space="preserve">has been </w:t>
      </w:r>
      <w:r w:rsidR="00E526E7">
        <w:t>call</w:t>
      </w:r>
      <w:r w:rsidR="00A479A6">
        <w:t>ed by some</w:t>
      </w:r>
      <w:r w:rsidR="00E526E7">
        <w:t xml:space="preserve"> ‘fashionable but useless’</w:t>
      </w:r>
      <w:r w:rsidR="00A479A6">
        <w:t xml:space="preserve">, especially for analysing </w:t>
      </w:r>
      <w:r w:rsidR="00E526E7">
        <w:t xml:space="preserve">foreign policy </w:t>
      </w:r>
      <w:r w:rsidR="00A479A6">
        <w:t xml:space="preserve">and </w:t>
      </w:r>
      <w:r w:rsidR="00E526E7">
        <w:t>related fields</w:t>
      </w:r>
      <w:r w:rsidR="00A479A6">
        <w:t xml:space="preserve"> (like international development)</w:t>
      </w:r>
      <w:r w:rsidR="00E526E7">
        <w:t xml:space="preserve">, </w:t>
      </w:r>
      <w:r w:rsidR="00122758">
        <w:t xml:space="preserve">but it </w:t>
      </w:r>
      <w:r w:rsidR="00E526E7">
        <w:t>seems to work rather well</w:t>
      </w:r>
      <w:r w:rsidR="00122758">
        <w:t xml:space="preserve"> in the case of this book</w:t>
      </w:r>
      <w:r w:rsidR="00E526E7">
        <w:t xml:space="preserve">. </w:t>
      </w:r>
      <w:r>
        <w:t xml:space="preserve">As both countries faced rather similar pressure from the EU, the different outcomes can be explained by differences </w:t>
      </w:r>
      <w:r w:rsidR="00122758">
        <w:t xml:space="preserve">in </w:t>
      </w:r>
      <w:r>
        <w:t xml:space="preserve">the domestic mediation of this pressure, and this is exactly what the monograph focuses on. </w:t>
      </w:r>
      <w:r w:rsidR="0049192C">
        <w:t xml:space="preserve">Out of the several approaches </w:t>
      </w:r>
      <w:r w:rsidR="00122758">
        <w:t xml:space="preserve">identified in the literature </w:t>
      </w:r>
      <w:r w:rsidR="0049192C">
        <w:t>to understanding and operationali</w:t>
      </w:r>
      <w:r w:rsidR="00122758">
        <w:t>s</w:t>
      </w:r>
      <w:r w:rsidR="0049192C">
        <w:t>ing the concept of Europeani</w:t>
      </w:r>
      <w:r w:rsidR="00A479A6">
        <w:t>s</w:t>
      </w:r>
      <w:r w:rsidR="0049192C">
        <w:t xml:space="preserve">ation, the volume adopts a rationalist-constructivist synthesis approach, and argues that cost-benefit analysis based on </w:t>
      </w:r>
      <w:proofErr w:type="gramStart"/>
      <w:r w:rsidR="0049192C">
        <w:t>a logic</w:t>
      </w:r>
      <w:proofErr w:type="gramEnd"/>
      <w:r w:rsidR="0049192C">
        <w:t xml:space="preserve"> of consequences, and social learning based on a logic of appropriateness are complementary, rather than competing explanations. Against this backdrop, the </w:t>
      </w:r>
      <w:r w:rsidR="00C30052">
        <w:t>volume</w:t>
      </w:r>
      <w:r w:rsidR="00122758">
        <w:t xml:space="preserve"> develops a set of variables based on both the rationalist and the constructivist literatures to explain the EU’s impact</w:t>
      </w:r>
      <w:r w:rsidR="00C30052">
        <w:t xml:space="preserve"> on international development policies</w:t>
      </w:r>
      <w:r w:rsidR="00122758">
        <w:t xml:space="preserve">. </w:t>
      </w:r>
    </w:p>
    <w:p w:rsidR="001C1B80" w:rsidRDefault="001C1B80" w:rsidP="000B4F22">
      <w:pPr>
        <w:pStyle w:val="Felsorols"/>
        <w:numPr>
          <w:ilvl w:val="0"/>
          <w:numId w:val="0"/>
        </w:numPr>
      </w:pPr>
    </w:p>
    <w:p w:rsidR="004B0BA2" w:rsidRDefault="00122758" w:rsidP="00D95D4A">
      <w:pPr>
        <w:pStyle w:val="Felsorols"/>
        <w:numPr>
          <w:ilvl w:val="0"/>
          <w:numId w:val="0"/>
        </w:numPr>
        <w:jc w:val="both"/>
      </w:pPr>
      <w:r>
        <w:t>This theoretical framework is implemented in careful detail in the two country case studies</w:t>
      </w:r>
      <w:r w:rsidR="00D95D4A">
        <w:t xml:space="preserve">, which </w:t>
      </w:r>
      <w:r w:rsidR="0049192C">
        <w:t>follow a p</w:t>
      </w:r>
      <w:r w:rsidR="00104FAB">
        <w:t>rocess tracing</w:t>
      </w:r>
      <w:r w:rsidR="0049192C">
        <w:t xml:space="preserve"> logic. </w:t>
      </w:r>
      <w:r w:rsidR="004B0BA2">
        <w:t>T</w:t>
      </w:r>
      <w:r w:rsidR="0049192C">
        <w:t>he in-depth description of international development policy making</w:t>
      </w:r>
      <w:r w:rsidR="004B0BA2">
        <w:t xml:space="preserve"> </w:t>
      </w:r>
      <w:r w:rsidR="004B0BA2">
        <w:lastRenderedPageBreak/>
        <w:t>processes</w:t>
      </w:r>
      <w:r w:rsidR="0049192C">
        <w:t xml:space="preserve">, embedded into wider foreign policy contexts is intriguing in both countries. </w:t>
      </w:r>
      <w:r w:rsidR="004B0BA2">
        <w:t xml:space="preserve">In fact, </w:t>
      </w:r>
      <w:r w:rsidR="0049192C">
        <w:t>I am not aware of any other contribution in the field which has gone into such</w:t>
      </w:r>
      <w:r w:rsidR="00D95D4A">
        <w:t xml:space="preserve"> rich and</w:t>
      </w:r>
      <w:r w:rsidR="0049192C">
        <w:t xml:space="preserve"> amazing detail. The volume goes to great pains</w:t>
      </w:r>
      <w:r w:rsidR="00D95D4A">
        <w:t xml:space="preserve"> however</w:t>
      </w:r>
      <w:r w:rsidR="0049192C">
        <w:t xml:space="preserve"> to make sure </w:t>
      </w:r>
      <w:r w:rsidR="004B0BA2">
        <w:t xml:space="preserve">that one is not lost in </w:t>
      </w:r>
      <w:r w:rsidR="00C30052">
        <w:t xml:space="preserve">these </w:t>
      </w:r>
      <w:r w:rsidR="004B0BA2">
        <w:t>details: frequent summaries and reiterations of partial findings make the main arguments easy to follow. The emerging conclusions are well supported by facts and thus convincing.</w:t>
      </w:r>
      <w:r w:rsidR="00D95D4A">
        <w:t xml:space="preserve"> </w:t>
      </w:r>
      <w:r w:rsidR="00AA1FD1">
        <w:t xml:space="preserve">The volume </w:t>
      </w:r>
      <w:r w:rsidR="00D95D4A">
        <w:t xml:space="preserve">basically </w:t>
      </w:r>
      <w:r w:rsidR="00AA1FD1">
        <w:t xml:space="preserve">argues that in the pre-accession phase, EU conditionality was vague and left a lot of room for countries to formulate their own approaches. Thus, the emerging policies and institutional constellations were rather heavily influenced by </w:t>
      </w:r>
      <w:r w:rsidR="00D95D4A">
        <w:t>Slovenia</w:t>
      </w:r>
      <w:r w:rsidR="00C30052">
        <w:t>’s</w:t>
      </w:r>
      <w:r w:rsidR="00D95D4A">
        <w:t xml:space="preserve"> and Latvia</w:t>
      </w:r>
      <w:r w:rsidR="00C30052">
        <w:t>’s</w:t>
      </w:r>
      <w:r w:rsidR="00AA1FD1">
        <w:t xml:space="preserve"> general identification with the EU and their historical contexts. In the post-accession phase</w:t>
      </w:r>
      <w:r w:rsidR="00D95D4A">
        <w:t xml:space="preserve"> however</w:t>
      </w:r>
      <w:r w:rsidR="00AA1FD1">
        <w:t xml:space="preserve">, with the EU’s ability to influence member state foreign aid policies severely decreased, the volume </w:t>
      </w:r>
      <w:r w:rsidR="00D95D4A">
        <w:t>stresses</w:t>
      </w:r>
      <w:r w:rsidR="00AA1FD1">
        <w:t xml:space="preserve"> that it is actually surprising that there was no </w:t>
      </w:r>
      <w:r w:rsidR="00C30052">
        <w:t>‘</w:t>
      </w:r>
      <w:r w:rsidR="00AA1FD1">
        <w:t>backsliding</w:t>
      </w:r>
      <w:r w:rsidR="00C30052">
        <w:t>’</w:t>
      </w:r>
      <w:r w:rsidR="00AA1FD1">
        <w:t xml:space="preserve"> in either country, and that reforms </w:t>
      </w:r>
      <w:r w:rsidR="00D95D4A">
        <w:t>continued</w:t>
      </w:r>
      <w:r w:rsidR="00AA1FD1">
        <w:t xml:space="preserve"> </w:t>
      </w:r>
      <w:r w:rsidR="00D95D4A">
        <w:t xml:space="preserve">to </w:t>
      </w:r>
      <w:r w:rsidR="00AA1FD1">
        <w:t xml:space="preserve">happen. </w:t>
      </w:r>
      <w:r w:rsidR="004B0BA2">
        <w:t>While the institutionali</w:t>
      </w:r>
      <w:r w:rsidR="00A479A6">
        <w:t>s</w:t>
      </w:r>
      <w:r w:rsidR="004B0BA2">
        <w:t xml:space="preserve">ation of international development policy was slow in both countries, and was not a political priority in either, Slovenia has been more successful in a </w:t>
      </w:r>
      <w:r w:rsidR="00C30052">
        <w:t>sense that in created a ‘</w:t>
      </w:r>
      <w:r w:rsidR="004B0BA2">
        <w:t>deeper</w:t>
      </w:r>
      <w:r w:rsidR="00C30052">
        <w:t>’</w:t>
      </w:r>
      <w:r w:rsidR="004B0BA2">
        <w:t xml:space="preserve"> institutional setting (p. 239) than Latvia did. In fact, with the large number of implementing agen</w:t>
      </w:r>
      <w:r w:rsidR="00C30052">
        <w:t>cies</w:t>
      </w:r>
      <w:r w:rsidR="004B0BA2">
        <w:t>, one can argue that Slovenia’s international developmen</w:t>
      </w:r>
      <w:r w:rsidR="00A479A6">
        <w:t>t policy is over-institutionalis</w:t>
      </w:r>
      <w:r w:rsidR="004B0BA2">
        <w:t>ed, leading to a constant need for consolidation and centrali</w:t>
      </w:r>
      <w:r w:rsidR="00A479A6">
        <w:t>s</w:t>
      </w:r>
      <w:r w:rsidR="004B0BA2">
        <w:t xml:space="preserve">ation, which so far has only happened partially. </w:t>
      </w:r>
      <w:r w:rsidR="00AA1FD1">
        <w:t xml:space="preserve">Latvia on the other hand still suffers from institutional limitations and capacity problems. Identification </w:t>
      </w:r>
      <w:r w:rsidR="00D95D4A">
        <w:t xml:space="preserve">and policy resonance </w:t>
      </w:r>
      <w:r w:rsidR="00AA1FD1">
        <w:t>were clearly important in the post-accession phase, but also the emergence of veto players and adjustment costs. The volume seems to imply that the differences in the self-identification of the two countries were the key variable explaining different policy outcomes</w:t>
      </w:r>
      <w:r w:rsidR="005B0B0F">
        <w:t xml:space="preserve">. Latvia seems to identify itself as a vulnerable economy and a poor country (p. 249), while Slovenia on the other </w:t>
      </w:r>
      <w:r w:rsidR="00D95D4A">
        <w:t xml:space="preserve">hand </w:t>
      </w:r>
      <w:r w:rsidR="005B0B0F">
        <w:t xml:space="preserve">increasingly sees itself as part of the West and a developed </w:t>
      </w:r>
      <w:r w:rsidR="00C30052">
        <w:t>nation</w:t>
      </w:r>
      <w:r w:rsidR="005B0B0F">
        <w:t>. Being developed includes the responsibility of providing aid to poorer countries</w:t>
      </w:r>
      <w:r w:rsidR="00D95D4A">
        <w:t>, and thus can be seen as an explanation for Slovenia’s better performance</w:t>
      </w:r>
      <w:r w:rsidR="005B0B0F">
        <w:t>.</w:t>
      </w:r>
    </w:p>
    <w:p w:rsidR="00AA1FD1" w:rsidRDefault="00AA1FD1" w:rsidP="000B4F22">
      <w:pPr>
        <w:pStyle w:val="Felsorols"/>
        <w:numPr>
          <w:ilvl w:val="0"/>
          <w:numId w:val="0"/>
        </w:numPr>
      </w:pPr>
    </w:p>
    <w:p w:rsidR="00AA1FD1" w:rsidRDefault="00AA1FD1" w:rsidP="00320269">
      <w:pPr>
        <w:pStyle w:val="Felsorols"/>
        <w:numPr>
          <w:ilvl w:val="0"/>
          <w:numId w:val="0"/>
        </w:numPr>
        <w:jc w:val="both"/>
      </w:pPr>
      <w:r>
        <w:t xml:space="preserve">The volume contributes to our understanding </w:t>
      </w:r>
      <w:r w:rsidR="005B0B0F">
        <w:t>of foreign aid policy</w:t>
      </w:r>
      <w:r>
        <w:t xml:space="preserve"> in the East Central European EU member states</w:t>
      </w:r>
      <w:r w:rsidR="005B0B0F">
        <w:t>. This may be a rather niche topic, but the volume also holds important lessons for scholars of the EU and those wishing to draw the balance of a decade long ECE membership. It shows how the EU can penetrate domestic policy making processes and goes to meticulous detail to prove tha</w:t>
      </w:r>
      <w:r w:rsidR="00827946">
        <w:t>t</w:t>
      </w:r>
      <w:r w:rsidR="005B0B0F">
        <w:t xml:space="preserve"> the EU can have impacts even in areas where there is very little </w:t>
      </w:r>
      <w:r w:rsidR="00827946">
        <w:t>binding legislation that member states must apply.</w:t>
      </w:r>
      <w:r w:rsidR="00320269">
        <w:t xml:space="preserve"> Much depends however on the domestic context of the members.</w:t>
      </w:r>
    </w:p>
    <w:p w:rsidR="004B0BA2" w:rsidRDefault="004B0BA2" w:rsidP="000B4F22">
      <w:pPr>
        <w:pStyle w:val="Felsorols"/>
        <w:numPr>
          <w:ilvl w:val="0"/>
          <w:numId w:val="0"/>
        </w:numPr>
      </w:pPr>
    </w:p>
    <w:p w:rsidR="000B4F22" w:rsidRDefault="000B4F22" w:rsidP="000B4F22">
      <w:pPr>
        <w:pStyle w:val="Felsorols"/>
        <w:numPr>
          <w:ilvl w:val="0"/>
          <w:numId w:val="0"/>
        </w:numPr>
      </w:pPr>
    </w:p>
    <w:p w:rsidR="000B4F22" w:rsidRDefault="000B4F22" w:rsidP="000B4F22">
      <w:pPr>
        <w:pStyle w:val="Felsorols"/>
        <w:numPr>
          <w:ilvl w:val="0"/>
          <w:numId w:val="0"/>
        </w:numPr>
      </w:pPr>
      <w:r>
        <w:t>Bal</w:t>
      </w:r>
      <w:r w:rsidR="00B9047F">
        <w:t>á</w:t>
      </w:r>
      <w:r>
        <w:t>zs Szent-Iv</w:t>
      </w:r>
      <w:r w:rsidR="00B9047F">
        <w:t>á</w:t>
      </w:r>
      <w:r>
        <w:t>nyi</w:t>
      </w:r>
    </w:p>
    <w:p w:rsidR="000B4F22" w:rsidRDefault="000B4F22" w:rsidP="000B4F22">
      <w:pPr>
        <w:pStyle w:val="Felsorols"/>
        <w:numPr>
          <w:ilvl w:val="0"/>
          <w:numId w:val="0"/>
        </w:numPr>
      </w:pPr>
      <w:r>
        <w:t>Ast</w:t>
      </w:r>
      <w:bookmarkStart w:id="0" w:name="_GoBack"/>
      <w:bookmarkEnd w:id="0"/>
      <w:r>
        <w:t>on University</w:t>
      </w:r>
      <w:r w:rsidR="00D95D4A">
        <w:t>, Birmingham,</w:t>
      </w:r>
      <w:r>
        <w:t xml:space="preserve"> and Corvinus University of Budapest</w:t>
      </w:r>
    </w:p>
    <w:sectPr w:rsidR="000B4F22" w:rsidSect="005E4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F0265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D347E"/>
    <w:multiLevelType w:val="hybridMultilevel"/>
    <w:tmpl w:val="A11E6B72"/>
    <w:lvl w:ilvl="0" w:tplc="E0A0E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characterSpacingControl w:val="doNotCompress"/>
  <w:compat/>
  <w:rsids>
    <w:rsidRoot w:val="000B4F22"/>
    <w:rsid w:val="000B4F22"/>
    <w:rsid w:val="00104FAB"/>
    <w:rsid w:val="00122758"/>
    <w:rsid w:val="001C1B80"/>
    <w:rsid w:val="00320269"/>
    <w:rsid w:val="00384123"/>
    <w:rsid w:val="0049192C"/>
    <w:rsid w:val="004B0BA2"/>
    <w:rsid w:val="004C2FD7"/>
    <w:rsid w:val="004F254B"/>
    <w:rsid w:val="00554CA4"/>
    <w:rsid w:val="005B0B0F"/>
    <w:rsid w:val="005E4C07"/>
    <w:rsid w:val="00702508"/>
    <w:rsid w:val="00750466"/>
    <w:rsid w:val="00827946"/>
    <w:rsid w:val="00A479A6"/>
    <w:rsid w:val="00AA1FD1"/>
    <w:rsid w:val="00B64949"/>
    <w:rsid w:val="00B9047F"/>
    <w:rsid w:val="00C30052"/>
    <w:rsid w:val="00C85326"/>
    <w:rsid w:val="00D95D4A"/>
    <w:rsid w:val="00E526E7"/>
    <w:rsid w:val="00ED7C0E"/>
    <w:rsid w:val="00FD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C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0B4F22"/>
    <w:pPr>
      <w:numPr>
        <w:numId w:val="1"/>
      </w:numPr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025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250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250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25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250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9"/>
    <w:unhideWhenUsed/>
    <w:rsid w:val="000B4F22"/>
    <w:pPr>
      <w:numPr>
        <w:numId w:val="1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25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250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250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250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250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2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840</Words>
  <Characters>5796</Characters>
  <Application>Microsoft Office Word</Application>
  <DocSecurity>0</DocSecurity>
  <Lines>48</Lines>
  <Paragraphs>13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Aston University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 Szent-Ivanyi</dc:creator>
  <cp:lastModifiedBy>Balazs</cp:lastModifiedBy>
  <cp:revision>5</cp:revision>
  <dcterms:created xsi:type="dcterms:W3CDTF">2014-11-13T16:23:00Z</dcterms:created>
  <dcterms:modified xsi:type="dcterms:W3CDTF">2014-11-14T12:34:00Z</dcterms:modified>
</cp:coreProperties>
</file>