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69DA2" w14:textId="77777777" w:rsidR="007D130B" w:rsidRDefault="007D130B" w:rsidP="00717870">
      <w:pPr>
        <w:pStyle w:val="Heading1"/>
        <w:rPr>
          <w:color w:val="auto"/>
        </w:rPr>
      </w:pPr>
      <w:bookmarkStart w:id="0" w:name="_Toc501028836"/>
      <w:bookmarkStart w:id="1" w:name="_GoBack"/>
      <w:bookmarkEnd w:id="1"/>
      <w:r w:rsidRPr="00A74220">
        <w:rPr>
          <w:color w:val="auto"/>
        </w:rPr>
        <w:t>Between Philosophy and Social Science: Harm and its Object in International Relations</w:t>
      </w:r>
      <w:bookmarkEnd w:id="0"/>
    </w:p>
    <w:p w14:paraId="020B9174" w14:textId="77777777" w:rsidR="00717870" w:rsidRDefault="00717870" w:rsidP="00717870">
      <w:pPr>
        <w:rPr>
          <w:sz w:val="28"/>
          <w:szCs w:val="28"/>
        </w:rPr>
      </w:pPr>
    </w:p>
    <w:p w14:paraId="7EDECFC8" w14:textId="43423A26" w:rsidR="00717870" w:rsidRDefault="00717870" w:rsidP="00717870">
      <w:pPr>
        <w:spacing w:after="0"/>
        <w:rPr>
          <w:sz w:val="28"/>
          <w:szCs w:val="28"/>
        </w:rPr>
      </w:pPr>
      <w:r>
        <w:rPr>
          <w:sz w:val="28"/>
          <w:szCs w:val="28"/>
        </w:rPr>
        <w:t>Alex Hoseason</w:t>
      </w:r>
      <w:r w:rsidR="000317F8">
        <w:rPr>
          <w:rStyle w:val="FootnoteReference"/>
          <w:sz w:val="28"/>
          <w:szCs w:val="28"/>
        </w:rPr>
        <w:footnoteReference w:id="1"/>
      </w:r>
    </w:p>
    <w:p w14:paraId="0F4BFE4C" w14:textId="67186BC5" w:rsidR="00717870" w:rsidRDefault="00717870" w:rsidP="00717870">
      <w:pPr>
        <w:spacing w:after="0"/>
        <w:rPr>
          <w:i/>
        </w:rPr>
      </w:pPr>
      <w:r w:rsidRPr="000317F8">
        <w:rPr>
          <w:i/>
        </w:rPr>
        <w:t>Teaching Associate, Aston University</w:t>
      </w:r>
    </w:p>
    <w:p w14:paraId="3ABFF3AB" w14:textId="77777777" w:rsidR="00554729" w:rsidRDefault="00554729" w:rsidP="00717870">
      <w:pPr>
        <w:spacing w:after="0"/>
        <w:rPr>
          <w:i/>
        </w:rPr>
      </w:pPr>
    </w:p>
    <w:p w14:paraId="70F3B2CC" w14:textId="4B4FDA08" w:rsidR="00554729" w:rsidRDefault="00662885" w:rsidP="00662885">
      <w:pPr>
        <w:pStyle w:val="Heading2"/>
      </w:pPr>
      <w:r>
        <w:t>Keywords</w:t>
      </w:r>
    </w:p>
    <w:p w14:paraId="3148A788" w14:textId="516C45A3" w:rsidR="00662885" w:rsidRPr="00662885" w:rsidRDefault="00662885" w:rsidP="00662885">
      <w:r>
        <w:t>IR Theory, Harm, Ontology, Philosophy of Science, Structure, Critical Realism</w:t>
      </w:r>
    </w:p>
    <w:p w14:paraId="708A3ED1" w14:textId="77777777" w:rsidR="007D130B" w:rsidRDefault="007D130B" w:rsidP="007D130B"/>
    <w:p w14:paraId="43D1F3D6" w14:textId="37AB895B" w:rsidR="00554729" w:rsidRDefault="00554729" w:rsidP="00554729">
      <w:pPr>
        <w:pStyle w:val="Heading2"/>
      </w:pPr>
      <w:r>
        <w:t>Abstract</w:t>
      </w:r>
    </w:p>
    <w:p w14:paraId="13BF945E" w14:textId="79F00EFA" w:rsidR="00554729" w:rsidRDefault="00554729" w:rsidP="00554729">
      <w:r>
        <w:t>As a discipline, IR returns repeatedly to the ‘problem of harm’; debating what harm is or should mean. Exploring the discipline through this lens allows us to understand it as contributing to a broader process of negotiation centred on harm as a principle of restraint. However, existing accounts of what harm means for IR are challenged by the scale and visibility of large-scale harm.</w:t>
      </w:r>
    </w:p>
    <w:p w14:paraId="6A4BD324" w14:textId="095042FE" w:rsidR="00554729" w:rsidRDefault="00554729" w:rsidP="00554729">
      <w:r>
        <w:t xml:space="preserve">This paper attempts to push beyond recent accounts of harm by Linklater and Mitchell by examining their respective framings of the relationship between harm and its explanation in </w:t>
      </w:r>
      <w:r>
        <w:lastRenderedPageBreak/>
        <w:t>IR. Building on their limitations, I propose a framework centred on arguments for ontological realism and structure as a focus for explanation. The resulting ontology sustains the concerns of both while a) more fully characterising the relationship between explanation and values in IR and b) providing a more adequate account of the role of abstraction.</w:t>
      </w:r>
    </w:p>
    <w:p w14:paraId="1BBBA907" w14:textId="65EC7135" w:rsidR="00554729" w:rsidRDefault="00554729" w:rsidP="00554729">
      <w:r>
        <w:t>In developing upon existing accounts, this paper seeks to provide a stronger ground for the analysis of harm in IR. More broadly, it contributes to contemporary debates centred on the relationship between ontology and values with a view to clarifying the nature of explanation in IR as a social science.</w:t>
      </w:r>
    </w:p>
    <w:p w14:paraId="70180E60" w14:textId="77777777" w:rsidR="00554729" w:rsidRPr="00554729" w:rsidRDefault="00554729" w:rsidP="00554729">
      <w:pPr>
        <w:ind w:firstLine="720"/>
      </w:pPr>
    </w:p>
    <w:p w14:paraId="0298D882" w14:textId="77777777" w:rsidR="007D130B" w:rsidRDefault="007D130B" w:rsidP="007D130B">
      <w:pPr>
        <w:pStyle w:val="Heading2"/>
      </w:pPr>
      <w:bookmarkStart w:id="2" w:name="_Toc501028837"/>
      <w:r>
        <w:t>Introduction</w:t>
      </w:r>
      <w:bookmarkEnd w:id="2"/>
    </w:p>
    <w:p w14:paraId="3CB69B04" w14:textId="68413125" w:rsidR="007D130B" w:rsidRDefault="007D130B" w:rsidP="007D130B">
      <w:r>
        <w:tab/>
        <w:t>While fragmentation across different schools and approaches has been a recurrent feature of IR, recent work has sought to highlight its worldly quality by noting its consistent engagement with the concept of harm in its many forms.</w:t>
      </w:r>
      <w:r>
        <w:rPr>
          <w:rStyle w:val="FootnoteReference"/>
        </w:rPr>
        <w:footnoteReference w:id="2"/>
      </w:r>
      <w:r>
        <w:t xml:space="preserve"> That IR is engaged in a normative practice is, at least since Cox’s dictum concerning the purposive nature of theory, widely accepted.</w:t>
      </w:r>
      <w:r>
        <w:rPr>
          <w:rStyle w:val="FootnoteReference"/>
        </w:rPr>
        <w:footnoteReference w:id="3"/>
      </w:r>
      <w:r>
        <w:t xml:space="preserve"> Engagement with the concept of harm by authors such as Linklater and Mitchell, however, demonstrates that while the link between explanation and normative import is a </w:t>
      </w:r>
      <w:r>
        <w:lastRenderedPageBreak/>
        <w:t xml:space="preserve">key disciplinary focus, the link between the two remains contentious. Both suggest that IR is concerned with providing more adequate explanations of the world </w:t>
      </w:r>
      <w:r>
        <w:rPr>
          <w:i/>
        </w:rPr>
        <w:t>and</w:t>
      </w:r>
      <w:r>
        <w:t xml:space="preserve"> with producing substantive ethical understandings of harmful practices; that the practical implications of knowledge produced by IR might serve to inform </w:t>
      </w:r>
      <w:r w:rsidR="006D5C10">
        <w:t>ethical deliberation concerning</w:t>
      </w:r>
      <w:r>
        <w:t xml:space="preserve"> new forms of harm.</w:t>
      </w:r>
      <w:r>
        <w:rPr>
          <w:rStyle w:val="FootnoteReference"/>
        </w:rPr>
        <w:footnoteReference w:id="4"/>
      </w:r>
      <w:r w:rsidR="006D5C10">
        <w:t xml:space="preserve"> E</w:t>
      </w:r>
      <w:r>
        <w:t xml:space="preserve">xamining each, I argue that their respective formulations of the problem that harm poses for the discipline </w:t>
      </w:r>
      <w:r w:rsidR="006D5C10">
        <w:t>defer engagement with</w:t>
      </w:r>
      <w:r>
        <w:t xml:space="preserve"> the contributions of the other. Furthermore, a synthesis of their virtues can be </w:t>
      </w:r>
      <w:r w:rsidR="00DA60B9">
        <w:t>developed</w:t>
      </w:r>
      <w:r w:rsidR="006D5C10">
        <w:t xml:space="preserve"> through the philosophy of science, and specifically</w:t>
      </w:r>
      <w:r>
        <w:t xml:space="preserve"> </w:t>
      </w:r>
      <w:r w:rsidR="006D5C10">
        <w:t>C</w:t>
      </w:r>
      <w:r>
        <w:t xml:space="preserve">ritical Realism (CR). </w:t>
      </w:r>
    </w:p>
    <w:p w14:paraId="4465AD3D" w14:textId="4CE5314A" w:rsidR="007D130B" w:rsidRDefault="007D130B" w:rsidP="007D130B">
      <w:r>
        <w:tab/>
        <w:t>This article begins in agreement with Linklater by adopting a sociological view, providing a reading of the discipline through its</w:t>
      </w:r>
      <w:r w:rsidR="00FD0A32">
        <w:t xml:space="preserve"> relationship to what he terms </w:t>
      </w:r>
      <w:r>
        <w:t xml:space="preserve">the </w:t>
      </w:r>
      <w:r w:rsidR="00413A63">
        <w:t>‘</w:t>
      </w:r>
      <w:r>
        <w:t>problem of harm</w:t>
      </w:r>
      <w:r w:rsidR="00413A63">
        <w:t>’</w:t>
      </w:r>
      <w:r>
        <w:t xml:space="preserve">. This view casts IR as an ongoing </w:t>
      </w:r>
      <w:r w:rsidR="006D5C10">
        <w:t>debate</w:t>
      </w:r>
      <w:r>
        <w:t xml:space="preserve"> centred on what should, and what should not, count as harm that cannot be reduced to analyses of isolated viewpoints. Rather, theoretical debate can be understood as a dialogue centred upon an object of ethical concern towards which the concept of harm is oriented, with contributions from feminism, green theory and postcolonialism serving to broaden the objects and dynamics to which the concept of harm can be a</w:t>
      </w:r>
      <w:r w:rsidR="006D5C10">
        <w:t>ssociated</w:t>
      </w:r>
      <w:r>
        <w:t xml:space="preserve">. </w:t>
      </w:r>
      <w:r w:rsidR="006D5C10">
        <w:t>T</w:t>
      </w:r>
      <w:r>
        <w:t>urning Linklater’s sociolog</w:t>
      </w:r>
      <w:r w:rsidR="002664A0">
        <w:t>y</w:t>
      </w:r>
      <w:r>
        <w:t xml:space="preserve"> toward the wider discipline, I argue that the fact of ethical concern remains even where the object of specific theories may vary. Centred on the relationship between the concept of harm and its object, the problem </w:t>
      </w:r>
      <w:r>
        <w:lastRenderedPageBreak/>
        <w:t xml:space="preserve">of harm is a </w:t>
      </w:r>
      <w:r w:rsidR="00547B4E">
        <w:t>p</w:t>
      </w:r>
      <w:r>
        <w:t xml:space="preserve">oint of convergence for the </w:t>
      </w:r>
      <w:r w:rsidR="006D5C10">
        <w:t xml:space="preserve">varied </w:t>
      </w:r>
      <w:r>
        <w:t>explanatory and ethical practices that constitute IR as a social science.</w:t>
      </w:r>
    </w:p>
    <w:p w14:paraId="0BB3E444" w14:textId="12E87178" w:rsidR="007D130B" w:rsidRDefault="007D130B" w:rsidP="007D130B">
      <w:r>
        <w:tab/>
        <w:t>This perspective allows us to understand how the approaches of Linklater and Mitchell develop harm as a principle of restraint in our engagement with the world, and to harness this principle in the explanation of newly emergent forms of large scale harm in particular.</w:t>
      </w:r>
      <w:r>
        <w:rPr>
          <w:rStyle w:val="FootnoteReference"/>
        </w:rPr>
        <w:footnoteReference w:id="5"/>
      </w:r>
      <w:r>
        <w:t xml:space="preserve"> However, their strategies differ; while Linklater develops a sociology of harm conventions that aims to account for historical emergence and change in ideas of harm, Mitchell proposes a concept of worldly harm – mundicide – that is focussed on developing harm beyond </w:t>
      </w:r>
      <w:r w:rsidR="006D5C10">
        <w:t>philosophical conservativism</w:t>
      </w:r>
      <w:r>
        <w:t xml:space="preserve"> and anthropocentri</w:t>
      </w:r>
      <w:r w:rsidR="006D5C10">
        <w:t>sm</w:t>
      </w:r>
      <w:r>
        <w:t xml:space="preserve">. Each therefore </w:t>
      </w:r>
      <w:r w:rsidR="006D5C10">
        <w:t>develops</w:t>
      </w:r>
      <w:r>
        <w:t xml:space="preserve"> a</w:t>
      </w:r>
      <w:r w:rsidR="006D5C10">
        <w:t xml:space="preserve"> future-oriented understanding of harm’s conceptual and normative promise.</w:t>
      </w:r>
      <w:r>
        <w:t xml:space="preserve"> However, a shared tendency toward empiricism grounds their failure to consolidate the relationship between explanation and normative engagement that satisfies the role of harm in situating IR between philosophy and social science. Formulating this relationship, I suggest, can ground the problem of harm as demanding in both explanatory and ethical terms within the practice of social science, and in a way that is sensitive to emergent forms of large scale harm that are likely to be a significant feature of IR in the future. </w:t>
      </w:r>
    </w:p>
    <w:p w14:paraId="0F48B5C9" w14:textId="227A760D" w:rsidR="007D130B" w:rsidRDefault="007D130B" w:rsidP="007D130B">
      <w:pPr>
        <w:ind w:firstLine="720"/>
      </w:pPr>
      <w:r>
        <w:t xml:space="preserve">In addressing this relationship I propose a framework that draws upon Critical Realism (CR) to </w:t>
      </w:r>
      <w:r w:rsidR="002C0DA9">
        <w:t>generalise</w:t>
      </w:r>
      <w:r>
        <w:t xml:space="preserve"> the link between ontological and ethical questions that is core to an IR oriented toward the problem of harm. Moreover, it does so by </w:t>
      </w:r>
      <w:r>
        <w:lastRenderedPageBreak/>
        <w:t xml:space="preserve">broadening the discipline’s explanatory vocabulary in ways that are significant for IR as it </w:t>
      </w:r>
      <w:r w:rsidR="002C0DA9">
        <w:t>turns toward</w:t>
      </w:r>
      <w:r>
        <w:t xml:space="preserve"> large-scale global challenges</w:t>
      </w:r>
      <w:r w:rsidR="002C0DA9">
        <w:t xml:space="preserve"> while no longer being able to depend upon inherited objects of disciplinary concern</w:t>
      </w:r>
      <w:r>
        <w:t>. In drawing upon realist analyses of abstraction and explanation, it becomes possible to reconstruct the work of Linklater and Mitchell such that IR, and its potential contribution to the explanation of new forms of harm, can be understood as a site of historical labour centred on the structures that underpin harm.</w:t>
      </w:r>
      <w:r w:rsidR="00FD0A32">
        <w:t xml:space="preserve"> Abstraction, in this case understood as concept formation between harm and its object, becomes an ethically necessary and productive relation to the world</w:t>
      </w:r>
      <w:r w:rsidR="00452309">
        <w:t xml:space="preserve"> that recognises harm’s objectivity</w:t>
      </w:r>
      <w:r w:rsidR="00FD0A32">
        <w:t>.</w:t>
      </w:r>
      <w:r>
        <w:t xml:space="preserve"> This formulation, I argue, is able to sustain the concerns of each author while also more fully characterising the position of IR between philosophy and social science, as a practical and worldly mode of reflection on the challenges that harm poses.</w:t>
      </w:r>
    </w:p>
    <w:p w14:paraId="73729285" w14:textId="77777777" w:rsidR="007D130B" w:rsidRPr="001126DA" w:rsidRDefault="007D130B" w:rsidP="007D130B"/>
    <w:p w14:paraId="0D6BE27E" w14:textId="77777777" w:rsidR="007D130B" w:rsidRPr="001126DA" w:rsidRDefault="007D130B" w:rsidP="007D130B">
      <w:pPr>
        <w:pStyle w:val="Heading2"/>
      </w:pPr>
      <w:bookmarkStart w:id="3" w:name="_Toc501028838"/>
      <w:r w:rsidRPr="001126DA">
        <w:t>The Problem of Harm in International Relations</w:t>
      </w:r>
      <w:bookmarkEnd w:id="3"/>
    </w:p>
    <w:p w14:paraId="7EDCBE15" w14:textId="1E7F0DB3" w:rsidR="007D130B" w:rsidRDefault="007D130B" w:rsidP="007D130B">
      <w:r>
        <w:tab/>
        <w:t xml:space="preserve">While few authors in IR have engaged with the problem of harm explicitly, </w:t>
      </w:r>
      <w:r w:rsidR="00C441F7">
        <w:t xml:space="preserve">a peculiar disciplinary combination of ethical reflection and explanation </w:t>
      </w:r>
      <w:r>
        <w:t xml:space="preserve">suggests that a concern with harm can be understood as </w:t>
      </w:r>
      <w:r w:rsidR="00C441F7">
        <w:t>one of its key features</w:t>
      </w:r>
      <w:r w:rsidR="004468C7">
        <w:t>. U</w:t>
      </w:r>
      <w:r>
        <w:t xml:space="preserve">ndergraduate courses in IR begin, in many cases, with the problem posed by war as an archetypal form of harm to states or people, a point around which the discipline consolidated before proceeding to engage with broader objects of ethical concern such as gender, colonial expropriation or the environment. On this reading, the emergence of the third debate opened up questions surrounding the normative presuppositions of </w:t>
      </w:r>
      <w:r>
        <w:lastRenderedPageBreak/>
        <w:t>scholars in IR and the consequences of their work, consolidating the idea of a link between scientific enquiry and normative reflection.</w:t>
      </w:r>
      <w:r>
        <w:rPr>
          <w:rStyle w:val="FootnoteReference"/>
        </w:rPr>
        <w:footnoteReference w:id="6"/>
      </w:r>
      <w:r>
        <w:t xml:space="preserve">  </w:t>
      </w:r>
    </w:p>
    <w:p w14:paraId="75752250" w14:textId="0A3AFEA9" w:rsidR="007D130B" w:rsidRDefault="007D130B" w:rsidP="007D130B">
      <w:pPr>
        <w:ind w:firstLine="720"/>
      </w:pPr>
      <w:r>
        <w:t>However, to focus on the novelty of this link is to ignore the fact of value-laden work by Carr, Morgenthau and others. Despite concerns over the accuracy of the ‘debate’ between idealists and realists, its status as the founding myth of disciplinary integration ensures its continued relevance.</w:t>
      </w:r>
      <w:r>
        <w:rPr>
          <w:rStyle w:val="FootnoteReference"/>
        </w:rPr>
        <w:footnoteReference w:id="7"/>
      </w:r>
      <w:r>
        <w:t xml:space="preserve"> Centring on the way in which realists and idealists understood the role of international institutions in mitigating war and violence; lecture-hall retellings of the First Debate portray a close link between explanations of international life and possibilities for ethical action. While idealists argued for the restraining potential of </w:t>
      </w:r>
      <w:r w:rsidR="00413A63">
        <w:t xml:space="preserve">international </w:t>
      </w:r>
      <w:r>
        <w:t>institutions, realists criticised this line of thinking for misunderstanding the fundamental character of the international order.</w:t>
      </w:r>
      <w:r>
        <w:rPr>
          <w:rStyle w:val="FootnoteReference"/>
        </w:rPr>
        <w:footnoteReference w:id="8"/>
      </w:r>
      <w:r>
        <w:t xml:space="preserve"> Fundamental to this concern were the modes of explanation underpinning the proscriptions of each </w:t>
      </w:r>
      <w:r w:rsidR="00413A63">
        <w:t>approach</w:t>
      </w:r>
      <w:r>
        <w:t xml:space="preserve">; in particular the value placed on the powers and tendencies of the various dimensions of international life. In short, a commitment to informing </w:t>
      </w:r>
      <w:r>
        <w:rPr>
          <w:i/>
        </w:rPr>
        <w:t>practical</w:t>
      </w:r>
      <w:r>
        <w:t xml:space="preserve"> conduct in the sphere of international politics ensured that different explanations of the problem posed by war, as an archetypal form of </w:t>
      </w:r>
      <w:r>
        <w:lastRenderedPageBreak/>
        <w:t>harm, result in different lessons for ethical practice in the international sphere.</w:t>
      </w:r>
      <w:r>
        <w:rPr>
          <w:rStyle w:val="FootnoteReference"/>
        </w:rPr>
        <w:footnoteReference w:id="9"/>
      </w:r>
    </w:p>
    <w:p w14:paraId="29B24C7A" w14:textId="634EC29B" w:rsidR="007D130B" w:rsidRDefault="007D130B" w:rsidP="007D130B">
      <w:pPr>
        <w:ind w:firstLine="720"/>
      </w:pPr>
      <w:r>
        <w:t>Decades later, IR continues to engage with this dynamic. Indeed, emerging challenges to the hegemony of realism can be read not just as proposing a fundamental logical or explanatory error in its assumptions, but one that is political</w:t>
      </w:r>
      <w:r w:rsidR="00DA60B9">
        <w:t xml:space="preserve"> and</w:t>
      </w:r>
      <w:r>
        <w:t xml:space="preserve"> articulated in terms of its relation to those that fall outside of the great game of states.</w:t>
      </w:r>
      <w:r>
        <w:rPr>
          <w:rStyle w:val="FootnoteReference"/>
        </w:rPr>
        <w:footnoteReference w:id="10"/>
      </w:r>
      <w:r>
        <w:t xml:space="preserve"> Against an image of the state as the object of primary concern, such approaches have drawn attention to the neglected constituents of international order in order to highlight the violence upon which statism rests. This ethical progressivism suggests that the development of analyses focussed on gender, the environment or colonialism do not merely add to the explanatory power of theory, but also contribute to changes in the shifting terrain of ethical enquiry. In doing so, the discipline incorporates new forms of harm and re-situates the old.</w:t>
      </w:r>
    </w:p>
    <w:p w14:paraId="382CB013" w14:textId="20632686" w:rsidR="007D130B" w:rsidRDefault="007D130B" w:rsidP="007D130B">
      <w:pPr>
        <w:ind w:firstLine="720"/>
      </w:pPr>
      <w:r>
        <w:t xml:space="preserve">Approaching the development of knowledge in IR synthetically suggests that the processes through which the discipline is negotiated and revised is one </w:t>
      </w:r>
      <w:r w:rsidR="00413A63">
        <w:t>that reveals</w:t>
      </w:r>
      <w:r>
        <w:t xml:space="preserve"> close ties </w:t>
      </w:r>
      <w:r>
        <w:lastRenderedPageBreak/>
        <w:t>between patterns of explanation and normativ</w:t>
      </w:r>
      <w:r w:rsidR="00413A63">
        <w:t>e evaluation</w:t>
      </w:r>
      <w:r>
        <w:t>. To turn Linklater’s ‘problem of harm’ toward the discipline itself, it allows us to see IR as expressing one side of a broader process of social negotiation with a normative character</w:t>
      </w:r>
      <w:r w:rsidR="006253B7">
        <w:t>,</w:t>
      </w:r>
      <w:r>
        <w:t xml:space="preserve"> whose focus on ‘encounters between difference across boundaries’ ensures that harm is a constant feature of the disciplinary horizon.</w:t>
      </w:r>
      <w:r>
        <w:rPr>
          <w:rStyle w:val="FootnoteReference"/>
        </w:rPr>
        <w:footnoteReference w:id="11"/>
      </w:r>
      <w:r>
        <w:t xml:space="preserve"> The process of contestation that has led to the gradual incorporation of gender based violence, colonial expropriation and environmental exploitation into the problem-field of the discipline can, therefore, be understood </w:t>
      </w:r>
      <w:r>
        <w:rPr>
          <w:i/>
        </w:rPr>
        <w:t>both</w:t>
      </w:r>
      <w:r>
        <w:t xml:space="preserve"> as a development in scientific or object-adequacy as well as a change in the self-understanding of a discipline with an irreducibly ethical character.</w:t>
      </w:r>
    </w:p>
    <w:p w14:paraId="256B94E2" w14:textId="6D8E49FF" w:rsidR="007D130B" w:rsidRDefault="007D130B" w:rsidP="007D130B">
      <w:pPr>
        <w:ind w:firstLine="720"/>
      </w:pPr>
      <w:r>
        <w:t xml:space="preserve">If IR both draws upon and contributes to the problem of harm, then its further development must engage with the way in which harm is changing; how might the discipline engage with newly emergent or recognised forms of harm, and large scale harms in particular? Clarificatory exercises of this type are necessary given the need to incorporate new thinking on the complex consequences of localised activity, whether climate </w:t>
      </w:r>
      <w:r w:rsidR="00B9605F">
        <w:t>change or economic development. S</w:t>
      </w:r>
      <w:r>
        <w:t xml:space="preserve">uch thought suggests that global interconnection and the harms that arise from it constitute a qualitative </w:t>
      </w:r>
      <w:r w:rsidR="006253B7">
        <w:t>shift</w:t>
      </w:r>
      <w:r w:rsidR="00806184">
        <w:t xml:space="preserve">, potentially revitalising </w:t>
      </w:r>
      <w:r w:rsidR="00B9605F">
        <w:t>marginalised</w:t>
      </w:r>
      <w:r w:rsidR="00806184">
        <w:t xml:space="preserve"> concepts of interconnection in light of the</w:t>
      </w:r>
      <w:r w:rsidR="00B9605F">
        <w:t xml:space="preserve"> historical contingency of</w:t>
      </w:r>
      <w:r w:rsidR="00806184">
        <w:t xml:space="preserve"> IR as a discipline</w:t>
      </w:r>
      <w:r>
        <w:t>. It is not merely that humans im</w:t>
      </w:r>
      <w:r>
        <w:lastRenderedPageBreak/>
        <w:t xml:space="preserve">pact on their environment more than ever before, one argument suggests, but that our interpenetration with </w:t>
      </w:r>
      <w:r>
        <w:rPr>
          <w:i/>
        </w:rPr>
        <w:t>Gaia</w:t>
      </w:r>
      <w:r>
        <w:t xml:space="preserve"> makes a new concept of the Anthropocene necessary.</w:t>
      </w:r>
      <w:r>
        <w:rPr>
          <w:rStyle w:val="FootnoteReference"/>
        </w:rPr>
        <w:footnoteReference w:id="12"/>
      </w:r>
      <w:r>
        <w:t xml:space="preserve"> Indeed, in seeking to explaining harm through processes of climate change or planetary capitalisation, the fundamental explanatory and ethical challenge for IR lies in </w:t>
      </w:r>
      <w:r w:rsidR="00452309">
        <w:t>abstracting concepts that can account for and transcend traditional units such as the state</w:t>
      </w:r>
      <w:r>
        <w:t>.</w:t>
      </w:r>
      <w:r>
        <w:rPr>
          <w:rStyle w:val="FootnoteReference"/>
        </w:rPr>
        <w:footnoteReference w:id="13"/>
      </w:r>
      <w:r>
        <w:t xml:space="preserve"> Such a problem aligns with</w:t>
      </w:r>
      <w:r w:rsidRPr="009B0A4D">
        <w:t xml:space="preserve"> English School analyses of the tension between international and global/world society </w:t>
      </w:r>
      <w:r>
        <w:t xml:space="preserve">that </w:t>
      </w:r>
      <w:r w:rsidRPr="009B0A4D">
        <w:t>pose a problem of irreducibility for IR as a social science</w:t>
      </w:r>
      <w:r>
        <w:t>.</w:t>
      </w:r>
      <w:r w:rsidRPr="009B0A4D">
        <w:t xml:space="preserve"> </w:t>
      </w:r>
      <w:r>
        <w:t>T</w:t>
      </w:r>
      <w:r w:rsidRPr="009B0A4D">
        <w:t>he emergence of the international as a site of complex interconnection may not yet produce subjects capable of reflecting upon it in its totality.</w:t>
      </w:r>
      <w:r w:rsidRPr="009B0A4D">
        <w:rPr>
          <w:rStyle w:val="FootnoteReference"/>
        </w:rPr>
        <w:footnoteReference w:id="14"/>
      </w:r>
      <w:r>
        <w:t xml:space="preserve"> </w:t>
      </w:r>
    </w:p>
    <w:p w14:paraId="2B3B5C9F" w14:textId="33A4B6B4" w:rsidR="007D130B" w:rsidRDefault="007D130B" w:rsidP="007D130B">
      <w:pPr>
        <w:ind w:firstLine="720"/>
      </w:pPr>
      <w:r>
        <w:t xml:space="preserve">Recent engagements with the problem of harm in the context of interconnection can be found in two forms, the historical sociology of Linklater and the posthumanist ethics of Mitchell. In examining each of these attempts to grasp the problem harm poses for the discipline, the aim is to understand how they address the relationship between the explanation of harm and its normative consequences, and how this </w:t>
      </w:r>
      <w:r>
        <w:lastRenderedPageBreak/>
        <w:t>process might best respond to harm in newly emergent or recognised forms which radically overreach many of those which have been central to the discipline thus far.</w:t>
      </w:r>
    </w:p>
    <w:p w14:paraId="1F5D1448" w14:textId="77777777" w:rsidR="007D130B" w:rsidRDefault="007D130B" w:rsidP="007D130B"/>
    <w:p w14:paraId="50DFE3CC" w14:textId="77777777" w:rsidR="007D130B" w:rsidRDefault="007D130B" w:rsidP="007D130B">
      <w:pPr>
        <w:pStyle w:val="Heading2"/>
      </w:pPr>
      <w:bookmarkStart w:id="4" w:name="_Toc501028839"/>
      <w:r>
        <w:t>Linklater’s Sociology of Harm Conventions</w:t>
      </w:r>
      <w:bookmarkEnd w:id="4"/>
    </w:p>
    <w:p w14:paraId="3832FA8D" w14:textId="64E46523" w:rsidR="007D130B" w:rsidRPr="001977DB" w:rsidRDefault="007D130B" w:rsidP="007D130B">
      <w:r>
        <w:tab/>
        <w:t>Linklater’s development of a ‘sociology of harm conventions’ has sought to address the developing concept of harm over long-term historical processes with a view to investigating the possibility of more inclusive and responsive formulations of the harm conventions that underpin any society that exists over time.</w:t>
      </w:r>
      <w:r>
        <w:rPr>
          <w:rStyle w:val="FootnoteReference"/>
        </w:rPr>
        <w:footnoteReference w:id="15"/>
      </w:r>
      <w:r>
        <w:rPr>
          <w:rFonts w:ascii="Times New Roman" w:hAnsi="Times New Roman" w:cs="Times New Roman"/>
          <w:sz w:val="24"/>
          <w:szCs w:val="24"/>
        </w:rPr>
        <w:t xml:space="preserve"> </w:t>
      </w:r>
      <w:r>
        <w:t xml:space="preserve">Contrary to the </w:t>
      </w:r>
      <w:r>
        <w:rPr>
          <w:i/>
        </w:rPr>
        <w:t>a priori</w:t>
      </w:r>
      <w:r>
        <w:t xml:space="preserve"> formulations found in philosophy, Linklater puts his approach forward less as an attempt to perfect our concepts of harm and more as an empirical project concerned with the ways harm has been articulated as part of broader moral and political frameworks. For Linklater, harm is an umbrella under which non-identical </w:t>
      </w:r>
      <w:r w:rsidR="006863A9">
        <w:t>words</w:t>
      </w:r>
      <w:r>
        <w:t xml:space="preserve"> perform similar enough functions for comparisons to be useful. Arguing that the experience of suffering is central to the concept of harm, he suggests that it might act as a point from which such an exercise can be conducted with a minimal ‘labour of translation’ between contexts.</w:t>
      </w:r>
      <w:r>
        <w:rPr>
          <w:rStyle w:val="FootnoteReference"/>
        </w:rPr>
        <w:footnoteReference w:id="16"/>
      </w:r>
      <w:r>
        <w:t xml:space="preserve"> Suffering is not identical between subjects; indeed, it is precisely the irreducibility and privacy of suffering that makes it the foundational element from which </w:t>
      </w:r>
      <w:r w:rsidRPr="001977DB">
        <w:t xml:space="preserve">the recognition of harm can begin. </w:t>
      </w:r>
    </w:p>
    <w:p w14:paraId="16C2CD37" w14:textId="77CF6D16" w:rsidR="007D130B" w:rsidRPr="001977DB" w:rsidRDefault="007D130B" w:rsidP="007D130B">
      <w:pPr>
        <w:rPr>
          <w:rFonts w:ascii="Times New Roman" w:hAnsi="Times New Roman" w:cs="Times New Roman"/>
        </w:rPr>
      </w:pPr>
      <w:r w:rsidRPr="001977DB">
        <w:tab/>
        <w:t xml:space="preserve">Placing suffering at the core of attempts to explain and understand harm allows Linklater to ground the possibility of </w:t>
      </w:r>
      <w:r w:rsidRPr="001977DB">
        <w:lastRenderedPageBreak/>
        <w:t>ethical action in common interests, raising the possibility that IR can contribute to a process of reflection on suffering as a common point of reference in negotiating the problem of harm with others. This forms the basis of harm conventions; social agreements</w:t>
      </w:r>
      <w:r w:rsidR="00413A63">
        <w:t xml:space="preserve"> and</w:t>
      </w:r>
      <w:r w:rsidRPr="001977DB">
        <w:t xml:space="preserve"> institutions which intercede between the ability to harm and shared vulnerabilities.</w:t>
      </w:r>
      <w:r w:rsidRPr="001977DB">
        <w:rPr>
          <w:rStyle w:val="FootnoteReference"/>
        </w:rPr>
        <w:footnoteReference w:id="17"/>
      </w:r>
      <w:r w:rsidRPr="001977DB">
        <w:t xml:space="preserve"> They thereby provide a starting point for posing questions that rest on the normative </w:t>
      </w:r>
      <w:r w:rsidR="00413A63">
        <w:t>status</w:t>
      </w:r>
      <w:r w:rsidRPr="001977DB">
        <w:t xml:space="preserve"> of historical and institutional inheritances. New ideas of harm, for Linklater, rely on reflective human agency even when their object is not necessarily human, suggesting that the social sciences have an important role in managing the distinction between nature and society and opening up the problem of harm to a concern for new – or newly recognised – objects.</w:t>
      </w:r>
      <w:r w:rsidRPr="001977DB">
        <w:rPr>
          <w:rStyle w:val="FootnoteReference"/>
        </w:rPr>
        <w:footnoteReference w:id="18"/>
      </w:r>
      <w:r w:rsidRPr="001977DB">
        <w:rPr>
          <w:rFonts w:cstheme="minorHAnsi"/>
        </w:rPr>
        <w:t xml:space="preserve"> While historically we might begin with normatively and emotionally involved concepts, Linklater’s approach sets out the problem of harm as an empirical, rather than purely normative, issue. IR might contribute to knowledge of the world that is less subject to emotional involvement, thereby providing a means of orientation and an improved ability to </w:t>
      </w:r>
      <w:r>
        <w:rPr>
          <w:rFonts w:cstheme="minorHAnsi"/>
        </w:rPr>
        <w:t>ground</w:t>
      </w:r>
      <w:r w:rsidRPr="001977DB">
        <w:rPr>
          <w:rFonts w:cstheme="minorHAnsi"/>
        </w:rPr>
        <w:t xml:space="preserve"> normative questions.</w:t>
      </w:r>
      <w:r w:rsidRPr="001977DB">
        <w:rPr>
          <w:rStyle w:val="FootnoteReference"/>
        </w:rPr>
        <w:footnoteReference w:id="19"/>
      </w:r>
      <w:r w:rsidRPr="001977DB">
        <w:rPr>
          <w:rFonts w:ascii="Times New Roman" w:hAnsi="Times New Roman" w:cs="Times New Roman"/>
        </w:rPr>
        <w:t xml:space="preserve"> </w:t>
      </w:r>
    </w:p>
    <w:p w14:paraId="4A47703A" w14:textId="687DFBC0" w:rsidR="007D130B" w:rsidRPr="001977DB" w:rsidRDefault="007D130B" w:rsidP="007D130B">
      <w:r w:rsidRPr="001977DB">
        <w:tab/>
        <w:t xml:space="preserve">Framing the importance of harm for the discipline in terms of this interplay, I argue, allows us to understand the position of IR in terms of its contribution to a broader societal </w:t>
      </w:r>
      <w:r w:rsidRPr="001977DB">
        <w:lastRenderedPageBreak/>
        <w:t xml:space="preserve">debate; one centred upon the construction of accounts of global life that fulfil the role that Linklater envisages for the sociology of harm conventions. If this is the case, then Linklater’s move from the </w:t>
      </w:r>
      <w:r w:rsidRPr="001977DB">
        <w:rPr>
          <w:i/>
        </w:rPr>
        <w:t>concept</w:t>
      </w:r>
      <w:r w:rsidRPr="001977DB">
        <w:t xml:space="preserve"> to the </w:t>
      </w:r>
      <w:r w:rsidRPr="001977DB">
        <w:rPr>
          <w:i/>
        </w:rPr>
        <w:t>problem</w:t>
      </w:r>
      <w:r w:rsidRPr="001977DB">
        <w:t xml:space="preserve"> of harm </w:t>
      </w:r>
      <w:r>
        <w:t>can underpin a</w:t>
      </w:r>
      <w:r w:rsidRPr="001977DB">
        <w:t xml:space="preserve"> disciplinary synthesis centred on the activity people undertake when </w:t>
      </w:r>
      <w:r>
        <w:t>they</w:t>
      </w:r>
      <w:r w:rsidRPr="001977DB">
        <w:t xml:space="preserve"> engage in the question of how </w:t>
      </w:r>
      <w:r>
        <w:t>to</w:t>
      </w:r>
      <w:r w:rsidRPr="001977DB">
        <w:t xml:space="preserve"> live while minimising the harm they do to each other. Moreover, it provides a lens through which ideas of harm are understood as deeply implicated in processes of social change</w:t>
      </w:r>
      <w:r w:rsidR="007B1FF6">
        <w:t>,</w:t>
      </w:r>
      <w:r>
        <w:t xml:space="preserve"> and a history of</w:t>
      </w:r>
      <w:r w:rsidRPr="001977DB">
        <w:t xml:space="preserve"> power and morality </w:t>
      </w:r>
      <w:r>
        <w:t>developing together ‘</w:t>
      </w:r>
      <w:r w:rsidRPr="001977DB">
        <w:t>as part of the re</w:t>
      </w:r>
      <w:r>
        <w:t>configuration of social bonds’.</w:t>
      </w:r>
      <w:r w:rsidRPr="001977DB">
        <w:rPr>
          <w:rStyle w:val="FootnoteReference"/>
        </w:rPr>
        <w:footnoteReference w:id="20"/>
      </w:r>
    </w:p>
    <w:p w14:paraId="31A93238" w14:textId="6D14DB78" w:rsidR="007D130B" w:rsidRPr="001977DB" w:rsidRDefault="007D130B" w:rsidP="007D130B">
      <w:pPr>
        <w:rPr>
          <w:rFonts w:ascii="Times New Roman" w:hAnsi="Times New Roman" w:cs="Times New Roman"/>
        </w:rPr>
      </w:pPr>
      <w:r w:rsidRPr="001977DB">
        <w:tab/>
        <w:t>Linklater’s formulation of the sociology of harm conventions is aimed at developing upon classic</w:t>
      </w:r>
      <w:r w:rsidR="007B1FF6">
        <w:t xml:space="preserve"> works of the English School</w:t>
      </w:r>
      <w:r w:rsidRPr="001977DB">
        <w:t xml:space="preserve"> but draws upon, and is framed in terms of, the process sociology of Norbert Elias.</w:t>
      </w:r>
      <w:r w:rsidRPr="001977DB">
        <w:rPr>
          <w:rStyle w:val="FootnoteReference"/>
        </w:rPr>
        <w:footnoteReference w:id="21"/>
      </w:r>
      <w:r w:rsidRPr="001977DB">
        <w:rPr>
          <w:rFonts w:ascii="Times New Roman" w:hAnsi="Times New Roman" w:cs="Times New Roman"/>
        </w:rPr>
        <w:t xml:space="preserve"> </w:t>
      </w:r>
      <w:r w:rsidRPr="001977DB">
        <w:t>Elias’ sociological framework places particular focus on the kind of affective and embodied relationships that Linklater argues are core to the problem of harm, in particular the social functions of emotions.</w:t>
      </w:r>
      <w:r w:rsidRPr="001977DB">
        <w:rPr>
          <w:rStyle w:val="FootnoteReference"/>
          <w:rFonts w:cstheme="minorHAnsi"/>
        </w:rPr>
        <w:footnoteReference w:id="22"/>
      </w:r>
      <w:r w:rsidRPr="001977DB">
        <w:t xml:space="preserve"> Moreo</w:t>
      </w:r>
      <w:r w:rsidRPr="001977DB">
        <w:lastRenderedPageBreak/>
        <w:t>ver</w:t>
      </w:r>
      <w:r>
        <w:t>,</w:t>
      </w:r>
      <w:r w:rsidRPr="001977DB">
        <w:t xml:space="preserve"> Elias was un</w:t>
      </w:r>
      <w:r w:rsidRPr="00F632C1">
        <w:t xml:space="preserve">commonly sensitive to the historical development of the international and the relationships between communities. In particular for Linklater, Elias’ model of ‘open persons’ </w:t>
      </w:r>
      <w:r>
        <w:t>is</w:t>
      </w:r>
      <w:r w:rsidRPr="00F632C1">
        <w:t xml:space="preserve"> suited to the complex empirical object of IR, particularly now work in historical sociology has </w:t>
      </w:r>
      <w:r w:rsidR="007B1FF6">
        <w:t>undermined</w:t>
      </w:r>
      <w:r w:rsidRPr="00F632C1">
        <w:t xml:space="preserve"> the myth of the autonomous sovereign state.</w:t>
      </w:r>
      <w:r w:rsidRPr="00F632C1">
        <w:rPr>
          <w:rStyle w:val="FootnoteReference"/>
          <w:rFonts w:cstheme="minorHAnsi"/>
        </w:rPr>
        <w:footnoteReference w:id="23"/>
      </w:r>
      <w:r w:rsidRPr="00F632C1">
        <w:t xml:space="preserve"> The </w:t>
      </w:r>
      <w:r w:rsidRPr="001977DB">
        <w:t xml:space="preserve">promise of Elias’ framework lies in its adaptability to global interconnection and processes beyond dichotomous reductions such as ‘structure’ and ‘agency’. His reliance instead on dynamic nexuses of </w:t>
      </w:r>
      <w:r>
        <w:t>inter</w:t>
      </w:r>
      <w:r w:rsidRPr="001977DB">
        <w:t>dependencies – figurations – suggests a sociology that might better account for the complex intersection of the international with other forms of social life.</w:t>
      </w:r>
      <w:r w:rsidRPr="001977DB">
        <w:rPr>
          <w:rStyle w:val="FootnoteReference"/>
          <w:rFonts w:cstheme="minorHAnsi"/>
        </w:rPr>
        <w:footnoteReference w:id="24"/>
      </w:r>
      <w:r w:rsidRPr="001977DB">
        <w:rPr>
          <w:rFonts w:ascii="Times New Roman" w:hAnsi="Times New Roman" w:cs="Times New Roman"/>
        </w:rPr>
        <w:t xml:space="preserve"> </w:t>
      </w:r>
    </w:p>
    <w:p w14:paraId="42F85D51" w14:textId="7B3F8E00" w:rsidR="007D130B" w:rsidRDefault="007D130B" w:rsidP="007D130B">
      <w:pPr>
        <w:rPr>
          <w:rFonts w:ascii="Times New Roman" w:hAnsi="Times New Roman" w:cs="Times New Roman"/>
          <w:sz w:val="24"/>
          <w:szCs w:val="24"/>
        </w:rPr>
      </w:pPr>
      <w:r w:rsidRPr="001977DB">
        <w:tab/>
        <w:t xml:space="preserve">Linklater’s adoption of an Eliasian framework allows him to focus the the sociology of harm conventions on long-term changes in conduct and restraint over generations or longer, with the social sciences adding </w:t>
      </w:r>
      <w:r w:rsidR="00553C62">
        <w:t xml:space="preserve">to </w:t>
      </w:r>
      <w:r w:rsidRPr="001977DB">
        <w:t xml:space="preserve">the </w:t>
      </w:r>
      <w:r w:rsidR="00553C62">
        <w:t xml:space="preserve">stock of </w:t>
      </w:r>
      <w:r w:rsidRPr="004E1D52">
        <w:t>knowledge that might better orient us toward the problems posed by interconnection. Such an approach underlines a developmental</w:t>
      </w:r>
      <w:r w:rsidR="00DA60B9">
        <w:t xml:space="preserve"> but non-teleological</w:t>
      </w:r>
      <w:r w:rsidRPr="004E1D52">
        <w:t xml:space="preserve"> reading of the discipline; the possibility of decivilising, as well as civilising processes has been expounded upon at length both by Linklater and the broader Eliasian literature.</w:t>
      </w:r>
      <w:r w:rsidRPr="004E1D52">
        <w:rPr>
          <w:rStyle w:val="FootnoteReference"/>
          <w:rFonts w:cstheme="minorHAnsi"/>
        </w:rPr>
        <w:footnoteReference w:id="25"/>
      </w:r>
      <w:r w:rsidRPr="004E1D52">
        <w:t xml:space="preserve"> The concepts developed by the social sciences must be processual and sensitive to temporal change. In this</w:t>
      </w:r>
      <w:r>
        <w:t xml:space="preserve"> sense, </w:t>
      </w:r>
      <w:r>
        <w:lastRenderedPageBreak/>
        <w:t>the sociology of harm conventions allows us to reflect on the problem of harm in newly emergent contexts, including the highest levels of interconnection and interdependence that humans have yet achieved.</w:t>
      </w:r>
      <w:r>
        <w:rPr>
          <w:rStyle w:val="FootnoteReference"/>
        </w:rPr>
        <w:footnoteReference w:id="26"/>
      </w:r>
      <w:r>
        <w:t xml:space="preserve"> While </w:t>
      </w:r>
      <w:r w:rsidR="006863A9">
        <w:t xml:space="preserve">human or natural </w:t>
      </w:r>
      <w:r>
        <w:t xml:space="preserve">historical ‘outsiders’ have rarely been considered with the same concern as those inside moral communities, the social sciences </w:t>
      </w:r>
      <w:r w:rsidRPr="001A3C00">
        <w:t>may yet prompt a transformative form of moral reflection</w:t>
      </w:r>
      <w:r>
        <w:t xml:space="preserve"> and a</w:t>
      </w:r>
      <w:r w:rsidRPr="001A3C00">
        <w:t xml:space="preserve"> starting point for a cosmopolitan ethic.</w:t>
      </w:r>
      <w:r w:rsidRPr="001A3C00">
        <w:rPr>
          <w:rStyle w:val="FootnoteReference"/>
        </w:rPr>
        <w:footnoteReference w:id="27"/>
      </w:r>
      <w:r>
        <w:rPr>
          <w:rFonts w:ascii="Times New Roman" w:hAnsi="Times New Roman" w:cs="Times New Roman"/>
          <w:sz w:val="24"/>
          <w:szCs w:val="24"/>
        </w:rPr>
        <w:t xml:space="preserve"> </w:t>
      </w:r>
    </w:p>
    <w:p w14:paraId="4D20D77F" w14:textId="50377F0C" w:rsidR="007D130B" w:rsidRPr="001A3C00" w:rsidRDefault="007D130B" w:rsidP="007D130B">
      <w:r>
        <w:tab/>
        <w:t xml:space="preserve">In line with critical-theoretical arguments in IR, the social science that emerges from the Eliasian framework is part of society, subject to </w:t>
      </w:r>
      <w:r w:rsidR="006253B7">
        <w:t xml:space="preserve">emotional </w:t>
      </w:r>
      <w:r>
        <w:t>balances of involvement and detachment that may preclude accurate knowledge.</w:t>
      </w:r>
      <w:r>
        <w:rPr>
          <w:rStyle w:val="FootnoteReference"/>
        </w:rPr>
        <w:footnoteReference w:id="28"/>
      </w:r>
      <w:r>
        <w:t xml:space="preserve"> In this regard, the social sciences have trailed behind the natural sciences.</w:t>
      </w:r>
      <w:r>
        <w:rPr>
          <w:rStyle w:val="FootnoteReference"/>
        </w:rPr>
        <w:footnoteReference w:id="29"/>
      </w:r>
      <w:r>
        <w:t xml:space="preserve"> An emphasis on empirical testability, however, may allow a move toward a greater level of detachment and a synthesis of empirical and theoretical research. This focus on object-adequate knowledge suggests that the ethical upshot of social science is best pursued following a ‘detour via detachment’ that reduces the proliferation of involved or heteronomous evaluations.</w:t>
      </w:r>
      <w:r>
        <w:rPr>
          <w:rStyle w:val="FootnoteReference"/>
        </w:rPr>
        <w:footnoteReference w:id="30"/>
      </w:r>
      <w:r>
        <w:t xml:space="preserve"> Developing IR as a site of reflection on the </w:t>
      </w:r>
      <w:r>
        <w:lastRenderedPageBreak/>
        <w:t>problem of harm rests on its practitioners’ ability to develop this capacity for progressive empirical testing, best characterised by Elias’ studies into the relationship between emotional reaction and object-adequate response</w:t>
      </w:r>
      <w:r w:rsidRPr="001A3C00">
        <w:t>.</w:t>
      </w:r>
      <w:r>
        <w:rPr>
          <w:rStyle w:val="FootnoteReference"/>
        </w:rPr>
        <w:footnoteReference w:id="31"/>
      </w:r>
      <w:r w:rsidRPr="001A3C00">
        <w:t xml:space="preserve"> </w:t>
      </w:r>
    </w:p>
    <w:p w14:paraId="7FF812A0" w14:textId="15915EE8" w:rsidR="007D130B" w:rsidRPr="001A3C00" w:rsidRDefault="007D130B" w:rsidP="007D130B">
      <w:r w:rsidRPr="001A3C00">
        <w:tab/>
        <w:t xml:space="preserve">While cleaving closely to Elias’ position on a variety of sociological issues, Linklater’s work stands out amongst figurational sociologists in arguing for the necessity </w:t>
      </w:r>
      <w:r w:rsidR="00553C62">
        <w:t>for</w:t>
      </w:r>
      <w:r w:rsidRPr="001A3C00">
        <w:t xml:space="preserve"> a critical wing of that enterprise.</w:t>
      </w:r>
      <w:r w:rsidRPr="001A3C00">
        <w:rPr>
          <w:rStyle w:val="FootnoteReference"/>
        </w:rPr>
        <w:footnoteReference w:id="32"/>
      </w:r>
      <w:r w:rsidRPr="001A3C00">
        <w:t xml:space="preserve"> Such a demand arises </w:t>
      </w:r>
      <w:r>
        <w:t>from IR’s fundamentally practical orientation toward the problem of harm</w:t>
      </w:r>
      <w:r w:rsidRPr="001A3C00">
        <w:t xml:space="preserve">. Elias himself was averse to partisan enquiry, but </w:t>
      </w:r>
      <w:r>
        <w:t xml:space="preserve">nonetheless </w:t>
      </w:r>
      <w:r w:rsidRPr="001A3C00">
        <w:t>maintained that the detour via detachment would involve a revision of existing normative standpoints. However, the ‘return to secondary involvement’ remains, for now, a promissory note on the part of a future social science that requires further elucidation</w:t>
      </w:r>
      <w:r w:rsidR="006253B7">
        <w:t xml:space="preserve"> lest a long-term focus detract from the ethical demands of particular situations</w:t>
      </w:r>
      <w:r w:rsidRPr="001A3C00">
        <w:t xml:space="preserve">. IR, in this sense, has a long way to go both empirically and normatively if it is to understand the range and scale of the objects that might confront it in an era of </w:t>
      </w:r>
      <w:r w:rsidR="002F0FC4">
        <w:t>‘global threats and challenges’</w:t>
      </w:r>
      <w:r w:rsidRPr="001A3C00">
        <w:t>.</w:t>
      </w:r>
      <w:r w:rsidR="002F0FC4">
        <w:rPr>
          <w:rStyle w:val="FootnoteReference"/>
        </w:rPr>
        <w:footnoteReference w:id="33"/>
      </w:r>
      <w:r w:rsidRPr="001A3C00">
        <w:t xml:space="preserve"> While the discipline might work toward more empirically adequate, process-focussed and historical accounts of the problem of harm, the normative interest that might inform such an enterprise remains less certain in its formulation. Furthermore, this view of the social scientific enterprise, we shall see, is increasingly </w:t>
      </w:r>
      <w:r w:rsidRPr="001A3C00">
        <w:lastRenderedPageBreak/>
        <w:t>challenged by viewpoints that would radically decentre the interest in suffering that underpins Linklater’s critical impulse.</w:t>
      </w:r>
    </w:p>
    <w:p w14:paraId="6AEF8F1D" w14:textId="77777777" w:rsidR="007D130B" w:rsidRDefault="007D130B" w:rsidP="007D130B">
      <w:pPr>
        <w:rPr>
          <w:highlight w:val="yellow"/>
        </w:rPr>
      </w:pPr>
    </w:p>
    <w:p w14:paraId="035249A5" w14:textId="77777777" w:rsidR="007D130B" w:rsidRDefault="007D130B" w:rsidP="007D130B">
      <w:pPr>
        <w:pStyle w:val="Heading2"/>
      </w:pPr>
      <w:bookmarkStart w:id="5" w:name="_Toc501028840"/>
      <w:r>
        <w:t>Beyond Humanism: Mitchell’s Concept of Mundicide</w:t>
      </w:r>
      <w:bookmarkEnd w:id="5"/>
    </w:p>
    <w:p w14:paraId="06DFE708" w14:textId="6AB1C99F" w:rsidR="007D130B" w:rsidRDefault="007D130B" w:rsidP="007D130B">
      <w:r>
        <w:tab/>
        <w:t>While a progressive</w:t>
      </w:r>
      <w:r w:rsidRPr="00792517">
        <w:t xml:space="preserve"> </w:t>
      </w:r>
      <w:r>
        <w:t>IR</w:t>
      </w:r>
      <w:r w:rsidRPr="00792517">
        <w:t xml:space="preserve"> might seek to account for </w:t>
      </w:r>
      <w:r>
        <w:t xml:space="preserve">a </w:t>
      </w:r>
      <w:r w:rsidR="00CD71DB">
        <w:t>p</w:t>
      </w:r>
      <w:r>
        <w:t>roliferation of</w:t>
      </w:r>
      <w:r w:rsidRPr="00792517">
        <w:t xml:space="preserve"> objects</w:t>
      </w:r>
      <w:r>
        <w:t xml:space="preserve"> by drawing on harm as it is increasingly recognised in different sectors of society</w:t>
      </w:r>
      <w:r w:rsidRPr="00792517">
        <w:t xml:space="preserve">, recent challenges have sought to overcome </w:t>
      </w:r>
      <w:r>
        <w:t>the anthropocentric root of such formulations</w:t>
      </w:r>
      <w:r w:rsidRPr="00792517">
        <w:t xml:space="preserve"> through a </w:t>
      </w:r>
      <w:r>
        <w:t xml:space="preserve">radical </w:t>
      </w:r>
      <w:r w:rsidRPr="00792517">
        <w:t xml:space="preserve">reformulation of the grounds for ethical concern. Mitchell has attempted to </w:t>
      </w:r>
      <w:r>
        <w:t>develop this argument</w:t>
      </w:r>
      <w:r w:rsidRPr="00792517">
        <w:t xml:space="preserve"> through a critique of the humanist fascination with suffering</w:t>
      </w:r>
      <w:r>
        <w:t xml:space="preserve">, </w:t>
      </w:r>
      <w:r w:rsidRPr="00792517">
        <w:t>focussing on harm as a function of worlds, rather than subjects.</w:t>
      </w:r>
      <w:r w:rsidRPr="00792517">
        <w:rPr>
          <w:rStyle w:val="FootnoteReference"/>
        </w:rPr>
        <w:footnoteReference w:id="34"/>
      </w:r>
      <w:r w:rsidRPr="00792517">
        <w:rPr>
          <w:rFonts w:ascii="Times New Roman" w:hAnsi="Times New Roman" w:cs="Times New Roman"/>
        </w:rPr>
        <w:t xml:space="preserve"> </w:t>
      </w:r>
      <w:r w:rsidRPr="00792517">
        <w:rPr>
          <w:rFonts w:cs="Times New Roman"/>
        </w:rPr>
        <w:t xml:space="preserve">In doing so, she attempts to </w:t>
      </w:r>
      <w:r w:rsidR="00195326">
        <w:rPr>
          <w:rFonts w:cs="Times New Roman"/>
        </w:rPr>
        <w:t>frame</w:t>
      </w:r>
      <w:r w:rsidRPr="00792517">
        <w:rPr>
          <w:rFonts w:cs="Times New Roman"/>
        </w:rPr>
        <w:t xml:space="preserve"> </w:t>
      </w:r>
      <w:r>
        <w:rPr>
          <w:rFonts w:cs="Times New Roman"/>
        </w:rPr>
        <w:t xml:space="preserve">a posthuman ethics that becomes </w:t>
      </w:r>
      <w:r w:rsidRPr="00792517">
        <w:rPr>
          <w:rFonts w:cs="Times New Roman"/>
        </w:rPr>
        <w:t xml:space="preserve">possible as </w:t>
      </w:r>
      <w:r>
        <w:rPr>
          <w:rFonts w:cs="Times New Roman"/>
        </w:rPr>
        <w:t>global interconnection is understood in relation to objects that exist beyond the intentions of human subjects</w:t>
      </w:r>
      <w:r w:rsidRPr="00792517">
        <w:rPr>
          <w:rFonts w:cs="Times New Roman"/>
        </w:rPr>
        <w:t>.</w:t>
      </w:r>
      <w:r w:rsidRPr="00792517">
        <w:rPr>
          <w:rStyle w:val="FootnoteReference"/>
        </w:rPr>
        <w:footnoteReference w:id="35"/>
      </w:r>
      <w:r w:rsidRPr="00792517">
        <w:rPr>
          <w:rFonts w:cs="Times New Roman"/>
        </w:rPr>
        <w:t xml:space="preserve"> This </w:t>
      </w:r>
      <w:r>
        <w:rPr>
          <w:rFonts w:cs="Times New Roman"/>
        </w:rPr>
        <w:t>grounds</w:t>
      </w:r>
      <w:r w:rsidRPr="00792517">
        <w:rPr>
          <w:rFonts w:cs="Times New Roman"/>
        </w:rPr>
        <w:t xml:space="preserve"> </w:t>
      </w:r>
      <w:r>
        <w:rPr>
          <w:rFonts w:cs="Times New Roman"/>
        </w:rPr>
        <w:t xml:space="preserve">a form of </w:t>
      </w:r>
      <w:r w:rsidRPr="00792517">
        <w:rPr>
          <w:rFonts w:cs="Times New Roman"/>
        </w:rPr>
        <w:t>ethical reasoning</w:t>
      </w:r>
      <w:r>
        <w:rPr>
          <w:rFonts w:cs="Times New Roman"/>
        </w:rPr>
        <w:t xml:space="preserve"> that is responsive to large-scale global interconnection and which was not fully articulated in Linklater’s work</w:t>
      </w:r>
      <w:r w:rsidRPr="00792517">
        <w:rPr>
          <w:rFonts w:cs="Times New Roman"/>
        </w:rPr>
        <w:t>; if not a return to secondary involvement</w:t>
      </w:r>
      <w:r>
        <w:rPr>
          <w:rFonts w:cs="Times New Roman"/>
        </w:rPr>
        <w:t>,</w:t>
      </w:r>
      <w:r w:rsidRPr="00792517">
        <w:rPr>
          <w:rFonts w:cs="Times New Roman"/>
        </w:rPr>
        <w:t xml:space="preserve"> the</w:t>
      </w:r>
      <w:r>
        <w:rPr>
          <w:rFonts w:cs="Times New Roman"/>
        </w:rPr>
        <w:t xml:space="preserve">n a tentative step along the way. </w:t>
      </w:r>
      <w:r>
        <w:t xml:space="preserve">By ‘worlding’ harm we gain the ability to recognise how harm, and </w:t>
      </w:r>
      <w:r w:rsidR="006169F1">
        <w:t>large-scale</w:t>
      </w:r>
      <w:r>
        <w:t xml:space="preserve"> harms in particular, are fundamentally omitted through anthropocentrism; that they threaten ‘not only certain beings, but rather whole worlds – that is, irreducible, heterogenous forms of collective being’.</w:t>
      </w:r>
      <w:r>
        <w:rPr>
          <w:rStyle w:val="FootnoteReference"/>
        </w:rPr>
        <w:footnoteReference w:id="36"/>
      </w:r>
      <w:r>
        <w:t xml:space="preserve"> </w:t>
      </w:r>
    </w:p>
    <w:p w14:paraId="56AED834" w14:textId="5C9701BD" w:rsidR="007D130B" w:rsidRPr="00DD3C79" w:rsidRDefault="007D130B" w:rsidP="007D130B">
      <w:pPr>
        <w:ind w:firstLine="720"/>
      </w:pPr>
      <w:r w:rsidRPr="001A3C00">
        <w:lastRenderedPageBreak/>
        <w:t xml:space="preserve">This argument seeks to </w:t>
      </w:r>
      <w:r w:rsidR="00195326">
        <w:t>open</w:t>
      </w:r>
      <w:r w:rsidRPr="001A3C00">
        <w:t xml:space="preserve"> a</w:t>
      </w:r>
      <w:r w:rsidR="00195326">
        <w:t xml:space="preserve"> disciplinary interest in</w:t>
      </w:r>
      <w:r w:rsidRPr="001A3C00">
        <w:t xml:space="preserve"> previously excluded objects on IR’s disciplinary horizon – colonised populations, gender or the Anthropocene – among others, reformulated upon ontological grounds as irreducible objects of concern. </w:t>
      </w:r>
      <w:r>
        <w:t>It also</w:t>
      </w:r>
      <w:r w:rsidRPr="001A3C00">
        <w:t xml:space="preserve"> provides</w:t>
      </w:r>
      <w:r>
        <w:t xml:space="preserve"> new dimensions for engagement with</w:t>
      </w:r>
      <w:r w:rsidR="00CD71DB">
        <w:t xml:space="preserve"> familiar</w:t>
      </w:r>
      <w:r>
        <w:t xml:space="preserve"> forms of harm, such as collective action problems</w:t>
      </w:r>
      <w:r w:rsidR="00195326">
        <w:t xml:space="preserve"> and the unintended consequences that may result.</w:t>
      </w:r>
      <w:r>
        <w:t xml:space="preserve"> The explanations that IR provides of these complex encounters have implications for </w:t>
      </w:r>
      <w:r w:rsidR="00195326">
        <w:t>framing</w:t>
      </w:r>
      <w:r>
        <w:t>s of ethical action that hark back to the early history of the discipline. Wheeler, for instance, has argued that our approach to the moral standing of ‘distant strangers’ has consequences for our approach to humanitarian intervention.</w:t>
      </w:r>
      <w:r>
        <w:rPr>
          <w:rStyle w:val="FootnoteReference"/>
        </w:rPr>
        <w:footnoteReference w:id="37"/>
      </w:r>
      <w:r>
        <w:t xml:space="preserve"> The concept of externalities in economics suggests that our knowledge of harmful consequences does not immediately lead to normative motivation unless grounded in an explanation of why this should be so.</w:t>
      </w:r>
      <w:r>
        <w:rPr>
          <w:rStyle w:val="FootnoteReference"/>
        </w:rPr>
        <w:footnoteReference w:id="38"/>
      </w:r>
      <w:r>
        <w:t xml:space="preserve"> Moreover, as interdependency has broached wider consciousness, approaches such as Green Theory have argued for the need to address abstract forms of harm that may not have a singular referent; a problem that finds support in Mitchell’s account of the breaches in ethical frameworks provoked by marine plastic.</w:t>
      </w:r>
      <w:r>
        <w:rPr>
          <w:rStyle w:val="FootnoteReference"/>
        </w:rPr>
        <w:footnoteReference w:id="39"/>
      </w:r>
      <w:r>
        <w:t xml:space="preserve"> Approaching these issues, Mitchell suggests, involves a move beyond liberal notions of responsibility which ‘make it </w:t>
      </w:r>
      <w:r>
        <w:lastRenderedPageBreak/>
        <w:t xml:space="preserve">difficult to conceptualize harm in terms of the ontological and ethical categories </w:t>
      </w:r>
      <w:r w:rsidRPr="00DD3C79">
        <w:t>required to coordinate large-scale responses to acute events.’</w:t>
      </w:r>
      <w:r w:rsidRPr="00DD3C79">
        <w:rPr>
          <w:rStyle w:val="FootnoteReference"/>
        </w:rPr>
        <w:footnoteReference w:id="40"/>
      </w:r>
      <w:r w:rsidRPr="00DD3C79">
        <w:t xml:space="preserve"> </w:t>
      </w:r>
    </w:p>
    <w:p w14:paraId="0CA91980" w14:textId="426CCBBB" w:rsidR="007D130B" w:rsidRDefault="007D130B" w:rsidP="007D130B">
      <w:r w:rsidRPr="00DD3C79">
        <w:tab/>
        <w:t xml:space="preserve">Mitchell’s intervention </w:t>
      </w:r>
      <w:r w:rsidR="00CD71DB">
        <w:t>rests on the</w:t>
      </w:r>
      <w:r w:rsidRPr="00DD3C79">
        <w:t xml:space="preserve"> close link between description, explanation and ethical reflection</w:t>
      </w:r>
      <w:r w:rsidR="00CD71DB">
        <w:t xml:space="preserve"> that we </w:t>
      </w:r>
      <w:r w:rsidR="000C5839">
        <w:t xml:space="preserve">identified </w:t>
      </w:r>
      <w:r w:rsidR="00CD71DB">
        <w:t>above.</w:t>
      </w:r>
      <w:r w:rsidRPr="00DD3C79">
        <w:t xml:space="preserve"> The concept of harm has thus far been limited by a historical focus on humanity. Renegotiating the ontological ground of problems involving human action </w:t>
      </w:r>
      <w:r w:rsidR="000C5839">
        <w:t>opens</w:t>
      </w:r>
      <w:r w:rsidRPr="00DD3C79">
        <w:t xml:space="preserve"> IR’s object</w:t>
      </w:r>
      <w:r w:rsidR="000C5839">
        <w:t>s</w:t>
      </w:r>
      <w:r w:rsidRPr="00DD3C79">
        <w:t xml:space="preserve"> of enquiry </w:t>
      </w:r>
      <w:r w:rsidR="000C5839">
        <w:t>to</w:t>
      </w:r>
      <w:r w:rsidRPr="00DD3C79">
        <w:t xml:space="preserve"> a context of complex interconnection with diverse beings while not giving up on the possibility of ethically motivated strategic action. For Mitchell, Linklater’s own attempt at this revision </w:t>
      </w:r>
      <w:r w:rsidR="000C5839">
        <w:t xml:space="preserve">is </w:t>
      </w:r>
      <w:r w:rsidRPr="00DD3C79">
        <w:t>insufficient</w:t>
      </w:r>
      <w:r>
        <w:t xml:space="preserve"> due to its link between empirical and normative claims being grounded in human suffering</w:t>
      </w:r>
      <w:r w:rsidRPr="00DD3C79">
        <w:t>.</w:t>
      </w:r>
      <w:r w:rsidRPr="00DD3C79">
        <w:rPr>
          <w:rStyle w:val="FootnoteReference"/>
        </w:rPr>
        <w:footnoteReference w:id="41"/>
      </w:r>
      <w:r w:rsidRPr="00DD3C79">
        <w:t xml:space="preserve"> This suggests that </w:t>
      </w:r>
      <w:r w:rsidR="000C5839">
        <w:t>addressing large-scale harm</w:t>
      </w:r>
      <w:r w:rsidRPr="00DD3C79">
        <w:t xml:space="preserve"> rests on the development of a suitably complex and permissive ontology from which </w:t>
      </w:r>
      <w:r w:rsidR="000C5839">
        <w:t>IR</w:t>
      </w:r>
      <w:r w:rsidRPr="00DD3C79">
        <w:t xml:space="preserve"> can begin. In effect, Mitchell is proposing a revision of the grounds of explanation itself, a model of the future social science that figurational sociology hints at</w:t>
      </w:r>
      <w:r>
        <w:t xml:space="preserve"> and which draws upon developments in climate science among others</w:t>
      </w:r>
      <w:r w:rsidRPr="00DD3C79">
        <w:t>.</w:t>
      </w:r>
      <w:r>
        <w:rPr>
          <w:rStyle w:val="FootnoteReference"/>
        </w:rPr>
        <w:footnoteReference w:id="42"/>
      </w:r>
      <w:r w:rsidRPr="00DD3C79">
        <w:t xml:space="preserve"> Such accounts need to begin with the idea that radical alterity is just another way of saying reality.</w:t>
      </w:r>
      <w:r w:rsidRPr="00DD3C79">
        <w:rPr>
          <w:rStyle w:val="FootnoteReference"/>
        </w:rPr>
        <w:footnoteReference w:id="43"/>
      </w:r>
    </w:p>
    <w:p w14:paraId="4E440D27" w14:textId="0A4C60CD" w:rsidR="007D130B" w:rsidRDefault="007D130B" w:rsidP="007D130B">
      <w:r>
        <w:lastRenderedPageBreak/>
        <w:tab/>
        <w:t>Mundicide, or worldly harm, is inte</w:t>
      </w:r>
      <w:r w:rsidR="009E7AF9">
        <w:t xml:space="preserve">nded to prompt an awareness of </w:t>
      </w:r>
      <w:r>
        <w:t>contingency and interconnection that can underpin engagements with harm in a situation of global complexity. In developing worldliness as a reflexive category, Mitchell develops upon a phenomenological understanding of ‘world’ which draws on a milieu of philosophical work at the intersection of new-materialist ontology and posthuman ethics. With this, the problem of harm becomes focussed on the interpenetration of humanity, nature and technology, destabilising conventional accounts of scientific reason.</w:t>
      </w:r>
      <w:r>
        <w:rPr>
          <w:rStyle w:val="FootnoteReference"/>
        </w:rPr>
        <w:footnoteReference w:id="44"/>
      </w:r>
      <w:r>
        <w:t xml:space="preserve"> Displacing human ‘being’ with a wider analysis of ‘being-with’, such viewpoints provide an insight into the trajectories, encounters and relations that co-constitute the particular historical existence of people and other objects</w:t>
      </w:r>
      <w:r w:rsidR="00CD71DB">
        <w:t>, undermining the correlationist assumption that objects exist for us</w:t>
      </w:r>
      <w:r>
        <w:t xml:space="preserve">. The challenge, then, lies in how we might respond to the problem of harm with a relational ontology in mind. </w:t>
      </w:r>
    </w:p>
    <w:p w14:paraId="1E7878CD" w14:textId="5531CF3A" w:rsidR="007D130B" w:rsidRDefault="007D130B" w:rsidP="007D130B">
      <w:pPr>
        <w:rPr>
          <w:rFonts w:ascii="Times New Roman" w:hAnsi="Times New Roman" w:cs="Times New Roman"/>
          <w:sz w:val="24"/>
          <w:szCs w:val="24"/>
        </w:rPr>
      </w:pPr>
      <w:r>
        <w:tab/>
        <w:t>New understandings of the relationship between humanity and nature, among other objects, suggest that dispositions toward harm in IR must begin with an acceptance of radical contingency that militates against humanist or instrumental framings of causation by placing them in a far broader context. The ethical progressivism of Linklater and others, Mitchell argues, operate through the extension of existing categories, thereby maintaining an untenable distinction between different kinds of beings and purifying human action</w:t>
      </w:r>
      <w:r w:rsidRPr="00FB55E5">
        <w:t xml:space="preserve"> of the objects </w:t>
      </w:r>
      <w:r w:rsidRPr="00FB55E5">
        <w:lastRenderedPageBreak/>
        <w:t>and intermediaries it relies upon.</w:t>
      </w:r>
      <w:r w:rsidRPr="00FB55E5">
        <w:rPr>
          <w:rStyle w:val="FootnoteReference"/>
        </w:rPr>
        <w:footnoteReference w:id="45"/>
      </w:r>
      <w:r w:rsidR="006863A9">
        <w:t xml:space="preserve"> Engaging with a new-</w:t>
      </w:r>
      <w:r w:rsidRPr="00FB55E5">
        <w:t xml:space="preserve">materialist ontology, Mitchell suggests, can serve to sensitise us to our exclusion of ‘dull matter’, prompting an appreciation of the vital, lively and quasi-agential nature of the beings that </w:t>
      </w:r>
      <w:r w:rsidR="000C5839">
        <w:t>co-</w:t>
      </w:r>
      <w:r w:rsidRPr="00FB55E5">
        <w:t>constitute worlds and a starting point for a posthuman ethics.</w:t>
      </w:r>
      <w:r w:rsidRPr="00FB55E5">
        <w:rPr>
          <w:rStyle w:val="FootnoteReference"/>
        </w:rPr>
        <w:footnoteReference w:id="46"/>
      </w:r>
      <w:r w:rsidRPr="00FB55E5">
        <w:rPr>
          <w:rFonts w:cs="Times New Roman"/>
        </w:rPr>
        <w:t xml:space="preserve"> Rather than understanding objects as colliding ‘billiard balls’ in line with Hume’s model of causation, we </w:t>
      </w:r>
      <w:r w:rsidR="000C5839">
        <w:rPr>
          <w:rFonts w:cs="Times New Roman"/>
        </w:rPr>
        <w:t>should</w:t>
      </w:r>
      <w:r w:rsidRPr="00FB55E5">
        <w:rPr>
          <w:rFonts w:cs="Times New Roman"/>
        </w:rPr>
        <w:t xml:space="preserve"> strive toward an understanding of complex assemblages and their relations, raising the possibility of a newfound respect for interpenetration and intra-action that can further ground ethical reasoning. </w:t>
      </w:r>
      <w:r>
        <w:t>It may be the case that a greater appreciation of human-nonhuman assemblages can build on past concepts of harm in developing new ideas of political community.</w:t>
      </w:r>
      <w:r>
        <w:rPr>
          <w:rStyle w:val="FootnoteReference"/>
        </w:rPr>
        <w:footnoteReference w:id="47"/>
      </w:r>
      <w:r>
        <w:t xml:space="preserve"> </w:t>
      </w:r>
    </w:p>
    <w:p w14:paraId="0EBF1A81" w14:textId="3A8632A8" w:rsidR="007D130B" w:rsidRDefault="007D130B" w:rsidP="007D130B">
      <w:r>
        <w:tab/>
        <w:t>A focus on complexity and particularity leads, as Mitchell recognises, to the possibility of ethical indeterminacy.</w:t>
      </w:r>
      <w:r>
        <w:rPr>
          <w:rStyle w:val="FootnoteReference"/>
        </w:rPr>
        <w:footnoteReference w:id="48"/>
      </w:r>
      <w:r>
        <w:t xml:space="preserve"> Core to the issues </w:t>
      </w:r>
      <w:r w:rsidR="009C0E25">
        <w:t>raised by</w:t>
      </w:r>
      <w:r>
        <w:t xml:space="preserve"> the problem of harm </w:t>
      </w:r>
      <w:r w:rsidR="009C0E25">
        <w:t>are</w:t>
      </w:r>
      <w:r>
        <w:t xml:space="preserve"> explanatory problems centred on scale and visibility; while </w:t>
      </w:r>
      <w:r w:rsidR="00555291">
        <w:t>a consumer</w:t>
      </w:r>
      <w:r>
        <w:t xml:space="preserve"> dropping litter and a</w:t>
      </w:r>
      <w:r w:rsidR="00555291">
        <w:t>n executive</w:t>
      </w:r>
      <w:r>
        <w:t xml:space="preserve"> making decisions on packaging are </w:t>
      </w:r>
      <w:r>
        <w:rPr>
          <w:i/>
        </w:rPr>
        <w:t>prima facie</w:t>
      </w:r>
      <w:r>
        <w:t xml:space="preserve"> not responsible in the same way, they nonetheless contribut</w:t>
      </w:r>
      <w:r w:rsidR="00CD71DB">
        <w:t>e</w:t>
      </w:r>
      <w:r>
        <w:t xml:space="preserve"> to the same structural problem of climate change. The question is how each of these factors can be comprehended in relation to each other. Abstraction, despite in some regards pre-determining the categories of ethical response, is not without strategic utility here in highlighting the relations that link together causal complexes. Indeed, as </w:t>
      </w:r>
      <w:r>
        <w:lastRenderedPageBreak/>
        <w:t xml:space="preserve">Mitchell notes, some engagement with abstraction is key to formulating the kind of large-scale </w:t>
      </w:r>
      <w:r w:rsidR="00CD71DB">
        <w:t xml:space="preserve">strategic </w:t>
      </w:r>
      <w:r>
        <w:t>action that is capable of addressing climate change.</w:t>
      </w:r>
      <w:r w:rsidRPr="00B628BF">
        <w:rPr>
          <w:rStyle w:val="FootnoteReference"/>
        </w:rPr>
        <w:footnoteReference w:id="49"/>
      </w:r>
      <w:r>
        <w:t xml:space="preserve"> The question then centres on the relationship between the </w:t>
      </w:r>
      <w:r w:rsidR="00CD71DB">
        <w:t>ethical sensibility</w:t>
      </w:r>
      <w:r>
        <w:t xml:space="preserve"> that Mitchell sets out and the social scientific enterprise laid out above, which </w:t>
      </w:r>
      <w:r w:rsidR="00BB0409">
        <w:t>in turn</w:t>
      </w:r>
      <w:r>
        <w:t xml:space="preserve"> relies on a</w:t>
      </w:r>
      <w:r w:rsidR="00BB0409">
        <w:t>n account</w:t>
      </w:r>
      <w:r>
        <w:t xml:space="preserve"> of the relationship between particularity and generality in the process of explaining harm.</w:t>
      </w:r>
    </w:p>
    <w:p w14:paraId="54688C05" w14:textId="79C810BB" w:rsidR="007D130B" w:rsidRDefault="007D130B" w:rsidP="007D130B">
      <w:r>
        <w:tab/>
        <w:t>While Mitchell’s critique of Linklater’s ethics is well-grounded, it ultimately stages the same debate from an opposing standpoint. In the case of the sociology of harm conventions, Linklater’s development of the Eliasian framework leads to detailed historical and empirical work with a focus on scale and process, but at the expense of a deferr</w:t>
      </w:r>
      <w:r w:rsidR="00A915CB">
        <w:t>al</w:t>
      </w:r>
      <w:r>
        <w:t xml:space="preserve"> of ethical questions. Mitchell’s complex account of inter-objective ethical response, meanwhile, relies on the attainment of a suitably post-human ethical sensibility but can only conceive of explanations – particularly in the case of large scale harm – as illicit generalisations from particular experiences of becoming. Each is, I argue, able to make contributions in their own sphere by significantly decentring received accounts of the knowing subject and the object known, but do so by neglecting a concrete link to the other side of the enterprise; a link which is essential to harm being rendered internal to the explanatory practice of IR. This being the case, then the problem of harm as a core focus of IR</w:t>
      </w:r>
      <w:r w:rsidR="00A915CB">
        <w:t xml:space="preserve">, </w:t>
      </w:r>
      <w:r>
        <w:t xml:space="preserve">demanding in </w:t>
      </w:r>
      <w:r>
        <w:rPr>
          <w:i/>
        </w:rPr>
        <w:t>both</w:t>
      </w:r>
      <w:r>
        <w:t xml:space="preserve"> explanatory and ethical terms</w:t>
      </w:r>
      <w:r w:rsidR="00A915CB">
        <w:t xml:space="preserve">, </w:t>
      </w:r>
      <w:r>
        <w:t>as yet remains out of reach.</w:t>
      </w:r>
    </w:p>
    <w:p w14:paraId="49D08EC2" w14:textId="77777777" w:rsidR="007D130B" w:rsidRDefault="007D130B" w:rsidP="007D130B"/>
    <w:p w14:paraId="61017461" w14:textId="77777777" w:rsidR="007D130B" w:rsidRDefault="007D130B" w:rsidP="007D130B">
      <w:pPr>
        <w:pStyle w:val="Heading2"/>
      </w:pPr>
      <w:bookmarkStart w:id="6" w:name="_Toc501028841"/>
      <w:r w:rsidRPr="00364AB8">
        <w:t>Between Philosophy and Social Science</w:t>
      </w:r>
      <w:bookmarkEnd w:id="6"/>
    </w:p>
    <w:p w14:paraId="0FDA8728" w14:textId="7DFD2A3F" w:rsidR="007D130B" w:rsidRDefault="007D130B" w:rsidP="007D130B">
      <w:r>
        <w:tab/>
        <w:t>In disciplinary terms, the argument here centres on how detailed empirical work of the type that Linklater proposes might buttress and be buttressed by reflection on the ethical-explanatory categories that IR employs as with Mitchell. While ultimately coming to rest on different ends of the problem, both frameworks are rightly characterised by the uncertainty of those who know full well that they might in future be considered what Elias termed ‘late barbarians’.</w:t>
      </w:r>
      <w:r>
        <w:rPr>
          <w:rStyle w:val="FootnoteReference"/>
        </w:rPr>
        <w:footnoteReference w:id="50"/>
      </w:r>
      <w:r>
        <w:t xml:space="preserve"> Beyond this</w:t>
      </w:r>
      <w:r w:rsidR="00555291">
        <w:t>,</w:t>
      </w:r>
      <w:r>
        <w:t xml:space="preserve"> as IR turns to the future and a concern for large scale harm, </w:t>
      </w:r>
      <w:r w:rsidR="00555291">
        <w:t xml:space="preserve">a concern with positionality </w:t>
      </w:r>
      <w:r w:rsidR="00E86A96">
        <w:t>inside</w:t>
      </w:r>
      <w:r w:rsidR="00555291">
        <w:t xml:space="preserve"> developing</w:t>
      </w:r>
      <w:r>
        <w:t xml:space="preserve"> networks of interdependence and existential threats </w:t>
      </w:r>
      <w:r w:rsidR="00555291">
        <w:t>forces</w:t>
      </w:r>
      <w:r w:rsidR="008D6ED2">
        <w:t xml:space="preserve"> each to</w:t>
      </w:r>
      <w:r w:rsidR="00555291">
        <w:t xml:space="preserve"> </w:t>
      </w:r>
      <w:r w:rsidR="00E86A96">
        <w:t>emphasise</w:t>
      </w:r>
      <w:r>
        <w:t xml:space="preserve"> the partiality of explanation.</w:t>
      </w:r>
      <w:r>
        <w:rPr>
          <w:rStyle w:val="FootnoteReference"/>
        </w:rPr>
        <w:footnoteReference w:id="51"/>
      </w:r>
      <w:r>
        <w:t xml:space="preserve"> </w:t>
      </w:r>
    </w:p>
    <w:p w14:paraId="4D7FBBCF" w14:textId="1C3470D3" w:rsidR="007D130B" w:rsidRDefault="007D130B" w:rsidP="007D130B">
      <w:r>
        <w:tab/>
        <w:t>This shared uncertainty ensures that both offer</w:t>
      </w:r>
      <w:r w:rsidR="00555291">
        <w:t xml:space="preserve"> valuable insights</w:t>
      </w:r>
      <w:r>
        <w:t xml:space="preserve"> in sensitising us to what Linklater has termed the ‘ambiguities’ of global interconnection, and </w:t>
      </w:r>
      <w:r w:rsidR="00E86A96">
        <w:t>reflecting on</w:t>
      </w:r>
      <w:r>
        <w:t xml:space="preserve"> IR</w:t>
      </w:r>
      <w:r w:rsidR="00E86A96">
        <w:t>’s place</w:t>
      </w:r>
      <w:r>
        <w:t xml:space="preserve"> within this problem field.</w:t>
      </w:r>
      <w:r>
        <w:rPr>
          <w:rStyle w:val="FootnoteReference"/>
        </w:rPr>
        <w:footnoteReference w:id="52"/>
      </w:r>
      <w:r>
        <w:t xml:space="preserve"> However, I argue here that each is limited to the extent that, in different ways, they adopt empiricism as the cornerstone of their respective epistemological strategies while simultaneously maintaining that harm is not reducible to empirical phenomena. Both therefore </w:t>
      </w:r>
      <w:r w:rsidR="00555291">
        <w:t>depend</w:t>
      </w:r>
      <w:r>
        <w:t xml:space="preserve"> on </w:t>
      </w:r>
      <w:r>
        <w:lastRenderedPageBreak/>
        <w:t xml:space="preserve">philosophical realism as a way of grounding this distinction while arguing for empiricism in the process of social scientific explanation. This results in an inability to balance these poles when addressing the problem of harm as a practical issue to which IR might contribute. </w:t>
      </w:r>
    </w:p>
    <w:p w14:paraId="3854C978" w14:textId="0394E1C8" w:rsidR="007D130B" w:rsidRDefault="007D130B" w:rsidP="007D130B">
      <w:pPr>
        <w:ind w:firstLine="720"/>
      </w:pPr>
      <w:r>
        <w:t>While Mitchell aims to move beyond this in her critique of Linklater’s anthropocentric model of suffering, her later argument for reconciliation incorporates embodiment as the starting point for an affective relationship with other beings in a ‘weak’ anthropocentrism.</w:t>
      </w:r>
      <w:r>
        <w:rPr>
          <w:rStyle w:val="FootnoteReference"/>
        </w:rPr>
        <w:footnoteReference w:id="53"/>
      </w:r>
      <w:r>
        <w:t xml:space="preserve"> This arises from the practical call that the problem of harm represents; mundicide operates as a sensitising tool that may render harm more visible, retaining ‘categories of ethical responsiveness […] without determining the beings to which they applied.’</w:t>
      </w:r>
      <w:r>
        <w:rPr>
          <w:rStyle w:val="FootnoteReference"/>
        </w:rPr>
        <w:footnoteReference w:id="54"/>
      </w:r>
      <w:r>
        <w:t xml:space="preserve"> Through this, human subjectivity and vulnerabilities are contextualised, ‘entwined with those of other beings, not distinct from them.’</w:t>
      </w:r>
      <w:r>
        <w:rPr>
          <w:rStyle w:val="FootnoteReference"/>
        </w:rPr>
        <w:footnoteReference w:id="55"/>
      </w:r>
      <w:r>
        <w:t xml:space="preserve"> However, once we </w:t>
      </w:r>
      <w:r w:rsidR="00392B17">
        <w:t>ask how the social sciences produce knowledge</w:t>
      </w:r>
      <w:r>
        <w:t>, some form of anthropocentrism is admitted regardless. While Linklater can undoubtedly be understood as an ‘extension of humanity’ theorist, the historical situation of IR makes this true for any attempt to make the link between philosophy and social science that the problem of harm requires.</w:t>
      </w:r>
    </w:p>
    <w:p w14:paraId="27C1CF32" w14:textId="02865C1F" w:rsidR="007D130B" w:rsidRDefault="007D130B" w:rsidP="007D130B">
      <w:r>
        <w:lastRenderedPageBreak/>
        <w:tab/>
        <w:t>Taking mundicide as a spur to empirical work</w:t>
      </w:r>
      <w:r w:rsidR="00A915CB">
        <w:t xml:space="preserve"> beyond philosophical reflection</w:t>
      </w:r>
      <w:r>
        <w:t xml:space="preserve"> leaves us to a position not so far removed from that of the Eliasian approach employed by Linklater. Indeed, his focus on embodied suffering marks the sociology of harm conventions as qualitatively distinct from an abstract liberal-juridical position</w:t>
      </w:r>
      <w:r w:rsidR="00A915CB">
        <w:t>,</w:t>
      </w:r>
      <w:r>
        <w:t xml:space="preserve"> and the wider Eliasian literature exhibits a concern with many of the issues Mitchell raises, albeit in a specifically social-scientific mode. The vision of a higher synthesis for the sciences remains a key driving force of process sociology, driven by a model of ‘open persons’ that runs counter to liberal atomism.</w:t>
      </w:r>
      <w:r>
        <w:rPr>
          <w:rStyle w:val="FootnoteReference"/>
        </w:rPr>
        <w:footnoteReference w:id="56"/>
      </w:r>
      <w:r>
        <w:t xml:space="preserve"> Furthermore, the Eliasian approach is intensely preoccupied with the social sciences’ historical role in producing knowledge ‘for us’, subject to multiple complex forms of entanglement.</w:t>
      </w:r>
      <w:r>
        <w:rPr>
          <w:rStyle w:val="FootnoteReference"/>
        </w:rPr>
        <w:footnoteReference w:id="57"/>
      </w:r>
      <w:r>
        <w:t xml:space="preserve"> In this sense, process sociology suggests a framework for empirical research that works with precisely the tensions and space for contingency that Mitchell describes. </w:t>
      </w:r>
    </w:p>
    <w:p w14:paraId="51367965" w14:textId="21C441AD" w:rsidR="007D130B" w:rsidRDefault="007D130B" w:rsidP="007D130B">
      <w:pPr>
        <w:rPr>
          <w:rStyle w:val="tgc"/>
        </w:rPr>
      </w:pPr>
      <w:r>
        <w:tab/>
      </w:r>
      <w:r w:rsidR="00A915CB">
        <w:t>Each</w:t>
      </w:r>
      <w:r>
        <w:t xml:space="preserve"> attempt</w:t>
      </w:r>
      <w:r w:rsidR="00A915CB">
        <w:t>s</w:t>
      </w:r>
      <w:r>
        <w:t xml:space="preserve"> to reach a respectful disposition toward the gap between human knowledge and a variety of broader frames of reference</w:t>
      </w:r>
      <w:r w:rsidR="00A915CB">
        <w:t xml:space="preserve">, </w:t>
      </w:r>
      <w:r w:rsidR="00A915CB">
        <w:rPr>
          <w:rStyle w:val="tgc"/>
        </w:rPr>
        <w:t>emphasising</w:t>
      </w:r>
      <w:r>
        <w:rPr>
          <w:rStyle w:val="tgc"/>
        </w:rPr>
        <w:t xml:space="preserve"> the uncertainty of scientific knowledge, with the Eliasian figure of detachment emphasising the tendency to impute human dispositions onto non-human objects while Mitchell’s arguments for the ethical limitations of explanation rests on its cognitive limits with respect to large-scale harm. </w:t>
      </w:r>
      <w:r w:rsidR="00A915CB">
        <w:rPr>
          <w:rStyle w:val="tgc"/>
        </w:rPr>
        <w:t>This develops on</w:t>
      </w:r>
      <w:r>
        <w:rPr>
          <w:rStyle w:val="tgc"/>
        </w:rPr>
        <w:t xml:space="preserve"> arguments from a wide variety of anti-positivist positions that rest on the insufficiency </w:t>
      </w:r>
      <w:r>
        <w:rPr>
          <w:rStyle w:val="tgc"/>
        </w:rPr>
        <w:lastRenderedPageBreak/>
        <w:t xml:space="preserve">of empirical testability in capturing the nature of objects, particularly in the social sciences. This negative approach, however, does not necessarily build a positive case for what </w:t>
      </w:r>
      <w:r>
        <w:rPr>
          <w:rStyle w:val="tgc"/>
          <w:i/>
        </w:rPr>
        <w:t>is</w:t>
      </w:r>
      <w:r>
        <w:rPr>
          <w:rStyle w:val="tgc"/>
        </w:rPr>
        <w:t xml:space="preserve"> being talked about in social scientific explanation. </w:t>
      </w:r>
    </w:p>
    <w:p w14:paraId="31DBF56E" w14:textId="3F2FA938" w:rsidR="007D130B" w:rsidRDefault="007D130B" w:rsidP="007D130B">
      <w:pPr>
        <w:rPr>
          <w:rStyle w:val="tgc"/>
        </w:rPr>
      </w:pPr>
      <w:r>
        <w:rPr>
          <w:rStyle w:val="tgc"/>
        </w:rPr>
        <w:tab/>
      </w:r>
      <w:r w:rsidRPr="00103DF9">
        <w:rPr>
          <w:rStyle w:val="tgc"/>
        </w:rPr>
        <w:t xml:space="preserve">In developing upon the Eliasian toolkit, Linklater’s approach is well-equipped to contest a wide variety of static or process-reducing ideas of scientific activity and explanation. In particular, a focus on historical investigation and the empirical testability of mid-range theories – of which the Civilising Process provides a key model – radically undermines atomistic models of social explanation. However, it does so by defining processes in empirical rather than causal terms. While it is clear that processes are key to the explanations that process sociology seeks to provide, emphasis is placed on the extent to which these are non-teleological, subject to reversals, and primarily applicable over very long time periods. </w:t>
      </w:r>
      <w:r>
        <w:rPr>
          <w:rStyle w:val="tgc"/>
        </w:rPr>
        <w:t>This</w:t>
      </w:r>
      <w:r w:rsidRPr="00103DF9">
        <w:rPr>
          <w:rStyle w:val="tgc"/>
        </w:rPr>
        <w:t xml:space="preserve"> formulation is able to fulfil one of its primary aims – the destruction of myths of social autonomy and present-centeredness – but does so in a correlative manner; it does not engage deeper with questions of social action by analytically separating the appearance of social processes from the actual causal interactions that underpin social life.</w:t>
      </w:r>
      <w:r w:rsidRPr="00103DF9">
        <w:rPr>
          <w:rStyle w:val="FootnoteReference"/>
        </w:rPr>
        <w:footnoteReference w:id="58"/>
      </w:r>
      <w:r>
        <w:rPr>
          <w:rStyle w:val="tgc"/>
        </w:rPr>
        <w:t xml:space="preserve"> Such a separation, </w:t>
      </w:r>
      <w:r w:rsidR="00B64D2F">
        <w:rPr>
          <w:rStyle w:val="tgc"/>
        </w:rPr>
        <w:t>in practical terms</w:t>
      </w:r>
      <w:r>
        <w:rPr>
          <w:rStyle w:val="tgc"/>
        </w:rPr>
        <w:t>, is essential in understanding the complex ways in which individual action becomes implicated in processes of large-scale and unintended harm.</w:t>
      </w:r>
    </w:p>
    <w:p w14:paraId="5E63395A" w14:textId="487C8977" w:rsidR="007D130B" w:rsidRPr="00C434EC" w:rsidRDefault="007D130B" w:rsidP="007D130B">
      <w:pPr>
        <w:rPr>
          <w:rStyle w:val="tgc"/>
        </w:rPr>
      </w:pPr>
      <w:r>
        <w:rPr>
          <w:rStyle w:val="tgc"/>
        </w:rPr>
        <w:tab/>
        <w:t xml:space="preserve">Mitchell’s critique presents a more forceful objection to the Eliasian project when it highlights the role of knowledge </w:t>
      </w:r>
      <w:r>
        <w:rPr>
          <w:rStyle w:val="tgc"/>
        </w:rPr>
        <w:lastRenderedPageBreak/>
        <w:t xml:space="preserve">production </w:t>
      </w:r>
      <w:r>
        <w:rPr>
          <w:rStyle w:val="tgc"/>
          <w:i/>
        </w:rPr>
        <w:t>for</w:t>
      </w:r>
      <w:r>
        <w:rPr>
          <w:rStyle w:val="tgc"/>
        </w:rPr>
        <w:t xml:space="preserve"> human subjects as core to the kinds of accounts that Linklater provides. This has </w:t>
      </w:r>
      <w:r w:rsidR="00B64D2F">
        <w:rPr>
          <w:rStyle w:val="tgc"/>
        </w:rPr>
        <w:t>arisen</w:t>
      </w:r>
      <w:r>
        <w:rPr>
          <w:rStyle w:val="tgc"/>
        </w:rPr>
        <w:t xml:space="preserve"> in debates centre</w:t>
      </w:r>
      <w:r w:rsidR="00A3584E">
        <w:rPr>
          <w:rStyle w:val="tgc"/>
        </w:rPr>
        <w:t>d</w:t>
      </w:r>
      <w:r>
        <w:rPr>
          <w:rStyle w:val="tgc"/>
        </w:rPr>
        <w:t xml:space="preserve"> on the nature of the ‘control’ that constitutes one of the deferred aims of sociological knowledge fully formed.</w:t>
      </w:r>
      <w:r>
        <w:rPr>
          <w:rStyle w:val="FootnoteReference"/>
        </w:rPr>
        <w:footnoteReference w:id="59"/>
      </w:r>
      <w:r>
        <w:rPr>
          <w:rStyle w:val="tgc"/>
        </w:rPr>
        <w:t xml:space="preserve"> In short, while the Eliasian framework is far from committed to anthropocentrism on the basis of ontology, it may be on the basis of </w:t>
      </w:r>
      <w:r w:rsidR="00B64D2F">
        <w:rPr>
          <w:rStyle w:val="tgc"/>
        </w:rPr>
        <w:t>underlying normative priorities</w:t>
      </w:r>
      <w:r>
        <w:rPr>
          <w:rStyle w:val="tgc"/>
        </w:rPr>
        <w:t xml:space="preserve">. </w:t>
      </w:r>
      <w:r w:rsidRPr="00A3584E">
        <w:rPr>
          <w:i/>
        </w:rPr>
        <w:t>Contra</w:t>
      </w:r>
      <w:r w:rsidR="00A3584E">
        <w:t xml:space="preserve"> </w:t>
      </w:r>
      <w:r>
        <w:t>instrumental</w:t>
      </w:r>
      <w:r w:rsidR="00B64D2F">
        <w:t>ism</w:t>
      </w:r>
      <w:r>
        <w:t xml:space="preserve">, Elias’ suggestion </w:t>
      </w:r>
      <w:r w:rsidR="00B64D2F">
        <w:t>is</w:t>
      </w:r>
      <w:r>
        <w:t xml:space="preserve"> that sociological knowledge might sensitise us to </w:t>
      </w:r>
      <w:r w:rsidR="00A3584E">
        <w:t>interdependency</w:t>
      </w:r>
      <w:r>
        <w:t xml:space="preserve"> in the way Mitchell hopes.</w:t>
      </w:r>
      <w:r>
        <w:rPr>
          <w:rStyle w:val="FootnoteReference"/>
        </w:rPr>
        <w:footnoteReference w:id="60"/>
      </w:r>
      <w:r>
        <w:t xml:space="preserve"> However, this process remains indeterminate as part of broader social processes as ‘we may not know where the detour via detachment will take us’ and have to assume that we do not ‘get lost along the way.’</w:t>
      </w:r>
      <w:r>
        <w:rPr>
          <w:rStyle w:val="FootnoteReference"/>
        </w:rPr>
        <w:footnoteReference w:id="61"/>
      </w:r>
      <w:r>
        <w:t xml:space="preserve"> </w:t>
      </w:r>
      <w:r>
        <w:rPr>
          <w:rStyle w:val="tgc"/>
        </w:rPr>
        <w:t xml:space="preserve">Rather than the reduction of explanation to problems of moral philosophy, or the transcending of ethical problems through scientific means, this suggests the continued </w:t>
      </w:r>
      <w:r w:rsidR="00A3584E">
        <w:rPr>
          <w:rStyle w:val="tgc"/>
        </w:rPr>
        <w:t>importance of</w:t>
      </w:r>
      <w:r>
        <w:rPr>
          <w:rStyle w:val="tgc"/>
        </w:rPr>
        <w:t xml:space="preserve"> negotiating a position between philosophy and social science with regard to a discipline that places claims on both. </w:t>
      </w:r>
      <w:r>
        <w:t>The tension cannot be removed, but the ambiguities in each account suggest that it can be clarified with a view to making it more productive. This task, I suggest, can be undertaken through the lens of Critical Realism (CR), a philosophy of science which attempts to address the r</w:t>
      </w:r>
      <w:r w:rsidR="0042784E">
        <w:t>elationship between explanation</w:t>
      </w:r>
      <w:r>
        <w:t xml:space="preserve"> and values that lies at the core of IR.</w:t>
      </w:r>
    </w:p>
    <w:p w14:paraId="1F9C1AF9" w14:textId="77777777" w:rsidR="007D130B" w:rsidRDefault="007D130B" w:rsidP="007D130B">
      <w:r>
        <w:rPr>
          <w:rStyle w:val="tgc"/>
        </w:rPr>
        <w:lastRenderedPageBreak/>
        <w:tab/>
      </w:r>
    </w:p>
    <w:p w14:paraId="42C37DCD" w14:textId="77777777" w:rsidR="007D130B" w:rsidRDefault="007D130B" w:rsidP="007D130B">
      <w:pPr>
        <w:pStyle w:val="Heading2"/>
      </w:pPr>
      <w:bookmarkStart w:id="7" w:name="_Toc501028842"/>
      <w:r>
        <w:t>A Realist Foundation for the Problem of Harm</w:t>
      </w:r>
      <w:bookmarkEnd w:id="7"/>
    </w:p>
    <w:p w14:paraId="60BDF5EA" w14:textId="541BF2A1" w:rsidR="007D130B" w:rsidRDefault="007D130B" w:rsidP="007D130B">
      <w:r>
        <w:tab/>
        <w:t xml:space="preserve">Through each approach, the problems that harm raises for IR are formulated within a similar problem field that goes to the core of how we understand the role of the social sciences. In short, an insistence on empiricism underpins a sceptical attitude toward the adequacy of explanations to the richness and heterogeneity </w:t>
      </w:r>
      <w:r w:rsidR="00555291">
        <w:t>of</w:t>
      </w:r>
      <w:r>
        <w:t xml:space="preserve"> the object</w:t>
      </w:r>
      <w:r w:rsidR="00555291">
        <w:t>s</w:t>
      </w:r>
      <w:r>
        <w:t xml:space="preserve"> to which harm refers. In Linklater’s case, the </w:t>
      </w:r>
      <w:r w:rsidR="00765F8D">
        <w:t>gap</w:t>
      </w:r>
      <w:r>
        <w:t xml:space="preserve"> between empirical and real processes is characterised as a failure of detachment; if this is the case, the re-valuation of harm must be deferred until the detour via detachment is concluded. Mitchell</w:t>
      </w:r>
      <w:r w:rsidR="004C3852">
        <w:t xml:space="preserve">’s </w:t>
      </w:r>
      <w:r>
        <w:t xml:space="preserve">commitment to complexity and co-becoming operates concurrently with, but not internally to, the process of social science. In each case the relationship between explanation and values is a negative one, diagnosing IR’s inadequacies in addressing the problem of harm while deferring the positive case </w:t>
      </w:r>
      <w:r w:rsidR="00765F8D">
        <w:t>for the discipline’s future contribution</w:t>
      </w:r>
      <w:r>
        <w:t xml:space="preserve">. </w:t>
      </w:r>
      <w:r w:rsidR="004C3852">
        <w:t>W</w:t>
      </w:r>
      <w:r>
        <w:t xml:space="preserve">e </w:t>
      </w:r>
      <w:r w:rsidR="004C3852">
        <w:t>find ourselves</w:t>
      </w:r>
      <w:r>
        <w:t xml:space="preserve"> stuck between philosophy and social science, unable to bridge the two and despite the promise to do so, particularly when confronted with the pressures on explanation presented by global challenges.</w:t>
      </w:r>
      <w:r>
        <w:rPr>
          <w:rStyle w:val="FootnoteReference"/>
        </w:rPr>
        <w:footnoteReference w:id="62"/>
      </w:r>
    </w:p>
    <w:p w14:paraId="7290070B" w14:textId="1B0E8DCC" w:rsidR="007D130B" w:rsidRDefault="007D130B" w:rsidP="007D130B">
      <w:r>
        <w:tab/>
        <w:t xml:space="preserve">Contrary to this consensus, I argue that a re-examination of the problem of harm through the lens of CR can take advantage of its unique account of the relationship between empirical-historical research and ethical enquiry. As such, it presents a way of re-situating the insights of each author while </w:t>
      </w:r>
      <w:r>
        <w:lastRenderedPageBreak/>
        <w:t>providing grounds for a</w:t>
      </w:r>
      <w:r w:rsidR="004C3852">
        <w:t>n</w:t>
      </w:r>
      <w:r>
        <w:t xml:space="preserve"> engagement with the new challenges that harm poses for the discipline. Such meta-theoretical enquiries are well-developed in IR, with thinkers drawing on a wide variety of traditions in the philosophy of science as a way of arguing for the </w:t>
      </w:r>
      <w:r w:rsidR="00765F8D">
        <w:t>disciplinary</w:t>
      </w:r>
      <w:r>
        <w:t xml:space="preserve"> implications of philosophical </w:t>
      </w:r>
      <w:r w:rsidR="00765F8D">
        <w:t>debates</w:t>
      </w:r>
      <w:r>
        <w:t>.</w:t>
      </w:r>
      <w:r>
        <w:rPr>
          <w:rStyle w:val="FootnoteReference"/>
        </w:rPr>
        <w:footnoteReference w:id="63"/>
      </w:r>
      <w:r>
        <w:t xml:space="preserve"> The focus here, however, lies primarily with arguments </w:t>
      </w:r>
      <w:r w:rsidR="004C3852">
        <w:t>for a</w:t>
      </w:r>
      <w:r>
        <w:t xml:space="preserve"> broadening of the concept of causation and a concomitant expansion of IR’s ethical-explanatory vocabulary with regard to large-scale harm.  In this vein, the aim is to develop a perspective that can sustain the insights of Mitchell and Linklater while a) developing a link between values and explanation </w:t>
      </w:r>
      <w:r>
        <w:rPr>
          <w:i/>
        </w:rPr>
        <w:t>within</w:t>
      </w:r>
      <w:r>
        <w:t xml:space="preserve"> the process of scientific explanation and b) contributing an account of the role of abstraction </w:t>
      </w:r>
      <w:r w:rsidRPr="009258B6">
        <w:t>that can ground future work into the structure of global challenges.</w:t>
      </w:r>
    </w:p>
    <w:p w14:paraId="1A6B2690" w14:textId="0F22E4D4" w:rsidR="007D130B" w:rsidRDefault="007D130B" w:rsidP="007D130B">
      <w:r>
        <w:tab/>
        <w:t>A starting point for this reconstruction can be found in both authors’ essentially realist orientation toward the problem of harm</w:t>
      </w:r>
      <w:r w:rsidR="004C3852">
        <w:t>.</w:t>
      </w:r>
      <w:r>
        <w:t xml:space="preserve"> While the definition of harm is socially negotiated, the object of harm is not reducible to this discourse</w:t>
      </w:r>
      <w:r w:rsidR="004C3852">
        <w:t xml:space="preserve"> for either</w:t>
      </w:r>
      <w:r>
        <w:t xml:space="preserve">. This realism is key to the tension outlined above in allowing for partiality or inadequacy in concepts of harm. For both, however, this insight rests on a philosophical rather than a scientific ontology. Regardless of normative concern, science remains caught within the sceptical problem field that </w:t>
      </w:r>
      <w:r w:rsidR="00037301">
        <w:t>is</w:t>
      </w:r>
      <w:r>
        <w:t xml:space="preserve"> Hume’s legacy in arguing that causation </w:t>
      </w:r>
      <w:r w:rsidR="00037301">
        <w:t>can</w:t>
      </w:r>
      <w:r>
        <w:t xml:space="preserve"> only be in</w:t>
      </w:r>
      <w:r>
        <w:lastRenderedPageBreak/>
        <w:t xml:space="preserve">ferred, not directly observed. </w:t>
      </w:r>
      <w:r w:rsidR="004C3852">
        <w:t xml:space="preserve">The problems of scientific </w:t>
      </w:r>
      <w:r w:rsidR="00B64D2F">
        <w:t>explanation</w:t>
      </w:r>
      <w:r w:rsidR="004C3852">
        <w:t xml:space="preserve"> are formulated, </w:t>
      </w:r>
      <w:r w:rsidR="00037301">
        <w:t>on this view</w:t>
      </w:r>
      <w:r w:rsidR="004C3852">
        <w:t>, in primarily epistemological terms.</w:t>
      </w:r>
    </w:p>
    <w:p w14:paraId="1BB315A4" w14:textId="6985E79B" w:rsidR="007D130B" w:rsidRDefault="007D130B" w:rsidP="007D130B">
      <w:pPr>
        <w:rPr>
          <w:rFonts w:cs="Times New Roman"/>
        </w:rPr>
      </w:pPr>
      <w:r>
        <w:tab/>
        <w:t>Both supplement this e</w:t>
      </w:r>
      <w:r w:rsidR="00037301">
        <w:t>mpiricist framework with</w:t>
      </w:r>
      <w:r>
        <w:t xml:space="preserve"> </w:t>
      </w:r>
      <w:r w:rsidR="00037301">
        <w:t>s</w:t>
      </w:r>
      <w:r>
        <w:t xml:space="preserve">ubstantive sociologies of knowledge in </w:t>
      </w:r>
      <w:r w:rsidR="004C3852">
        <w:t>arguing for the origins of partiality</w:t>
      </w:r>
      <w:r>
        <w:t>. Linklater’s deployment of Eliasian arguments concerning the centrality of detachment in the natural sciences and the failure of the social sciences in following this path suggests a core of realism that has not yet been developed at the level of complexity that could underpin explanations of social life.</w:t>
      </w:r>
      <w:r>
        <w:rPr>
          <w:rStyle w:val="FootnoteReference"/>
        </w:rPr>
        <w:footnoteReference w:id="64"/>
      </w:r>
      <w:r>
        <w:t xml:space="preserve"> While Mitchell rejects the extension of arguments for the withdrawal of objects to a metaphysical level (as in the work of Morton and Harman), the sociological thrust of the Deleuzian-Latourian nexus that characterises the current wave of Science and Technology Studies (STS) prompts an emphasis on contingency and an attempt to reclaim a vitalistic aesthetic.</w:t>
      </w:r>
      <w:r>
        <w:rPr>
          <w:rStyle w:val="FootnoteReference"/>
        </w:rPr>
        <w:footnoteReference w:id="65"/>
      </w:r>
      <w:r>
        <w:rPr>
          <w:rFonts w:cs="Times New Roman"/>
        </w:rPr>
        <w:t xml:space="preserve"> By contrast, I argue firstly that a scientific rather than abstract philosophical realism is possible, and secondly that linking harm and its object </w:t>
      </w:r>
      <w:r>
        <w:rPr>
          <w:rFonts w:cs="Times New Roman"/>
          <w:i/>
        </w:rPr>
        <w:t>within</w:t>
      </w:r>
      <w:r>
        <w:rPr>
          <w:rFonts w:cs="Times New Roman"/>
        </w:rPr>
        <w:t xml:space="preserve"> IR provides insights into how the discipline might orient itself toward large-scale harm in ethical and explanatory terms.</w:t>
      </w:r>
    </w:p>
    <w:p w14:paraId="4051F850" w14:textId="3930BEBC" w:rsidR="007D130B" w:rsidRDefault="007D130B" w:rsidP="007D130B">
      <w:r>
        <w:tab/>
        <w:t xml:space="preserve">This argument begins with Bhaskar’s analysis of experimental activity in the natural sciences, which re-stages the distinction between the objective causal interactions that occur </w:t>
      </w:r>
      <w:r>
        <w:lastRenderedPageBreak/>
        <w:t>in experiments and the conceptual schema that informs explanation.</w:t>
      </w:r>
      <w:r>
        <w:rPr>
          <w:rStyle w:val="FootnoteReference"/>
        </w:rPr>
        <w:footnoteReference w:id="66"/>
      </w:r>
      <w:r>
        <w:t xml:space="preserve"> However, rather than framing this </w:t>
      </w:r>
      <w:r w:rsidR="001E4765">
        <w:t>epistemologically</w:t>
      </w:r>
      <w:r>
        <w:t>, CR emphasis</w:t>
      </w:r>
      <w:r w:rsidR="00B64D2F">
        <w:t>es</w:t>
      </w:r>
      <w:r>
        <w:t xml:space="preserve"> how contingency in open systems demonstrates the practical and causal implication of the controls scientists impose when enacting the conditions of experimental closure. Science in this sense has a practical dimension that presupposes the reality of causation and the objects to which explanations refer. If this is the case, then causation is more than just perception or inference</w:t>
      </w:r>
      <w:r w:rsidR="006E60D5">
        <w:t>, and</w:t>
      </w:r>
      <w:r>
        <w:t xml:space="preserve"> must inhere in objects and their relations. More generally, this grounds a distinction between the actualisation of causal mechanisms under experimental conditions and the complexity of causal interaction in open systems such as society.</w:t>
      </w:r>
      <w:r>
        <w:tab/>
      </w:r>
    </w:p>
    <w:p w14:paraId="23AFF6B2" w14:textId="7C042529" w:rsidR="007D130B" w:rsidRDefault="007D130B" w:rsidP="007D130B">
      <w:r>
        <w:tab/>
        <w:t>The resulting depth ontology</w:t>
      </w:r>
      <w:r w:rsidR="006E60D5">
        <w:t xml:space="preserve"> is nested,</w:t>
      </w:r>
      <w:r>
        <w:t xml:space="preserve"> </w:t>
      </w:r>
      <w:r w:rsidR="00811DED">
        <w:t>with</w:t>
      </w:r>
      <w:r>
        <w:t xml:space="preserve"> the domain of empirical experience and explanation </w:t>
      </w:r>
      <w:r w:rsidR="00811DED">
        <w:t>being</w:t>
      </w:r>
      <w:r>
        <w:t xml:space="preserve"> overreached by the domain of actual events, which in turn is overreached by the potential of causal mechanisms in open systems.</w:t>
      </w:r>
      <w:r>
        <w:rPr>
          <w:rStyle w:val="FootnoteReference"/>
        </w:rPr>
        <w:footnoteReference w:id="67"/>
      </w:r>
      <w:r>
        <w:t xml:space="preserve"> This sustains the insights of Mitchell and Linklater in arguing for epistemic relativism, but does so while prese</w:t>
      </w:r>
      <w:r w:rsidR="001E4765">
        <w:t>rving</w:t>
      </w:r>
      <w:r>
        <w:t xml:space="preserve"> a route past scepticism that centres on the practical development of scientific explanation. On this view, the causal mechanisms that science engages are not reducible to the conceptual schema of the scientist. This serves to reframe Linklater’s argument for detachment in two voices; the sociological in accordance with Eliasian insights concerning </w:t>
      </w:r>
      <w:r w:rsidR="006E60D5">
        <w:t>emotional involvement</w:t>
      </w:r>
      <w:r>
        <w:t xml:space="preserve">, and the </w:t>
      </w:r>
      <w:r>
        <w:lastRenderedPageBreak/>
        <w:t xml:space="preserve">ontological through which explanations of objects become less dependent on conditions of experimental closure. In doing so, it becomes possible to find a place for both </w:t>
      </w:r>
      <w:r w:rsidR="001E4765">
        <w:t>ontological realism a</w:t>
      </w:r>
      <w:r w:rsidR="006E60D5">
        <w:t>longside</w:t>
      </w:r>
      <w:r w:rsidR="001E4765">
        <w:t xml:space="preserve"> epistemological scepticism</w:t>
      </w:r>
      <w:r>
        <w:t>.</w:t>
      </w:r>
    </w:p>
    <w:p w14:paraId="3097D824" w14:textId="2162BFD0" w:rsidR="007D130B" w:rsidRDefault="007D130B" w:rsidP="007D130B">
      <w:r>
        <w:tab/>
        <w:t xml:space="preserve">Here we also find the rational kernel of the arguments deployed by Mitchell. To say that we can never know the entirety of an object does not mean we cannot know it at all; that explanations are able to refer to (and inform the actualisation of) real causal mechanisms demonstrates that realism in the sciences is warranted. </w:t>
      </w:r>
      <w:r w:rsidR="006E60D5">
        <w:t>This</w:t>
      </w:r>
      <w:r>
        <w:t xml:space="preserve"> is more complex as we move from </w:t>
      </w:r>
      <w:r w:rsidR="001E4765">
        <w:t>laboratory</w:t>
      </w:r>
      <w:r>
        <w:t xml:space="preserve"> closure to global processes, but the difficulties involved do not lead directly to an assumption of scientific objects being inaccessible, as Mitchell acknowledges but does not further develop.</w:t>
      </w:r>
      <w:r>
        <w:rPr>
          <w:rStyle w:val="FootnoteReference"/>
        </w:rPr>
        <w:footnoteReference w:id="68"/>
      </w:r>
      <w:r>
        <w:t xml:space="preserve"> </w:t>
      </w:r>
      <w:r w:rsidR="006E60D5">
        <w:t>I</w:t>
      </w:r>
      <w:r>
        <w:t xml:space="preserve">n accordance with the interventions above and buttressed by the ethical concern that the harm provokes, the relationship between harm and its object in IR constitutes a pressing – but nonetheless practical – problem. </w:t>
      </w:r>
    </w:p>
    <w:p w14:paraId="4C4BAFE0" w14:textId="77777777" w:rsidR="007D130B" w:rsidRDefault="007D130B" w:rsidP="007D130B">
      <w:pPr>
        <w:rPr>
          <w:rFonts w:cs="Times New Roman"/>
        </w:rPr>
      </w:pPr>
      <w:r>
        <w:tab/>
        <w:t>Enquiring into the causal mechanisms that underpin particular historical objects makes possible an engagement with the emergence, causal powers and tendencies of structures as a key referent in explaining the emergence of forms of harm.</w:t>
      </w:r>
      <w:r>
        <w:rPr>
          <w:rStyle w:val="FootnoteReference"/>
        </w:rPr>
        <w:footnoteReference w:id="69"/>
      </w:r>
      <w:r>
        <w:rPr>
          <w:rFonts w:ascii="Times New Roman" w:hAnsi="Times New Roman"/>
          <w:sz w:val="24"/>
          <w:szCs w:val="24"/>
        </w:rPr>
        <w:t xml:space="preserve"> </w:t>
      </w:r>
      <w:r>
        <w:t xml:space="preserve">In empirical enquiry, that objects </w:t>
      </w:r>
      <w:r w:rsidRPr="00271BF2">
        <w:t>emerge from a network of determinate and real causal mechanisms suggests that the social world is more or less structured across a variety of different timescales and modes of extension. Work</w:t>
      </w:r>
      <w:r>
        <w:t xml:space="preserve"> done by authors </w:t>
      </w:r>
      <w:r>
        <w:lastRenderedPageBreak/>
        <w:t>in the realist tradition thereby offers a paradigmatic shift in explanation that incorporates a variety of distinct causal types.</w:t>
      </w:r>
      <w:r>
        <w:rPr>
          <w:rStyle w:val="FootnoteReference"/>
        </w:rPr>
        <w:footnoteReference w:id="70"/>
      </w:r>
      <w:r>
        <w:rPr>
          <w:rFonts w:ascii="Times New Roman" w:hAnsi="Times New Roman" w:cs="Times New Roman"/>
          <w:sz w:val="24"/>
          <w:szCs w:val="24"/>
        </w:rPr>
        <w:t xml:space="preserve"> </w:t>
      </w:r>
      <w:r>
        <w:rPr>
          <w:rFonts w:cs="Times New Roman"/>
        </w:rPr>
        <w:t xml:space="preserve">While empiricist scepticism has focussed on the epistemological uncertainty of efficient (‘billiard ball’) causation and the threat to contingency posed by teleological (‘final’) determinism, the fundamental explanatory contribution of CR from the point of view of this article centres on the role of material and formal causes in structural explanation. </w:t>
      </w:r>
    </w:p>
    <w:p w14:paraId="0EA6F334" w14:textId="46127F05" w:rsidR="007D130B" w:rsidRDefault="007D130B" w:rsidP="007D130B">
      <w:r>
        <w:tab/>
        <w:t>Kurki’s analysis of causation suggests that in the analysis of harm, the conventional focus on ‘active’ or ‘extrinsic’ causes (efficient and final) can serve to underpin harm claims in way</w:t>
      </w:r>
      <w:r w:rsidR="005C4786">
        <w:t>s</w:t>
      </w:r>
      <w:r>
        <w:t xml:space="preserve"> that leads the discipline to focus on the interaction between particular events and normative expectations.</w:t>
      </w:r>
      <w:r>
        <w:rPr>
          <w:rStyle w:val="FootnoteReference"/>
        </w:rPr>
        <w:footnoteReference w:id="71"/>
      </w:r>
      <w:r>
        <w:t xml:space="preserve"> Such explanations return us directly to Humean scepticism in the first case, and normative relativism in the second; a strong limitation given the complexity of causal interaction and multiple normative contexts at the global level and one which profoundly limits any argument for the role of large scale global structures in harm claims. By incorporating the ‘constitutive’ or ‘intrinsic’ (material and formal) causal dimensions, CR argues for the addition of both material distributions and the internal structuring of causal complexes. In doing so, it provides a language for explaining historical processes that are made in some way by people, but with materials that were given or transmitted from the past and which have trajectories and distributions </w:t>
      </w:r>
      <w:r>
        <w:lastRenderedPageBreak/>
        <w:t>that cannot be explained solely through the intentional activity of subjects.</w:t>
      </w:r>
    </w:p>
    <w:p w14:paraId="35CCC8AA" w14:textId="2A289D25" w:rsidR="007D130B" w:rsidRDefault="007D130B" w:rsidP="007D130B">
      <w:r>
        <w:tab/>
        <w:t>This broadening of causation can, I argue, underpin a concept of structure that both Linklater and Mitchell look toward but do not reach</w:t>
      </w:r>
      <w:r w:rsidR="005C4786">
        <w:t>,</w:t>
      </w:r>
      <w:r>
        <w:t xml:space="preserve"> and which provides a starting point for IR’s engagement with new forms of harm such as ecological crises. Indeed, Linklater notes that structural harm describes ‘harms that have less to do with the intentions of particular people than with structural compulsions and imperatives.’</w:t>
      </w:r>
      <w:r>
        <w:rPr>
          <w:rStyle w:val="FootnoteReference"/>
        </w:rPr>
        <w:footnoteReference w:id="72"/>
      </w:r>
      <w:r>
        <w:rPr>
          <w:rFonts w:ascii="Times New Roman" w:hAnsi="Times New Roman"/>
          <w:sz w:val="24"/>
          <w:szCs w:val="24"/>
        </w:rPr>
        <w:t xml:space="preserve"> </w:t>
      </w:r>
      <w:r>
        <w:t>This suggests the possibility of an account of harm that is not reducible to cruelty, the point upon which liberal approaches to harm often rest.</w:t>
      </w:r>
      <w:r>
        <w:rPr>
          <w:rStyle w:val="FootnoteReference"/>
        </w:rPr>
        <w:footnoteReference w:id="73"/>
      </w:r>
      <w:r>
        <w:t xml:space="preserve"> However, while the concept of figuration and a focus on interconnection </w:t>
      </w:r>
      <w:r w:rsidR="001E4765">
        <w:t>looks</w:t>
      </w:r>
      <w:r>
        <w:t xml:space="preserve"> beyond the atomic or ‘homo clausus’ subject, processes themselves are not elaborated causally in process sociology and are subject to consistent qualification regarding the possibility of halts, inversions or regressions.</w:t>
      </w:r>
      <w:r>
        <w:rPr>
          <w:rStyle w:val="FootnoteReference"/>
        </w:rPr>
        <w:footnoteReference w:id="74"/>
      </w:r>
      <w:r>
        <w:t xml:space="preserve"> This focus on empirical processes, in conjunction with the stabilising </w:t>
      </w:r>
      <w:r w:rsidR="001E4765">
        <w:t xml:space="preserve">generalisations </w:t>
      </w:r>
      <w:r>
        <w:t xml:space="preserve">of a long-term focus, precludes causation and causal relationships – structure – across time as a key contribution to processes of ethical deliberation. </w:t>
      </w:r>
      <w:r w:rsidR="001E4765">
        <w:t>T</w:t>
      </w:r>
      <w:r>
        <w:t xml:space="preserve">he causal language of CR provides </w:t>
      </w:r>
      <w:r w:rsidR="00686CDB">
        <w:t>a decentring impetus</w:t>
      </w:r>
      <w:r>
        <w:t xml:space="preserve"> that a focus on long-term processes may preclude.</w:t>
      </w:r>
    </w:p>
    <w:p w14:paraId="0C3AF322" w14:textId="7746CB70" w:rsidR="007D130B" w:rsidRPr="006250DB" w:rsidRDefault="007D130B" w:rsidP="007D130B">
      <w:r>
        <w:rPr>
          <w:b/>
        </w:rPr>
        <w:lastRenderedPageBreak/>
        <w:tab/>
      </w:r>
      <w:r>
        <w:t>Moreover, it provides an analysis of causal relations and implication that can substantiate Mitchell’s argument for the importance of ‘lively’ matter as the excluded presupposition of IR’s objects of concern.</w:t>
      </w:r>
      <w:r>
        <w:rPr>
          <w:rStyle w:val="FootnoteReference"/>
        </w:rPr>
        <w:footnoteReference w:id="75"/>
      </w:r>
      <w:r>
        <w:t xml:space="preserve"> While Mitchell’s concerns may exceed this scientific reading, I suggest that within IR such a vocabulary can provide a starting point not from the ambitious concern for objects as such, but a more modest</w:t>
      </w:r>
      <w:r w:rsidR="00811DED">
        <w:t xml:space="preserve"> and historically grounded</w:t>
      </w:r>
      <w:r>
        <w:t xml:space="preserve"> concern with objects as they develop through causal relations of interrelation and individuation. To repeat; IR is not exhausted by this social-scientific form of enquiry but it is nonetheless an essential aspect of its future development. The aim, then, is to develop an explanatory strategy that can begin to engage with the questions of scale, distribution and visibility that Mitchell notes while not falling into the trap of assuming a fundamental ‘withdrawnness’ that she rightly criticises as providing little analytical purchase for a discipline with irreducibly ethical concerns.</w:t>
      </w:r>
      <w:r>
        <w:rPr>
          <w:rStyle w:val="FootnoteReference"/>
        </w:rPr>
        <w:footnoteReference w:id="76"/>
      </w:r>
      <w:r>
        <w:t xml:space="preserve"> </w:t>
      </w:r>
    </w:p>
    <w:p w14:paraId="4C8E1CDE" w14:textId="437B31B6" w:rsidR="007D130B" w:rsidRDefault="007D130B" w:rsidP="007D130B">
      <w:r>
        <w:tab/>
        <w:t xml:space="preserve">That the object of social scientific explanation is constituted by </w:t>
      </w:r>
      <w:r w:rsidR="005C4786">
        <w:t>re</w:t>
      </w:r>
      <w:r>
        <w:t xml:space="preserve">al, structured causal powers provides two key principles that, I argue, are core to IR’s engagement with large scale harm and are at the core of its relationship to objects. The first consists is the theory of emergence, through which objects exhibit causal powers that cannot be explained purely by reference to their constituents, and the second rests on the distinction between internal and external relations. Within IR, the former can be seen in work on uneven and combined development, which has argued forcefully for multiplicity as both </w:t>
      </w:r>
      <w:r>
        <w:lastRenderedPageBreak/>
        <w:t>an emergent dynamic and irreducible property of the international and which is constitutive of IR’s object of study.</w:t>
      </w:r>
      <w:r>
        <w:rPr>
          <w:rStyle w:val="FootnoteReference"/>
        </w:rPr>
        <w:footnoteReference w:id="77"/>
      </w:r>
      <w:r>
        <w:rPr>
          <w:rFonts w:ascii="Times New Roman" w:hAnsi="Times New Roman" w:cs="Times New Roman"/>
          <w:sz w:val="24"/>
          <w:szCs w:val="24"/>
        </w:rPr>
        <w:t xml:space="preserve"> </w:t>
      </w:r>
      <w:r>
        <w:t>Both Linklater and Mitchell draw upon notions of emergence in a pragmatic sense; for Linklater, power relations arise in ways which make reference to interdependent figurations while Mitchell’s argument for the properties of marine plastic acknowledge its complex natural/social basis of production and irreducibility.</w:t>
      </w:r>
      <w:r>
        <w:rPr>
          <w:rStyle w:val="FootnoteReference"/>
        </w:rPr>
        <w:footnoteReference w:id="78"/>
      </w:r>
      <w:r>
        <w:t xml:space="preserve"> Setting out the ontological basis for such a concept, I suggest, provides a starting-point for work that might investigate </w:t>
      </w:r>
      <w:r w:rsidR="00686CDB">
        <w:t xml:space="preserve">the </w:t>
      </w:r>
      <w:r>
        <w:t xml:space="preserve">causal powers and irreducibility of large scale objects </w:t>
      </w:r>
      <w:r w:rsidR="00686CDB">
        <w:t>and</w:t>
      </w:r>
      <w:r>
        <w:t xml:space="preserve"> </w:t>
      </w:r>
      <w:r w:rsidR="00686CDB">
        <w:t>frame</w:t>
      </w:r>
      <w:r>
        <w:t xml:space="preserve"> future studies of large</w:t>
      </w:r>
      <w:r w:rsidR="00686CDB">
        <w:t>-</w:t>
      </w:r>
      <w:r>
        <w:t>scale and structural harm. Such a standpoint might account for both the great amount of practical work that goes into maintaining objects such as social structure while still maintaining</w:t>
      </w:r>
      <w:r w:rsidR="009B62D8">
        <w:t xml:space="preserve"> subjects’ inability to</w:t>
      </w:r>
      <w:r>
        <w:t xml:space="preserve"> wish away historical inheritances, resources or traditions.</w:t>
      </w:r>
      <w:r>
        <w:rPr>
          <w:rStyle w:val="FootnoteReference"/>
        </w:rPr>
        <w:footnoteReference w:id="79"/>
      </w:r>
    </w:p>
    <w:p w14:paraId="02F64F5D" w14:textId="078FD41A" w:rsidR="007D130B" w:rsidRDefault="007D130B" w:rsidP="007D130B">
      <w:r>
        <w:lastRenderedPageBreak/>
        <w:tab/>
        <w:t xml:space="preserve">While the idea of emergence is not one of hierarchy, </w:t>
      </w:r>
      <w:r w:rsidR="00F616DA">
        <w:t>it does</w:t>
      </w:r>
      <w:r>
        <w:t xml:space="preserve"> suggest that their </w:t>
      </w:r>
      <w:r w:rsidR="00F616DA">
        <w:t xml:space="preserve">historical </w:t>
      </w:r>
      <w:r>
        <w:t>relations</w:t>
      </w:r>
      <w:r w:rsidR="00F616DA">
        <w:t xml:space="preserve"> and constitution</w:t>
      </w:r>
      <w:r>
        <w:t xml:space="preserve"> can be understood as internal and external. The former are relations which are necessary for an object to be (or remain) what it is, while the latter are equally important but are, in broad terms, contingent.</w:t>
      </w:r>
      <w:r>
        <w:rPr>
          <w:rStyle w:val="FootnoteReference"/>
        </w:rPr>
        <w:footnoteReference w:id="80"/>
      </w:r>
      <w:r>
        <w:t xml:space="preserve"> Combined with </w:t>
      </w:r>
      <w:r w:rsidR="0073560C">
        <w:t>a</w:t>
      </w:r>
      <w:r>
        <w:t xml:space="preserve"> broader causal framework, a large amount of the work done in IR</w:t>
      </w:r>
      <w:r w:rsidR="0073560C">
        <w:t xml:space="preserve"> </w:t>
      </w:r>
      <w:r>
        <w:t>consists in working toward an understanding of the constitution</w:t>
      </w:r>
      <w:r w:rsidR="0073560C">
        <w:t>,</w:t>
      </w:r>
      <w:r>
        <w:t xml:space="preserve"> trajectory and extension of internally related structural positions as a way of negotiating the real nature of objects with respect to the historically received concepts that are held to represent them. In this sense, a claim to harm (climate change) that is underpinned by a set of internally-related structural positions (global capital) </w:t>
      </w:r>
      <w:r w:rsidR="0073560C">
        <w:t>is</w:t>
      </w:r>
      <w:r>
        <w:t xml:space="preserve"> better understood as a whole – and in relation to subjects – than it </w:t>
      </w:r>
      <w:r w:rsidR="0073560C">
        <w:t>is</w:t>
      </w:r>
      <w:r>
        <w:t xml:space="preserve"> when articulated in individualist</w:t>
      </w:r>
      <w:r w:rsidR="0073560C">
        <w:t xml:space="preserve"> or</w:t>
      </w:r>
      <w:r>
        <w:t xml:space="preserve"> structuralist terms, thereby </w:t>
      </w:r>
      <w:r w:rsidR="0073560C">
        <w:t>grounding</w:t>
      </w:r>
      <w:r>
        <w:t xml:space="preserve"> strategic action aimed at its amelioration</w:t>
      </w:r>
      <w:r w:rsidRPr="007D130B">
        <w:t xml:space="preserve">. The synthetic role of IR, </w:t>
      </w:r>
      <w:r w:rsidR="0073560C">
        <w:t>with respect to the</w:t>
      </w:r>
      <w:r w:rsidRPr="007D130B">
        <w:t xml:space="preserve"> broader societal negotiation of harm conventions, lies in revising the normative ambiguities of interconnection through this focus on emergent properties and relationships </w:t>
      </w:r>
      <w:r w:rsidR="00CD6A3C">
        <w:t>beyond traditional disciplinary boundaries</w:t>
      </w:r>
      <w:r w:rsidRPr="007D130B">
        <w:t>.</w:t>
      </w:r>
    </w:p>
    <w:p w14:paraId="3E4F46AD" w14:textId="2ECEDFD6" w:rsidR="007D130B" w:rsidRDefault="007D130B" w:rsidP="007D130B">
      <w:pPr>
        <w:ind w:firstLine="720"/>
      </w:pPr>
      <w:r>
        <w:t>The attributing of internal and external relations forms a key site for the fallibility and necessity that is a key characteristic of the problem of harm in IR.</w:t>
      </w:r>
      <w:r w:rsidR="009B62D8">
        <w:t xml:space="preserve"> Fallibility has been concerned at length above.</w:t>
      </w:r>
      <w:r>
        <w:t xml:space="preserve"> However, the oft-overlooked </w:t>
      </w:r>
      <w:r w:rsidRPr="00F73A97">
        <w:rPr>
          <w:i/>
        </w:rPr>
        <w:t>productive</w:t>
      </w:r>
      <w:r>
        <w:t xml:space="preserve"> aspect of this process can be more clearly appreciated when put forward in a critical realist vocabulary. It charts, I </w:t>
      </w:r>
      <w:r>
        <w:lastRenderedPageBreak/>
        <w:t>suggest, a non-empiricist basis for explanations of interconnection and permeation as necessary or contingent factors in particular forms of harm.</w:t>
      </w:r>
      <w:r>
        <w:rPr>
          <w:rStyle w:val="FootnoteReference"/>
        </w:rPr>
        <w:footnoteReference w:id="81"/>
      </w:r>
      <w:r>
        <w:t xml:space="preserve"> As such, it provides a basis both for the qualitative distinction between objects that Mitchell argues for, but also a substantive role for IR in producing abstractions that can contribute to the problem of harm as a process of deliberation. Such a role develops from the emergence of real </w:t>
      </w:r>
      <w:r w:rsidRPr="00DD4BEF">
        <w:t>historical particulars in open systems.</w:t>
      </w:r>
      <w:r w:rsidRPr="00DD4BEF">
        <w:rPr>
          <w:rStyle w:val="FootnoteReference"/>
        </w:rPr>
        <w:footnoteReference w:id="82"/>
      </w:r>
      <w:r w:rsidRPr="00DD4BEF">
        <w:t xml:space="preserve"> History</w:t>
      </w:r>
      <w:r>
        <w:t xml:space="preserve"> being</w:t>
      </w:r>
      <w:r w:rsidRPr="00DD4BEF">
        <w:t xml:space="preserve"> open is not the same as suggesting that the ‘materials’ that constitute it are not pre-given or received in a determinate form. Rather, t</w:t>
      </w:r>
      <w:r>
        <w:t>he relationship between potential and actual outcomes provides an openness from which concrete alternatives might be cultivated.</w:t>
      </w:r>
    </w:p>
    <w:p w14:paraId="025734EB" w14:textId="2FECDC36" w:rsidR="007D130B" w:rsidRDefault="007D130B" w:rsidP="007D130B">
      <w:pPr>
        <w:ind w:firstLine="720"/>
      </w:pPr>
      <w:r>
        <w:t xml:space="preserve">Such work provides a starting point for unsettling, in Linklater and Elias’ terms, ‘involved’ knowledge but also counters reductionism; emergence is an ontological property, not merely a shift in frame of inference or level of analysis. Such accounts of the role of structure in harm are not determinist, but rest on a more generalisable claim that the structured internal relations of a given object provide a starting point for the explanation of large scale harms expressed in terms of their causal powers. This resistance to empiricist reductionism rests on the tendency for such accounts to reduce the nature </w:t>
      </w:r>
      <w:r>
        <w:lastRenderedPageBreak/>
        <w:t>of objects to scientists’ knowledge of them.</w:t>
      </w:r>
      <w:r>
        <w:rPr>
          <w:rStyle w:val="FootnoteReference"/>
        </w:rPr>
        <w:footnoteReference w:id="83"/>
      </w:r>
      <w:r>
        <w:t xml:space="preserve"> Such a reductionism might suggest that any number of people suffer under a given practice of environmental expropriation and that in each case this was caused by a multinational corporation, but not that this problem might have as its cause a </w:t>
      </w:r>
      <w:r>
        <w:rPr>
          <w:i/>
        </w:rPr>
        <w:t>structured</w:t>
      </w:r>
      <w:r>
        <w:t xml:space="preserve"> system of global property relations worthy of investigation as a whole.</w:t>
      </w:r>
    </w:p>
    <w:p w14:paraId="6695CC39" w14:textId="05E69DD6" w:rsidR="007D130B" w:rsidRDefault="0073560C" w:rsidP="007D130B">
      <w:pPr>
        <w:ind w:firstLine="720"/>
      </w:pPr>
      <w:r>
        <w:t>T</w:t>
      </w:r>
      <w:r w:rsidR="007D130B">
        <w:t>he principle of internal relations provides one of the fundamental building blocks of any explanatory endeavour, and which underpins our ability to suggest that any given science can be defined by de</w:t>
      </w:r>
      <w:r>
        <w:t>limiting</w:t>
      </w:r>
      <w:r w:rsidR="007D130B">
        <w:t xml:space="preserve"> a collection of these relations as its object. </w:t>
      </w:r>
      <w:r w:rsidR="009B62D8">
        <w:t>T</w:t>
      </w:r>
      <w:r w:rsidR="007D130B">
        <w:t>he importance of explaining</w:t>
      </w:r>
      <w:r w:rsidR="009B62D8">
        <w:t xml:space="preserve"> the</w:t>
      </w:r>
      <w:r w:rsidR="007D130B">
        <w:t xml:space="preserve"> structure</w:t>
      </w:r>
      <w:r w:rsidR="009B62D8">
        <w:t xml:space="preserve"> of this object </w:t>
      </w:r>
      <w:r w:rsidR="007D130B">
        <w:t xml:space="preserve">lies in </w:t>
      </w:r>
      <w:r>
        <w:t>formulating</w:t>
      </w:r>
      <w:r w:rsidR="007D130B">
        <w:t xml:space="preserve"> not just </w:t>
      </w:r>
      <w:r w:rsidR="009B62D8">
        <w:t>how</w:t>
      </w:r>
      <w:r w:rsidR="007D130B">
        <w:t xml:space="preserve"> the world is recalcitrant in the face of our goals or changing ethical dispositions, but </w:t>
      </w:r>
      <w:r w:rsidR="00226B8D">
        <w:t>how</w:t>
      </w:r>
      <w:r w:rsidR="007D130B">
        <w:t xml:space="preserve"> it is so in a particular way that makes reference to (and exceeds) its component parts. Systems and relations are never fully determined, but they are never entirely contingent either; they are influenced by both material and ideational inheritances that cannot just be ‘defined away’ through conceptual reform.</w:t>
      </w:r>
      <w:r w:rsidR="007D130B">
        <w:rPr>
          <w:rStyle w:val="FootnoteReference"/>
        </w:rPr>
        <w:footnoteReference w:id="84"/>
      </w:r>
      <w:r w:rsidR="007D130B">
        <w:t xml:space="preserve"> In this sense, structure is not a way of abstracting from the messiness of everyday life, but an irreducible component of explanation.</w:t>
      </w:r>
    </w:p>
    <w:p w14:paraId="1BC89109" w14:textId="77777777" w:rsidR="007D130B" w:rsidRDefault="007D130B" w:rsidP="007D130B"/>
    <w:p w14:paraId="7870C714" w14:textId="77777777" w:rsidR="007D130B" w:rsidRPr="008F63F5" w:rsidRDefault="007D130B" w:rsidP="007D130B">
      <w:pPr>
        <w:pStyle w:val="Heading2"/>
      </w:pPr>
      <w:bookmarkStart w:id="8" w:name="_Toc501028843"/>
      <w:r>
        <w:t>Explaining Structure: Abstracting the Problem of Harm</w:t>
      </w:r>
      <w:bookmarkEnd w:id="8"/>
    </w:p>
    <w:p w14:paraId="19924F0B" w14:textId="210DF70D" w:rsidR="007D130B" w:rsidRDefault="008C64D0" w:rsidP="007D130B">
      <w:pPr>
        <w:ind w:firstLine="720"/>
      </w:pPr>
      <w:r>
        <w:t>CR</w:t>
      </w:r>
      <w:r w:rsidR="007D130B">
        <w:t xml:space="preserve"> goes some way to explaining how IR gains knowledge of the real structures and objects which inform its accounts of </w:t>
      </w:r>
      <w:r w:rsidR="007D130B">
        <w:lastRenderedPageBreak/>
        <w:t xml:space="preserve">the problem of harm. Furthermore, the principle of internal relations provides a key starting point for </w:t>
      </w:r>
      <w:r w:rsidR="00DC227B">
        <w:t>an engagement with the objective pressure of unintended consequences</w:t>
      </w:r>
      <w:r w:rsidR="007D130B">
        <w:t>. However, this does not immediately suggest easy access to causal mechanisms</w:t>
      </w:r>
      <w:r w:rsidR="00DC227B">
        <w:t>. R</w:t>
      </w:r>
      <w:r w:rsidR="007D130B">
        <w:t>ather, IR is reliant on abstraction</w:t>
      </w:r>
      <w:r w:rsidR="00DC227B">
        <w:t>, understood as concept formation,</w:t>
      </w:r>
      <w:r w:rsidR="007D130B">
        <w:t xml:space="preserve"> as a means of identifying and developing expla</w:t>
      </w:r>
      <w:r w:rsidR="00670019">
        <w:t>nations of</w:t>
      </w:r>
      <w:r w:rsidR="007D130B">
        <w:t xml:space="preserve"> large-scale global structures. </w:t>
      </w:r>
      <w:r>
        <w:t>Developing on Mitchell’s argument,</w:t>
      </w:r>
      <w:r w:rsidR="007D130B">
        <w:t xml:space="preserve"> a defensible account of the role of abstraction is necessary and </w:t>
      </w:r>
      <w:r w:rsidR="00670019">
        <w:t>can</w:t>
      </w:r>
      <w:r w:rsidR="007D130B">
        <w:t xml:space="preserve"> be grounded in a</w:t>
      </w:r>
      <w:r w:rsidR="00DC227B">
        <w:t xml:space="preserve"> strategy</w:t>
      </w:r>
      <w:r w:rsidR="007D130B">
        <w:t xml:space="preserve"> that relates the </w:t>
      </w:r>
      <w:r w:rsidR="00DC227B">
        <w:t>generality</w:t>
      </w:r>
      <w:r w:rsidR="007D130B">
        <w:t xml:space="preserve"> of concepts to particular standpoints.</w:t>
      </w:r>
      <w:r w:rsidR="007D130B" w:rsidRPr="00AA02EC">
        <w:rPr>
          <w:vertAlign w:val="superscript"/>
        </w:rPr>
        <w:footnoteReference w:id="85"/>
      </w:r>
      <w:r w:rsidR="007D130B">
        <w:t xml:space="preserve"> </w:t>
      </w:r>
      <w:r>
        <w:t>T</w:t>
      </w:r>
      <w:r w:rsidR="007D130B">
        <w:t>he aim</w:t>
      </w:r>
      <w:r>
        <w:t xml:space="preserve"> in doing so</w:t>
      </w:r>
      <w:r w:rsidR="007D130B">
        <w:t xml:space="preserve"> is to locate the sensitisation process she </w:t>
      </w:r>
      <w:r w:rsidR="00670019">
        <w:t>identifies</w:t>
      </w:r>
      <w:r w:rsidR="007D130B">
        <w:t xml:space="preserve"> within the process of social scientific explanation</w:t>
      </w:r>
      <w:r w:rsidR="00706B9A">
        <w:t>.</w:t>
      </w:r>
    </w:p>
    <w:p w14:paraId="1CEF0761" w14:textId="38DD4797" w:rsidR="007D130B" w:rsidRDefault="007D130B" w:rsidP="007D130B">
      <w:pPr>
        <w:ind w:firstLine="720"/>
        <w:rPr>
          <w:rFonts w:cs="Times New Roman"/>
        </w:rPr>
      </w:pPr>
      <w:r w:rsidRPr="006B2A4D">
        <w:t>In characterising knowledge as transitive</w:t>
      </w:r>
      <w:r>
        <w:t>,</w:t>
      </w:r>
      <w:r w:rsidRPr="006B2A4D">
        <w:t xml:space="preserve"> CR suggests that </w:t>
      </w:r>
      <w:r>
        <w:t>the social sciences are</w:t>
      </w:r>
      <w:r w:rsidRPr="006B2A4D">
        <w:t xml:space="preserve"> involved in the production of knowledge by means of knowledge in a </w:t>
      </w:r>
      <w:r w:rsidR="008C64D0">
        <w:t>historically-delimited context</w:t>
      </w:r>
      <w:r>
        <w:t>.</w:t>
      </w:r>
      <w:r w:rsidRPr="006B2A4D">
        <w:rPr>
          <w:rStyle w:val="FootnoteReference"/>
        </w:rPr>
        <w:footnoteReference w:id="86"/>
      </w:r>
      <w:r w:rsidRPr="006B2A4D">
        <w:rPr>
          <w:rFonts w:cs="Times New Roman"/>
        </w:rPr>
        <w:t xml:space="preserve"> </w:t>
      </w:r>
      <w:r w:rsidR="008C64D0">
        <w:rPr>
          <w:rFonts w:cs="Times New Roman"/>
        </w:rPr>
        <w:t>I</w:t>
      </w:r>
      <w:r>
        <w:rPr>
          <w:rFonts w:cs="Times New Roman"/>
        </w:rPr>
        <w:t>n moving from disparate particular cases to explanations of the structures that provide the conditions of their emergence, abstraction becomes essential in characterising their internal relations, tensions and dynamics.</w:t>
      </w:r>
      <w:r w:rsidRPr="006B2A4D">
        <w:rPr>
          <w:rStyle w:val="FootnoteReference"/>
        </w:rPr>
        <w:footnoteReference w:id="87"/>
      </w:r>
      <w:r>
        <w:rPr>
          <w:rFonts w:cs="Times New Roman"/>
        </w:rPr>
        <w:t xml:space="preserve"> Rather than </w:t>
      </w:r>
      <w:r w:rsidR="006253B7">
        <w:rPr>
          <w:rFonts w:cs="Times New Roman"/>
        </w:rPr>
        <w:t>being arbitrary</w:t>
      </w:r>
      <w:r>
        <w:rPr>
          <w:rFonts w:cs="Times New Roman"/>
        </w:rPr>
        <w:t xml:space="preserve">, I therefore argue that abstraction is a process of concept-formation that relates the explanatory concept of harm </w:t>
      </w:r>
      <w:r w:rsidR="00706B9A">
        <w:rPr>
          <w:rFonts w:cs="Times New Roman"/>
        </w:rPr>
        <w:t xml:space="preserve">into a definite relationship to </w:t>
      </w:r>
      <w:r>
        <w:rPr>
          <w:rFonts w:cs="Times New Roman"/>
        </w:rPr>
        <w:t xml:space="preserve">its object. Moreover, in building upon concepts or ideas it can be characterised as a </w:t>
      </w:r>
      <w:r>
        <w:rPr>
          <w:rFonts w:cs="Times New Roman"/>
        </w:rPr>
        <w:lastRenderedPageBreak/>
        <w:t>form of production that takes an evaluative stance toward prior explanations. The positioning of abstraction in this way suggests that they have causal powers and are therefore real.</w:t>
      </w:r>
      <w:r>
        <w:rPr>
          <w:rStyle w:val="FootnoteReference"/>
          <w:rFonts w:cs="Times New Roman"/>
        </w:rPr>
        <w:footnoteReference w:id="88"/>
      </w:r>
    </w:p>
    <w:p w14:paraId="18FAD86D" w14:textId="04518226" w:rsidR="007D130B" w:rsidRDefault="007D130B" w:rsidP="007D130B">
      <w:pPr>
        <w:ind w:firstLine="720"/>
        <w:rPr>
          <w:rFonts w:cs="Times New Roman"/>
        </w:rPr>
      </w:pPr>
      <w:r>
        <w:rPr>
          <w:rFonts w:cs="Times New Roman"/>
        </w:rPr>
        <w:t>This provides an understanding of abstraction that accounts for its practical value and which goes beyond critiques of abstraction as merely a limited mode of inference. Abstraction is a verb as well as a noun; rather than ‘posing a question</w:t>
      </w:r>
      <w:r w:rsidR="006253B7">
        <w:rPr>
          <w:rFonts w:cs="Times New Roman"/>
        </w:rPr>
        <w:t>’</w:t>
      </w:r>
      <w:r>
        <w:rPr>
          <w:rFonts w:cs="Times New Roman"/>
        </w:rPr>
        <w:t xml:space="preserve"> to the object of explanation, IR is engaged in a reciprocal practice through which questions might be posed in an increasingly practically adequate form. This is the crux of the discipline’s long engagement with the problem of harm, and of a role in </w:t>
      </w:r>
      <w:r w:rsidR="00F334B9">
        <w:rPr>
          <w:rFonts w:cs="Times New Roman"/>
        </w:rPr>
        <w:t>engaging with</w:t>
      </w:r>
      <w:r>
        <w:rPr>
          <w:rFonts w:cs="Times New Roman"/>
        </w:rPr>
        <w:t xml:space="preserve"> newly emergent forms of large-scale harm</w:t>
      </w:r>
      <w:r w:rsidR="00F334B9">
        <w:rPr>
          <w:rFonts w:cs="Times New Roman"/>
        </w:rPr>
        <w:t xml:space="preserve"> in the future</w:t>
      </w:r>
      <w:r>
        <w:rPr>
          <w:rFonts w:cs="Times New Roman"/>
        </w:rPr>
        <w:t>. While abstraction ‘isolates in thought a one-sided or partial aspect of an object’, the powers and tendencies – harm’s object – to which it refers ‘need be no less real than those referred to by more concrete concepts’.</w:t>
      </w:r>
      <w:r>
        <w:rPr>
          <w:rStyle w:val="FootnoteReference"/>
        </w:rPr>
        <w:footnoteReference w:id="89"/>
      </w:r>
    </w:p>
    <w:p w14:paraId="6A4D8C4F" w14:textId="4FD2FD64" w:rsidR="007D130B" w:rsidRDefault="007D130B" w:rsidP="007D130B">
      <w:pPr>
        <w:ind w:firstLine="720"/>
        <w:rPr>
          <w:rFonts w:cs="Times New Roman"/>
        </w:rPr>
      </w:pPr>
      <w:r w:rsidRPr="00652964">
        <w:t>Ollman further identifies a variety of modes from which abstractions might be drawn, including the extension of the object, the timescale across which it persists, and the standpoint from which the abstraction is made.</w:t>
      </w:r>
      <w:r w:rsidRPr="00652964">
        <w:rPr>
          <w:rStyle w:val="FootnoteReference"/>
        </w:rPr>
        <w:footnoteReference w:id="90"/>
      </w:r>
      <w:r w:rsidRPr="00652964">
        <w:t xml:space="preserve"> This process </w:t>
      </w:r>
      <w:r w:rsidR="006253B7">
        <w:t>frees</w:t>
      </w:r>
      <w:r w:rsidRPr="00652964">
        <w:t xml:space="preserve"> causation from empiricist criteria, decentring the objects of scientific explanation from the experience of any particular sci</w:t>
      </w:r>
      <w:r w:rsidRPr="00652964">
        <w:lastRenderedPageBreak/>
        <w:t>entist. In doing so, it further develops an ontology for the social sciences which works with many insights made from the perspective of standpoint feminism the sociology of knowledge and science and technology studies while not abandoning the formation of concepts that is core to IR’s claim to practical value.</w:t>
      </w:r>
      <w:r w:rsidRPr="00652964">
        <w:rPr>
          <w:rStyle w:val="FootnoteReference"/>
        </w:rPr>
        <w:footnoteReference w:id="91"/>
      </w:r>
      <w:r w:rsidRPr="00652964">
        <w:rPr>
          <w:rFonts w:ascii="Times New Roman" w:hAnsi="Times New Roman" w:cs="Times New Roman"/>
          <w:sz w:val="24"/>
          <w:szCs w:val="24"/>
        </w:rPr>
        <w:t xml:space="preserve"> </w:t>
      </w:r>
      <w:r w:rsidRPr="00652964">
        <w:rPr>
          <w:rFonts w:cs="Times New Roman"/>
        </w:rPr>
        <w:t xml:space="preserve">In this regard, explanation forms a tendential and explanatory rather than teleological-predictive attitude. But by opening up structures to the problem of harm, IR can supplement critical engagements with historical inheritances and material distributions while maintaining the openness and contingency of political action. </w:t>
      </w:r>
      <w:r>
        <w:rPr>
          <w:rFonts w:cs="Times New Roman"/>
        </w:rPr>
        <w:t>CR therefore broadens the scope of the debate</w:t>
      </w:r>
      <w:r w:rsidR="00F334B9">
        <w:rPr>
          <w:rFonts w:cs="Times New Roman"/>
        </w:rPr>
        <w:t>, making</w:t>
      </w:r>
      <w:r w:rsidRPr="00652964">
        <w:rPr>
          <w:rFonts w:cs="Times New Roman"/>
        </w:rPr>
        <w:t xml:space="preserve"> it possible</w:t>
      </w:r>
      <w:r w:rsidR="00F334B9">
        <w:rPr>
          <w:rFonts w:cs="Times New Roman"/>
        </w:rPr>
        <w:t xml:space="preserve"> to</w:t>
      </w:r>
      <w:r w:rsidRPr="00652964">
        <w:rPr>
          <w:rFonts w:cs="Times New Roman"/>
        </w:rPr>
        <w:t xml:space="preserve"> debate whether someone or something was harmed, but</w:t>
      </w:r>
      <w:r w:rsidR="00F334B9">
        <w:rPr>
          <w:rFonts w:cs="Times New Roman"/>
        </w:rPr>
        <w:t xml:space="preserve"> also</w:t>
      </w:r>
      <w:r w:rsidRPr="00652964">
        <w:rPr>
          <w:rFonts w:cs="Times New Roman"/>
        </w:rPr>
        <w:t xml:space="preserve"> to do so in light of the many ways it could have been otherwise.</w:t>
      </w:r>
    </w:p>
    <w:p w14:paraId="3C0CB42D" w14:textId="77777777" w:rsidR="007D130B" w:rsidRDefault="007D130B" w:rsidP="007D130B">
      <w:pPr>
        <w:ind w:firstLine="720"/>
      </w:pPr>
      <w:r>
        <w:t>This approach goes some way to formulating an approach to abstraction which is sensitive to many of the concerns raised by Mitchell, who notes the tension between the rigid and partial picture that concept formation presents and their ultimate strategic utility.</w:t>
      </w:r>
      <w:r>
        <w:rPr>
          <w:rStyle w:val="FootnoteReference"/>
        </w:rPr>
        <w:footnoteReference w:id="92"/>
      </w:r>
      <w:r>
        <w:t xml:space="preserve"> Abstractions are, of course, only a starting point for further work. Regardless of specifics, addressing the problem of harm at a large scale requires us to understand interconnection less as a way of inferentially ‘puzzling through’ than as a way of making sense in the context of real objects. </w:t>
      </w:r>
    </w:p>
    <w:p w14:paraId="4E68F764" w14:textId="31BF06C8" w:rsidR="007D130B" w:rsidRDefault="007D130B" w:rsidP="007D130B">
      <w:pPr>
        <w:ind w:firstLine="720"/>
      </w:pPr>
      <w:r>
        <w:lastRenderedPageBreak/>
        <w:t xml:space="preserve">Rather than an imposition of fixed categories, abstraction grounds an active and reflexive attempt to grasp interconnection. Indeed, Brown et al.’s addition to CR, systematic abstraction, provides a framework </w:t>
      </w:r>
      <w:r w:rsidR="00E74901">
        <w:t>for this effort</w:t>
      </w:r>
      <w:r>
        <w:t>.</w:t>
      </w:r>
      <w:r>
        <w:rPr>
          <w:rStyle w:val="FootnoteReference"/>
        </w:rPr>
        <w:footnoteReference w:id="93"/>
      </w:r>
      <w:r>
        <w:t xml:space="preserve"> In proceeding from abstract forms, such as commodity production, to empirical cases such as environmentally destructive microbeads, systematic problems can be understood as structured, with emergent and qualitatively distinct causal powers, and processes understood as developmental.</w:t>
      </w:r>
      <w:r>
        <w:rPr>
          <w:rStyle w:val="FootnoteReference"/>
        </w:rPr>
        <w:footnoteReference w:id="94"/>
      </w:r>
      <w:r>
        <w:t xml:space="preserve"> </w:t>
      </w:r>
      <w:r w:rsidR="00BC4C87">
        <w:t>This</w:t>
      </w:r>
      <w:r>
        <w:t xml:space="preserve"> </w:t>
      </w:r>
      <w:r w:rsidR="00BC4C87">
        <w:t>preserves</w:t>
      </w:r>
      <w:r>
        <w:t xml:space="preserve"> the</w:t>
      </w:r>
      <w:r w:rsidR="00BC4C87">
        <w:t xml:space="preserve"> transformative</w:t>
      </w:r>
      <w:r>
        <w:t xml:space="preserve"> </w:t>
      </w:r>
      <w:r w:rsidR="00BC4C87">
        <w:t>potential of</w:t>
      </w:r>
      <w:r>
        <w:t xml:space="preserve"> human agency</w:t>
      </w:r>
      <w:r w:rsidR="00BC4C87">
        <w:t xml:space="preserve"> through concepts</w:t>
      </w:r>
      <w:r>
        <w:t xml:space="preserve"> in a</w:t>
      </w:r>
      <w:r w:rsidR="00BC4C87">
        <w:t>meliorating</w:t>
      </w:r>
      <w:r>
        <w:t xml:space="preserve"> harm while still maintaining</w:t>
      </w:r>
      <w:r w:rsidR="00BC4C87">
        <w:t xml:space="preserve"> the important insight that this does not exhaust the causal powers of objects</w:t>
      </w:r>
      <w:r>
        <w:t xml:space="preserve">. Secondly, it more fully satisfies the normative promise </w:t>
      </w:r>
      <w:r w:rsidR="00BC4C87">
        <w:t>of Mitchell and Linklater</w:t>
      </w:r>
      <w:r>
        <w:t xml:space="preserve"> by developing the partiality of scientific knowledge as an objective and practical issue. An ontology that is less confined to the empiricist problem-field, while still maintaining the value of social science, thereby provides valuable pointers toward a strategy for the explanation of large-scale harm.</w:t>
      </w:r>
    </w:p>
    <w:p w14:paraId="2BE79763" w14:textId="77777777" w:rsidR="007D130B" w:rsidRDefault="007D130B" w:rsidP="007D130B">
      <w:pPr>
        <w:ind w:firstLine="720"/>
      </w:pPr>
    </w:p>
    <w:p w14:paraId="6EA7858E" w14:textId="77777777" w:rsidR="007D130B" w:rsidRDefault="007D130B" w:rsidP="007D130B">
      <w:pPr>
        <w:pStyle w:val="Heading2"/>
        <w:spacing w:after="240"/>
      </w:pPr>
      <w:bookmarkStart w:id="9" w:name="_Toc501028844"/>
      <w:r>
        <w:t>The Critical Consequences of a Reconstructed Problem of Harm</w:t>
      </w:r>
      <w:bookmarkEnd w:id="9"/>
    </w:p>
    <w:p w14:paraId="10CFF4EB" w14:textId="18A8145C" w:rsidR="009E7AF9" w:rsidRDefault="007D130B" w:rsidP="007D130B">
      <w:pPr>
        <w:spacing w:after="240"/>
      </w:pPr>
      <w:r>
        <w:tab/>
        <w:t xml:space="preserve">Characterising scientific practice as a form of production provides an insight into the preconditions of the Eliasian ‘return to secondary involvement’ as well as a characterisation of </w:t>
      </w:r>
      <w:r>
        <w:lastRenderedPageBreak/>
        <w:t xml:space="preserve">the </w:t>
      </w:r>
      <w:r>
        <w:rPr>
          <w:i/>
        </w:rPr>
        <w:t xml:space="preserve">via media </w:t>
      </w:r>
      <w:r>
        <w:t>between abstraction and phenomenology that Mitchell considers necessary.</w:t>
      </w:r>
      <w:r w:rsidRPr="00DB14E3">
        <w:rPr>
          <w:rStyle w:val="FootnoteReference"/>
        </w:rPr>
        <w:footnoteReference w:id="95"/>
      </w:r>
      <w:r>
        <w:t xml:space="preserve"> By reformulating explanation as a practical problem based on a scientific realist ontology, CR is able to cash out both authors’ insights concerning the partiality of explanation while nonetheless maintaining a practical vision of IR as it engages with the problem of harm. Engaging the philosophy of science in this way demonstrates, I argue, key opportunities for a broadening</w:t>
      </w:r>
      <w:r w:rsidR="009E7AF9">
        <w:t xml:space="preserve"> and deepening of IR’s object of concern as it turns to face global challenges; the first through interrelation, and the second through emergence. Disciplinary debate in this sense constitutes a</w:t>
      </w:r>
      <w:r w:rsidR="00240375">
        <w:t xml:space="preserve"> reflexive</w:t>
      </w:r>
      <w:r w:rsidR="009E7AF9">
        <w:t xml:space="preserve"> ‘internal conversation’ tha</w:t>
      </w:r>
      <w:r w:rsidR="00240375">
        <w:t>t can ground IR’s social contribution to the problem of harm.</w:t>
      </w:r>
      <w:r w:rsidR="00240375">
        <w:rPr>
          <w:rStyle w:val="FootnoteReference"/>
        </w:rPr>
        <w:footnoteReference w:id="96"/>
      </w:r>
    </w:p>
    <w:p w14:paraId="574BAA45" w14:textId="73F17EE7" w:rsidR="007D130B" w:rsidRDefault="00240375" w:rsidP="00240375">
      <w:pPr>
        <w:spacing w:after="240"/>
      </w:pPr>
      <w:r>
        <w:tab/>
        <w:t xml:space="preserve">The promise of this practical orientation culminates, as we have seen, in the promise of a simultaneously explanatory and ethical social science. For Linklater, this link between explanation and normative reflection is deferred, while Mitchell’s corrective did not translate ethical insight into a scientific ontology. By contrast, the introduction of CR to the conversation here constitutes a prefigurative move insofar as it generalises the problem of harm beyond inherited objects of disciplinary concern – as global challenges require – while developing a picture of social science that is practically oriented toward real, developing and historical objects rather than the limits of sense experience. It is because, rather than in spite of this practical orientation that IR is characterised by a scientific </w:t>
      </w:r>
      <w:r>
        <w:lastRenderedPageBreak/>
        <w:t xml:space="preserve">voice that is also normative. To isolate this effort is to remove a fundamental part of what IR is. </w:t>
      </w:r>
    </w:p>
    <w:p w14:paraId="129E4DA5" w14:textId="64539843" w:rsidR="00240375" w:rsidRDefault="00240375" w:rsidP="00240375">
      <w:pPr>
        <w:spacing w:after="240"/>
      </w:pPr>
      <w:r>
        <w:tab/>
        <w:t xml:space="preserve">While the case for a critical realist analysis of emergent large-scale harm has been made here at the level of philosophy, it develops concretely from the problem of harm as it has been debated through the history of the discipline. </w:t>
      </w:r>
      <w:r w:rsidR="002369C1">
        <w:t>All signs point to the terms of this debate being insufficient due to the universality of climate change and the irrationality of planetary capitalisation</w:t>
      </w:r>
      <w:r w:rsidR="0030627A">
        <w:t>, both of which confront IR as objective problems rather than subjective aspirations</w:t>
      </w:r>
      <w:r w:rsidR="002369C1">
        <w:t>. Universality in explanation now takes on a different hue</w:t>
      </w:r>
      <w:r w:rsidR="00BC4F02">
        <w:t>,</w:t>
      </w:r>
      <w:r w:rsidR="002369C1">
        <w:t xml:space="preserve"> as an always-late attempt to develop the depth and complexity of global interconnection in concepts. </w:t>
      </w:r>
      <w:r w:rsidR="00BC4F02">
        <w:t>S</w:t>
      </w:r>
      <w:r w:rsidR="002369C1">
        <w:t>uch a move is not positioned deterministically against the recent turn toward particular practices, encounters and events. Rather, arguments for structure come about precisely as a concern for the permissive conditions of experience, with realist principles of stratification and emergence being essential to their relative autonomy.</w:t>
      </w:r>
      <w:r w:rsidR="002C0DA9">
        <w:rPr>
          <w:rStyle w:val="FootnoteReference"/>
        </w:rPr>
        <w:footnoteReference w:id="97"/>
      </w:r>
      <w:r w:rsidR="002369C1">
        <w:t xml:space="preserve"> </w:t>
      </w:r>
      <w:r w:rsidR="00F46FAE">
        <w:t>This emphasises the space within CR for the ‘being with’ characteristic of Mitchell’s ethics while maintaining the conceptual productivity of a ‘weak’ anthropocentrism, characterising knowledge-production as an ‘embrace’ rather than being purely instrumental.</w:t>
      </w:r>
      <w:r w:rsidR="00F46FAE" w:rsidRPr="00DB14E3">
        <w:rPr>
          <w:rStyle w:val="FootnoteReference"/>
        </w:rPr>
        <w:footnoteReference w:id="98"/>
      </w:r>
    </w:p>
    <w:p w14:paraId="20BA9F0D" w14:textId="65A7EFE2" w:rsidR="007D130B" w:rsidRDefault="00F46FAE" w:rsidP="007D130B">
      <w:pPr>
        <w:spacing w:after="240"/>
        <w:ind w:firstLine="720"/>
      </w:pPr>
      <w:r>
        <w:t>Normatively</w:t>
      </w:r>
      <w:r w:rsidR="007D130B">
        <w:t xml:space="preserve">, the argument is that CR provides a starting point for the explanation of large-scale harm within, as Beardsworth has suggested, a necessarily general problematic </w:t>
      </w:r>
      <w:r w:rsidR="007D130B">
        <w:lastRenderedPageBreak/>
        <w:t>of trans-border threats as such.</w:t>
      </w:r>
      <w:r w:rsidR="007D130B">
        <w:rPr>
          <w:rStyle w:val="FootnoteReference"/>
        </w:rPr>
        <w:footnoteReference w:id="99"/>
      </w:r>
      <w:r w:rsidR="007D130B">
        <w:t xml:space="preserve"> Developing from the fact of interconnection, IR takes on a critical role precisely insofar as it is able to articulate global challenges in a broader frame and subject to a broader range of interests. This is in line with recent work in feminism that has argued forcefully that the problem inherent to the positivist-empiricist nexus was precisely that of needing </w:t>
      </w:r>
      <w:r w:rsidR="007D130B">
        <w:rPr>
          <w:i/>
        </w:rPr>
        <w:t>more</w:t>
      </w:r>
      <w:r w:rsidR="007D130B">
        <w:t xml:space="preserve"> objectivity, not less; that we might engage actively with the breadth of our causal implication with objects beyond political assumptions of atomism.</w:t>
      </w:r>
      <w:r w:rsidR="007D130B" w:rsidRPr="00DB14E3">
        <w:rPr>
          <w:rStyle w:val="FootnoteReference"/>
        </w:rPr>
        <w:footnoteReference w:id="100"/>
      </w:r>
      <w:r w:rsidR="007D130B">
        <w:t xml:space="preserve"> The radical edge of gender, postcolonial and green theory, that their objects of concern are constitutive rather than merely conditioning, provides a starting point for forms of ethical engagement that are centred on the emergence of global challenges. Generalising this impulse to the discipline of IR as such is aimed at ensuring that new relationships between particularity and generality, of the citizen/humanity and state/religion problems that have dominated the history of universality in international thought, can be articulated </w:t>
      </w:r>
      <w:r>
        <w:t>in less particularistic terms</w:t>
      </w:r>
      <w:r w:rsidR="007D130B">
        <w:t>.</w:t>
      </w:r>
    </w:p>
    <w:p w14:paraId="32747244" w14:textId="1BE766AD" w:rsidR="007D130B" w:rsidRDefault="00F46FAE" w:rsidP="007D130B">
      <w:pPr>
        <w:spacing w:after="240"/>
        <w:ind w:firstLine="720"/>
      </w:pPr>
      <w:r>
        <w:t>By</w:t>
      </w:r>
      <w:r w:rsidR="007D130B">
        <w:t xml:space="preserve"> contrast to the frameworks of Mitchell and Linklater, however, the critical </w:t>
      </w:r>
      <w:r>
        <w:t>quality</w:t>
      </w:r>
      <w:r w:rsidR="007D130B">
        <w:t xml:space="preserve"> of the problem of harm is reformulated as internal to IR. By restoring the objectivity of the link between IR and its object, explanation once again becomes a way of relating to the world. Indeed, by both broadening and situating the emergence of static explanations, the </w:t>
      </w:r>
      <w:r w:rsidR="007D130B">
        <w:lastRenderedPageBreak/>
        <w:t>development of process concepts by both Linklater (civilised/civilising) and Mitchell (being/becoming) can be understood as explanatory critiques that take an evaluative stance toward prior explanations, albeit one that is precluded in their work. From the perspective argued here, the practical orientation of IR toward the problem of harm presupposes an equally practical approach to the causal powers of explanations. Reasons can be causes.</w:t>
      </w:r>
      <w:r w:rsidR="007D130B">
        <w:rPr>
          <w:rStyle w:val="FootnoteReference"/>
        </w:rPr>
        <w:footnoteReference w:id="101"/>
      </w:r>
      <w:r w:rsidR="007D130B" w:rsidRPr="00377633">
        <w:t xml:space="preserve"> </w:t>
      </w:r>
      <w:r w:rsidR="007D130B">
        <w:t xml:space="preserve">Indeed, if particular institutions or abstractions are involved in causing false beliefs about the real interdependence and interpenetration that constitutes the world – such as the autonomous subject – then explanation does not just force us to see this differently, but provides a ground upon which the </w:t>
      </w:r>
      <w:r w:rsidR="00840AD3">
        <w:t xml:space="preserve">IR’s </w:t>
      </w:r>
      <w:r w:rsidR="007D130B">
        <w:t>vocation pushes us to actively revise our relationship to the world.</w:t>
      </w:r>
      <w:r w:rsidR="007D130B" w:rsidRPr="00DB14E3">
        <w:rPr>
          <w:rStyle w:val="FootnoteReference"/>
        </w:rPr>
        <w:footnoteReference w:id="102"/>
      </w:r>
    </w:p>
    <w:p w14:paraId="38506B8D" w14:textId="343AC308" w:rsidR="007D130B" w:rsidRDefault="007D130B" w:rsidP="007D130B">
      <w:pPr>
        <w:spacing w:after="240"/>
        <w:ind w:firstLine="720"/>
      </w:pPr>
      <w:r>
        <w:t>Furthermore, the critique of process-reduction in both authors’ approaches is developed by the ontology here, from a critique of immediacy to a critique of appearance based upon the concepts of stratification and emergence. This is not to suggest that IR can go straight to the essence of things, but rather that a</w:t>
      </w:r>
      <w:r w:rsidR="00840AD3">
        <w:t>n</w:t>
      </w:r>
      <w:r>
        <w:t xml:space="preserve"> interest in the manifold exclusions that have characterised the history of the discipline is built into the understanding of social science that CR advocates for. By beginning with the presumption of non-identity between concepts and objects and developed as a practical problem, the relationship between harm and its object put forward here tends </w:t>
      </w:r>
      <w:r>
        <w:lastRenderedPageBreak/>
        <w:t xml:space="preserve">toward a deep concern for the problems presented by explanatory closure. </w:t>
      </w:r>
      <w:r w:rsidR="006A424F">
        <w:t>J</w:t>
      </w:r>
      <w:r w:rsidR="00C84E52">
        <w:t>ust as the general concepts of emergence and internal relations render such closures as a problem of explanation rather than a solution, so the specific orientation of IR toward the problem of harm in principle demands active reflection on the conditions and exclusions that constitute such knowledge.</w:t>
      </w:r>
    </w:p>
    <w:p w14:paraId="519781FC" w14:textId="77777777" w:rsidR="007D130B" w:rsidRDefault="007D130B" w:rsidP="007D130B">
      <w:pPr>
        <w:rPr>
          <w:highlight w:val="yellow"/>
        </w:rPr>
      </w:pPr>
    </w:p>
    <w:p w14:paraId="3C627B49" w14:textId="77777777" w:rsidR="007D130B" w:rsidRDefault="007D130B" w:rsidP="007D130B">
      <w:pPr>
        <w:pStyle w:val="Heading2"/>
      </w:pPr>
      <w:r w:rsidRPr="00AE2AE3">
        <w:t>Conclusion</w:t>
      </w:r>
    </w:p>
    <w:p w14:paraId="092F1FC9" w14:textId="28854914" w:rsidR="00E20B85" w:rsidRDefault="00E20B85" w:rsidP="00E20B85">
      <w:r>
        <w:tab/>
        <w:t>Having argued that harm constitutes a</w:t>
      </w:r>
      <w:r w:rsidR="00C22A65">
        <w:t xml:space="preserve"> disciplinary focus</w:t>
      </w:r>
      <w:r>
        <w:t xml:space="preserve"> for IR, this article </w:t>
      </w:r>
      <w:r w:rsidR="00C22A65">
        <w:t>e</w:t>
      </w:r>
      <w:r>
        <w:t>xamine</w:t>
      </w:r>
      <w:r w:rsidR="00C22A65">
        <w:t>d</w:t>
      </w:r>
      <w:r>
        <w:t xml:space="preserve"> the relationship between the concept of harm and its object </w:t>
      </w:r>
      <w:r w:rsidR="00C22A65">
        <w:t>in order</w:t>
      </w:r>
      <w:r>
        <w:t xml:space="preserve"> to understanding the potential it held for the explanation of newly emergent forms of large-scale harm. The vitality of harm lies in the way that it places normative demands on the discipline, holding a key position in IR’s orientation toward practical value. However, this problem is also one of explanation insofar as changing patterns of global interconnection give rise to qualitatively new forms of harm that must be accounted for. The aim here was to consider the ways in which large-scale harm challenges the foundations of explanation in terms of, </w:t>
      </w:r>
      <w:r>
        <w:rPr>
          <w:i/>
        </w:rPr>
        <w:t>inter alia</w:t>
      </w:r>
      <w:r>
        <w:t>, disparities in spatio-temporal scale between the objects of explanation; the inadequacies of anthropocentric models of causation; and the non-empirical nature of large-scale structural processes. Drawing on Critical Realism, the analysis was to provide a series of explanatory principles that might underpin a shift toward the study of large-scale harm, and to clarify its vocational purpose in doing so.</w:t>
      </w:r>
    </w:p>
    <w:p w14:paraId="6FE3162B" w14:textId="77777777" w:rsidR="00E20B85" w:rsidRDefault="00E20B85" w:rsidP="00E20B85">
      <w:r>
        <w:lastRenderedPageBreak/>
        <w:tab/>
        <w:t>An engagement with recent work on harm by Mitchell and Linklater provides key insights into the vitality of harm as an object of enquiry for IR; its normative value, ontological presuppositions and explanatory range. Despite differences in their approach to the problem that harm poses, both authors develop engagements with harm that fail to fully elaborate on the relationship between the explanatory and critical or normative dimensions that each claims are necessary. The missing link arises from a shared interpretation of explanation and abstraction as limited by the problem of induction. While their substantial sociologies of knowledge differ, both therefore maintain an empiricist scepticism toward IR’s ability to develop the link between scientific explanation and normative reflection. Mitchell’s valuable insights into the ethical dilemmas of co-becoming are not supported by a defensible account of abstraction or social scientific practice, while Linklater’s sociology defers an eventual ‘return to secondary involvement’ and its implications for the status of IR as a normative discipline.</w:t>
      </w:r>
    </w:p>
    <w:p w14:paraId="75D659A4" w14:textId="24C6B9F4" w:rsidR="00E20B85" w:rsidRDefault="00E20B85" w:rsidP="00E20B85">
      <w:r>
        <w:tab/>
        <w:t xml:space="preserve">By contrast, CR offers a framing of the discipline that links explanation and critical reflection within the practice of social science itself. Resting on arguments for the importance of structure in explanation, it further provides accounts of causation and abstraction that are essential in addressing the problems posed by large-scale harm </w:t>
      </w:r>
      <w:r w:rsidR="00C22A65">
        <w:t>while</w:t>
      </w:r>
      <w:r>
        <w:t xml:space="preserve"> maintaining the importance of contingent human practice. This constitutes a generalisation of critical arguments in gender, green and postcolonial theory toward a broader problem-field of trans-border threats. The upshot of this lies in offering a non-empiricist ac</w:t>
      </w:r>
      <w:r>
        <w:lastRenderedPageBreak/>
        <w:t>count of structure that can broaden the grounds of explanation in ways that are sensitive to the complexities of global interconnection and the forms of harm that result.</w:t>
      </w:r>
    </w:p>
    <w:p w14:paraId="24408E06" w14:textId="77777777" w:rsidR="00692555" w:rsidRDefault="00E20B85" w:rsidP="00E20B85">
      <w:r>
        <w:tab/>
        <w:t xml:space="preserve">Several conclusions follow from this in light of IR’s fundamental orientation toward harm. Firstly, the normative orientation of IR arises from its historical position, one which positions the discipline practically toward harm rather than theoretically. This practical engagement is an inherently evaluative and critical exercise insofar as the discipline emerges from, and is constituted by, a concrete historical problem. Secondly, CR’s reconstruction of causation offers an approach to explanation that is responsive to feminist insights concerning standpoint epistemology and the need for what Harding has called ‘strong objectivity’ while also incorporating recent contributions that focus on the constitutive role of </w:t>
      </w:r>
      <w:r>
        <w:rPr>
          <w:i/>
        </w:rPr>
        <w:t>non</w:t>
      </w:r>
      <w:r>
        <w:t xml:space="preserve">-human composite objects. Thirdly, understanding abstraction as productive resituates our understanding of the potential of large-scale harm as an object of enquiry, raising the possibility that it may yet force the discipline to adapt and push beyond its own standpoint in the face of </w:t>
      </w:r>
      <w:r w:rsidR="00692555">
        <w:t xml:space="preserve">the </w:t>
      </w:r>
      <w:r>
        <w:t>ethical demands</w:t>
      </w:r>
      <w:r w:rsidR="00692555">
        <w:t xml:space="preserve"> from which it emerged</w:t>
      </w:r>
      <w:r>
        <w:t>.</w:t>
      </w:r>
    </w:p>
    <w:p w14:paraId="4D7D1989" w14:textId="03122151" w:rsidR="007D130B" w:rsidRDefault="00E20B85" w:rsidP="007D130B">
      <w:r>
        <w:t xml:space="preserve"> </w:t>
      </w:r>
      <w:r w:rsidR="00D81DEF">
        <w:tab/>
        <w:t xml:space="preserve">This argument is strategically minimalist in focussing on the relationship between explanation and reflection presupposed by an IR oriented toward the problem of harm; it has not sought to expand these values past this sphere. Empirical studies of the problem of harm will inevitably involve a deeper and more concrete engagement with complex and asymmetric </w:t>
      </w:r>
      <w:r w:rsidR="00D81DEF">
        <w:lastRenderedPageBreak/>
        <w:t>structures of power.</w:t>
      </w:r>
      <w:r w:rsidR="00D81DEF">
        <w:rPr>
          <w:rStyle w:val="FootnoteReference"/>
        </w:rPr>
        <w:footnoteReference w:id="103"/>
      </w:r>
      <w:r w:rsidR="00D81DEF">
        <w:t xml:space="preserve"> However, in addressing the relationship between harm and its object at the level of philosophy, it has sought to prefigure future engagements with the breadth and complexity of global challenges</w:t>
      </w:r>
      <w:r w:rsidR="000046AF">
        <w:t xml:space="preserve"> </w:t>
      </w:r>
      <w:r w:rsidR="00D81DEF">
        <w:t>including climate change</w:t>
      </w:r>
      <w:r w:rsidR="000046AF">
        <w:t xml:space="preserve"> and patterns of global inequality</w:t>
      </w:r>
      <w:r w:rsidR="00D81DEF">
        <w:t>. Abstraction, in this sense, offers an essential tool in grounding explanations of objects that far exceed inherited conceptual frames by decentring humanity in explanation</w:t>
      </w:r>
      <w:r w:rsidR="003E4E05">
        <w:t xml:space="preserve"> and reframing universality as an objective problem</w:t>
      </w:r>
      <w:r w:rsidR="00D81DEF">
        <w:t xml:space="preserve">. As such, it offers a turn toward the </w:t>
      </w:r>
      <w:r w:rsidR="003E4E05">
        <w:t>structure of large-scale processes</w:t>
      </w:r>
      <w:r w:rsidR="00D81DEF">
        <w:t xml:space="preserve"> that the concept of harm, as a centre of gravity for the discipline, </w:t>
      </w:r>
      <w:r w:rsidR="003E4E05">
        <w:t>demands that we</w:t>
      </w:r>
      <w:r w:rsidR="00D81DEF">
        <w:t xml:space="preserve"> address.</w:t>
      </w:r>
    </w:p>
    <w:p w14:paraId="53496DC4" w14:textId="77777777" w:rsidR="007D130B" w:rsidRPr="004C02D0" w:rsidRDefault="007D130B" w:rsidP="007D130B"/>
    <w:p w14:paraId="4304DF9B" w14:textId="77777777" w:rsidR="00D05DDB" w:rsidRDefault="00D05DDB"/>
    <w:sectPr w:rsidR="00D05D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C558" w14:textId="77777777" w:rsidR="00DC7DB4" w:rsidRDefault="00DC7DB4" w:rsidP="007D130B">
      <w:pPr>
        <w:spacing w:after="0" w:line="240" w:lineRule="auto"/>
      </w:pPr>
      <w:r>
        <w:separator/>
      </w:r>
    </w:p>
  </w:endnote>
  <w:endnote w:type="continuationSeparator" w:id="0">
    <w:p w14:paraId="1CDAFDF1" w14:textId="77777777" w:rsidR="00DC7DB4" w:rsidRDefault="00DC7DB4" w:rsidP="007D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28862"/>
      <w:docPartObj>
        <w:docPartGallery w:val="Page Numbers (Bottom of Page)"/>
        <w:docPartUnique/>
      </w:docPartObj>
    </w:sdtPr>
    <w:sdtEndPr>
      <w:rPr>
        <w:noProof/>
      </w:rPr>
    </w:sdtEndPr>
    <w:sdtContent>
      <w:p w14:paraId="4FB30722" w14:textId="79C6EEE4" w:rsidR="00861C9F" w:rsidRDefault="00861C9F">
        <w:pPr>
          <w:pStyle w:val="Footer"/>
          <w:jc w:val="center"/>
        </w:pPr>
        <w:r>
          <w:fldChar w:fldCharType="begin"/>
        </w:r>
        <w:r>
          <w:instrText xml:space="preserve"> PAGE   \* MERGEFORMAT </w:instrText>
        </w:r>
        <w:r>
          <w:fldChar w:fldCharType="separate"/>
        </w:r>
        <w:r w:rsidR="00090095">
          <w:rPr>
            <w:noProof/>
          </w:rPr>
          <w:t>1</w:t>
        </w:r>
        <w:r>
          <w:rPr>
            <w:noProof/>
          </w:rPr>
          <w:fldChar w:fldCharType="end"/>
        </w:r>
      </w:p>
    </w:sdtContent>
  </w:sdt>
  <w:p w14:paraId="5A736CD6" w14:textId="77777777" w:rsidR="00861C9F" w:rsidRDefault="0086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5F65" w14:textId="77777777" w:rsidR="00DC7DB4" w:rsidRDefault="00DC7DB4" w:rsidP="007D130B">
      <w:pPr>
        <w:spacing w:after="0" w:line="240" w:lineRule="auto"/>
      </w:pPr>
      <w:r>
        <w:separator/>
      </w:r>
    </w:p>
  </w:footnote>
  <w:footnote w:type="continuationSeparator" w:id="0">
    <w:p w14:paraId="6A3D772F" w14:textId="77777777" w:rsidR="00DC7DB4" w:rsidRDefault="00DC7DB4" w:rsidP="007D130B">
      <w:pPr>
        <w:spacing w:after="0" w:line="240" w:lineRule="auto"/>
      </w:pPr>
      <w:r>
        <w:continuationSeparator/>
      </w:r>
    </w:p>
  </w:footnote>
  <w:footnote w:id="1">
    <w:p w14:paraId="5EBDADE7" w14:textId="079CA896" w:rsidR="000317F8" w:rsidRDefault="000317F8">
      <w:pPr>
        <w:pStyle w:val="FootnoteText"/>
      </w:pPr>
      <w:r>
        <w:rPr>
          <w:rStyle w:val="FootnoteReference"/>
        </w:rPr>
        <w:footnoteRef/>
      </w:r>
      <w:r>
        <w:t xml:space="preserve"> Correspondence to Dr Alex Hoseason, Languages and Social Sciences, Aston University, Birmingham B4 7ET. Author’s email address: </w:t>
      </w:r>
      <w:hyperlink r:id="rId1" w:history="1">
        <w:r w:rsidRPr="008A7FB7">
          <w:rPr>
            <w:rStyle w:val="Hyperlink"/>
          </w:rPr>
          <w:t>a.hoseason@aston.ac.uk</w:t>
        </w:r>
      </w:hyperlink>
      <w:r>
        <w:t xml:space="preserve"> </w:t>
      </w:r>
    </w:p>
  </w:footnote>
  <w:footnote w:id="2">
    <w:p w14:paraId="1B593BF6" w14:textId="176C7AC8"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Andrew Linklater, </w:t>
      </w:r>
      <w:r w:rsidRPr="00E77B1B">
        <w:rPr>
          <w:i/>
          <w:iCs/>
          <w:sz w:val="20"/>
          <w:szCs w:val="20"/>
        </w:rPr>
        <w:t>The Problem of Harm in World Politics: Theoretical Investigations</w:t>
      </w:r>
      <w:r w:rsidRPr="00E77B1B">
        <w:rPr>
          <w:sz w:val="20"/>
          <w:szCs w:val="20"/>
        </w:rPr>
        <w:t xml:space="preserve">, (Cambridge: Cambridge University Press, 2011); Audra Mitchell, “Only Human? A Worldly Approach to Security”, </w:t>
      </w:r>
      <w:r w:rsidRPr="00E77B1B">
        <w:rPr>
          <w:i/>
          <w:iCs/>
          <w:sz w:val="20"/>
          <w:szCs w:val="20"/>
        </w:rPr>
        <w:t>Security Dialogue,</w:t>
      </w:r>
      <w:r w:rsidR="00FD0A32">
        <w:rPr>
          <w:sz w:val="20"/>
          <w:szCs w:val="20"/>
        </w:rPr>
        <w:t xml:space="preserve"> 45:1 (2014)</w:t>
      </w:r>
      <w:r w:rsidR="00BD2B57">
        <w:rPr>
          <w:sz w:val="20"/>
          <w:szCs w:val="20"/>
        </w:rPr>
        <w:t>, pp. 5-21</w:t>
      </w:r>
    </w:p>
  </w:footnote>
  <w:footnote w:id="3">
    <w:p w14:paraId="495E02B1" w14:textId="37AF0FF8"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Robert Cox, “Social Forces, States and World Orders: Beyond International Relations Theory”, </w:t>
      </w:r>
      <w:r w:rsidRPr="00E77B1B">
        <w:rPr>
          <w:i/>
          <w:iCs/>
          <w:sz w:val="20"/>
          <w:szCs w:val="20"/>
        </w:rPr>
        <w:t>Millennium - Journal of International Studies,</w:t>
      </w:r>
      <w:r w:rsidRPr="00E77B1B">
        <w:rPr>
          <w:sz w:val="20"/>
          <w:szCs w:val="20"/>
        </w:rPr>
        <w:t xml:space="preserve"> 10:2 (1981)</w:t>
      </w:r>
      <w:r w:rsidR="00BD2B57">
        <w:rPr>
          <w:sz w:val="20"/>
          <w:szCs w:val="20"/>
        </w:rPr>
        <w:t>, pp. 126-155</w:t>
      </w:r>
    </w:p>
  </w:footnote>
  <w:footnote w:id="4">
    <w:p w14:paraId="369A0E3A" w14:textId="0E2019D9" w:rsidR="00F334B9" w:rsidRPr="00E77B1B" w:rsidRDefault="00F334B9" w:rsidP="007D130B">
      <w:pPr>
        <w:pStyle w:val="FootnoteText"/>
      </w:pPr>
      <w:r w:rsidRPr="00E77B1B">
        <w:rPr>
          <w:rStyle w:val="FootnoteReference"/>
        </w:rPr>
        <w:footnoteRef/>
      </w:r>
      <w:r w:rsidRPr="00E77B1B">
        <w:t xml:space="preserve"> Linklater, The Problem of Harm in World Politics, p</w:t>
      </w:r>
      <w:r w:rsidR="00BD2B57">
        <w:t>p</w:t>
      </w:r>
      <w:r w:rsidRPr="00E77B1B">
        <w:t>. 23; Mitchell, Only Human, p</w:t>
      </w:r>
      <w:r w:rsidR="00BD2B57">
        <w:t>p</w:t>
      </w:r>
      <w:r w:rsidRPr="00E77B1B">
        <w:t>. 15</w:t>
      </w:r>
    </w:p>
  </w:footnote>
  <w:footnote w:id="5">
    <w:p w14:paraId="313FE286" w14:textId="21BDDE87" w:rsidR="00F334B9" w:rsidRPr="00E77B1B" w:rsidRDefault="00F334B9" w:rsidP="007D130B">
      <w:pPr>
        <w:pStyle w:val="FootnoteText"/>
      </w:pPr>
      <w:r w:rsidRPr="00E77B1B">
        <w:rPr>
          <w:rStyle w:val="FootnoteReference"/>
        </w:rPr>
        <w:footnoteRef/>
      </w:r>
      <w:r w:rsidRPr="00E77B1B">
        <w:t xml:space="preserve"> Ibid, </w:t>
      </w:r>
      <w:r w:rsidR="00BD2B57">
        <w:t>p</w:t>
      </w:r>
      <w:r w:rsidRPr="00E77B1B">
        <w:t xml:space="preserve">p. ix; Mitchell, </w:t>
      </w:r>
      <w:r w:rsidRPr="00E77B1B">
        <w:rPr>
          <w:i/>
        </w:rPr>
        <w:t>Only Human</w:t>
      </w:r>
      <w:r w:rsidRPr="00E77B1B">
        <w:t xml:space="preserve">, </w:t>
      </w:r>
      <w:r w:rsidR="00BD2B57">
        <w:t>p</w:t>
      </w:r>
      <w:r w:rsidRPr="00E77B1B">
        <w:t>p. 6.</w:t>
      </w:r>
    </w:p>
  </w:footnote>
  <w:footnote w:id="6">
    <w:p w14:paraId="7AE20E0F" w14:textId="77777777"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Scott Hamilton, “A Genealogy of Metatheory in IR: How ‘ontology’ Emerged from the Inter-Paradigm Debate”, </w:t>
      </w:r>
      <w:r w:rsidRPr="00E77B1B">
        <w:rPr>
          <w:i/>
          <w:iCs/>
          <w:sz w:val="20"/>
          <w:szCs w:val="20"/>
        </w:rPr>
        <w:t xml:space="preserve">International Theory, </w:t>
      </w:r>
      <w:r w:rsidRPr="00E77B1B">
        <w:rPr>
          <w:sz w:val="20"/>
          <w:szCs w:val="20"/>
        </w:rPr>
        <w:t>9:1 (2017), pp. 136–70</w:t>
      </w:r>
    </w:p>
  </w:footnote>
  <w:footnote w:id="7">
    <w:p w14:paraId="4D425E6B" w14:textId="77777777"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Lucian Ashworth, “Where Are the Idealists in Interwar International Relations?” </w:t>
      </w:r>
      <w:r w:rsidRPr="00E77B1B">
        <w:rPr>
          <w:i/>
          <w:iCs/>
          <w:sz w:val="20"/>
          <w:szCs w:val="20"/>
        </w:rPr>
        <w:t>Review of International Studies</w:t>
      </w:r>
      <w:r w:rsidRPr="00E77B1B">
        <w:rPr>
          <w:sz w:val="20"/>
          <w:szCs w:val="20"/>
        </w:rPr>
        <w:t xml:space="preserve"> 32:2 (2006), pp. 291–308</w:t>
      </w:r>
    </w:p>
  </w:footnote>
  <w:footnote w:id="8">
    <w:p w14:paraId="062D0A36" w14:textId="77777777" w:rsidR="00F334B9" w:rsidRPr="00E77B1B" w:rsidRDefault="00F334B9" w:rsidP="007D130B">
      <w:pPr>
        <w:pStyle w:val="FootnoteText"/>
      </w:pPr>
      <w:r w:rsidRPr="00E77B1B">
        <w:rPr>
          <w:rStyle w:val="FootnoteReference"/>
        </w:rPr>
        <w:footnoteRef/>
      </w:r>
      <w:r w:rsidRPr="00E77B1B">
        <w:t xml:space="preserve"> Ibid.</w:t>
      </w:r>
    </w:p>
  </w:footnote>
  <w:footnote w:id="9">
    <w:p w14:paraId="08ED7D35" w14:textId="0C0EAC80"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Hedley Bull, “The Twenty Years’ Crisis Thirty Years On”, </w:t>
      </w:r>
      <w:r w:rsidRPr="00E77B1B">
        <w:rPr>
          <w:i/>
          <w:iCs/>
          <w:sz w:val="20"/>
          <w:szCs w:val="20"/>
        </w:rPr>
        <w:t>International Journal,</w:t>
      </w:r>
      <w:r w:rsidRPr="00E77B1B">
        <w:rPr>
          <w:sz w:val="20"/>
          <w:szCs w:val="20"/>
        </w:rPr>
        <w:t xml:space="preserve"> 24:4 (1969), pp. </w:t>
      </w:r>
      <w:r w:rsidRPr="00E77B1B">
        <w:rPr>
          <w:rFonts w:ascii="Calibri" w:hAnsi="Calibri" w:cs="Times New Roman"/>
          <w:sz w:val="20"/>
          <w:szCs w:val="20"/>
        </w:rPr>
        <w:t xml:space="preserve">627; </w:t>
      </w:r>
      <w:r w:rsidRPr="00E77B1B">
        <w:rPr>
          <w:sz w:val="20"/>
          <w:szCs w:val="20"/>
        </w:rPr>
        <w:t xml:space="preserve">Hedley Bull, </w:t>
      </w:r>
      <w:r w:rsidRPr="00E77B1B">
        <w:rPr>
          <w:i/>
          <w:iCs/>
          <w:sz w:val="20"/>
          <w:szCs w:val="20"/>
        </w:rPr>
        <w:t>The Anarchical Society: A Study of Order in World Politics,</w:t>
      </w:r>
      <w:r w:rsidRPr="00E77B1B">
        <w:rPr>
          <w:sz w:val="20"/>
          <w:szCs w:val="20"/>
        </w:rPr>
        <w:t xml:space="preserve"> 3rd edition, (</w:t>
      </w:r>
      <w:r w:rsidR="00BD2B57">
        <w:rPr>
          <w:sz w:val="20"/>
          <w:szCs w:val="20"/>
        </w:rPr>
        <w:t xml:space="preserve">Hampshire: </w:t>
      </w:r>
      <w:r w:rsidRPr="00E77B1B">
        <w:rPr>
          <w:sz w:val="20"/>
          <w:szCs w:val="20"/>
        </w:rPr>
        <w:t>Palgrave Macmillan, 2002)</w:t>
      </w:r>
    </w:p>
  </w:footnote>
  <w:footnote w:id="10">
    <w:p w14:paraId="19E90797" w14:textId="7C14B3F3"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Richard Ashley, “The Poverty of Neorealism” </w:t>
      </w:r>
      <w:r w:rsidRPr="00E77B1B">
        <w:rPr>
          <w:i/>
          <w:iCs/>
          <w:sz w:val="20"/>
          <w:szCs w:val="20"/>
        </w:rPr>
        <w:t>International Organization</w:t>
      </w:r>
      <w:r w:rsidRPr="00E77B1B">
        <w:rPr>
          <w:sz w:val="20"/>
          <w:szCs w:val="20"/>
        </w:rPr>
        <w:t xml:space="preserve"> 38:2 (1984), pp. 225–286</w:t>
      </w:r>
      <w:r w:rsidRPr="00E77B1B">
        <w:rPr>
          <w:rFonts w:ascii="Calibri" w:hAnsi="Calibri" w:cs="Times New Roman"/>
          <w:sz w:val="20"/>
          <w:szCs w:val="20"/>
        </w:rPr>
        <w:t xml:space="preserve">; </w:t>
      </w:r>
      <w:r w:rsidRPr="00E77B1B">
        <w:rPr>
          <w:sz w:val="20"/>
          <w:szCs w:val="20"/>
        </w:rPr>
        <w:t xml:space="preserve">Cynthia Enloe, </w:t>
      </w:r>
      <w:r w:rsidRPr="00E77B1B">
        <w:rPr>
          <w:i/>
          <w:iCs/>
          <w:sz w:val="20"/>
          <w:szCs w:val="20"/>
        </w:rPr>
        <w:t>Bananas, Beaches and Bases: Making Feminist Sense of International Politics,</w:t>
      </w:r>
      <w:r w:rsidRPr="00E77B1B">
        <w:rPr>
          <w:sz w:val="20"/>
          <w:szCs w:val="20"/>
        </w:rPr>
        <w:t xml:space="preserve"> new edition, (Berkeley: University of California Press, 1992); Andrew Linklater, </w:t>
      </w:r>
      <w:r w:rsidRPr="00E77B1B">
        <w:rPr>
          <w:i/>
          <w:iCs/>
          <w:sz w:val="20"/>
          <w:szCs w:val="20"/>
        </w:rPr>
        <w:t xml:space="preserve">Transformation of Political Community: Ethical Foundations of the Post-Westphalian Era, </w:t>
      </w:r>
      <w:r w:rsidRPr="00E77B1B">
        <w:rPr>
          <w:iCs/>
          <w:sz w:val="20"/>
          <w:szCs w:val="20"/>
        </w:rPr>
        <w:t xml:space="preserve">(London: </w:t>
      </w:r>
      <w:r w:rsidRPr="00E77B1B">
        <w:rPr>
          <w:sz w:val="20"/>
          <w:szCs w:val="20"/>
        </w:rPr>
        <w:t>Polity Press, 1998)</w:t>
      </w:r>
    </w:p>
  </w:footnote>
  <w:footnote w:id="11">
    <w:p w14:paraId="1BD4DB36" w14:textId="77777777"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Patrick Thaddeus Jackson, “Must International Studies Be a Science?”, </w:t>
      </w:r>
      <w:r w:rsidRPr="00E77B1B">
        <w:rPr>
          <w:i/>
          <w:iCs/>
          <w:sz w:val="20"/>
          <w:szCs w:val="20"/>
        </w:rPr>
        <w:t>Millennium - Journal of International Studies,</w:t>
      </w:r>
      <w:r w:rsidRPr="00E77B1B">
        <w:rPr>
          <w:sz w:val="20"/>
          <w:szCs w:val="20"/>
        </w:rPr>
        <w:t xml:space="preserve"> 43:3 (2015), pp. 942–65</w:t>
      </w:r>
    </w:p>
  </w:footnote>
  <w:footnote w:id="12">
    <w:p w14:paraId="4FEA78AA" w14:textId="77777777" w:rsidR="00F334B9" w:rsidRPr="00E77B1B" w:rsidRDefault="00F334B9" w:rsidP="007D130B">
      <w:pPr>
        <w:pStyle w:val="FootnoteText"/>
      </w:pPr>
      <w:r w:rsidRPr="00E77B1B">
        <w:rPr>
          <w:rStyle w:val="FootnoteReference"/>
        </w:rPr>
        <w:footnoteRef/>
      </w:r>
      <w:r w:rsidRPr="00E77B1B">
        <w:t xml:space="preserve"> Bruno Latour, “Facing Gaia: A New Enquiry Into Natural Religion.” </w:t>
      </w:r>
      <w:r w:rsidRPr="00E77B1B">
        <w:rPr>
          <w:i/>
          <w:iCs/>
        </w:rPr>
        <w:t>The Gifford Lectures</w:t>
      </w:r>
      <w:r w:rsidRPr="00E77B1B">
        <w:t>, (2015)</w:t>
      </w:r>
    </w:p>
  </w:footnote>
  <w:footnote w:id="13">
    <w:p w14:paraId="7123E79F" w14:textId="77777777" w:rsidR="00F334B9" w:rsidRPr="00F632C1" w:rsidRDefault="00F334B9" w:rsidP="007D130B">
      <w:pPr>
        <w:pStyle w:val="FootnoteText"/>
      </w:pPr>
      <w:r w:rsidRPr="00F632C1">
        <w:rPr>
          <w:rStyle w:val="FootnoteReference"/>
        </w:rPr>
        <w:footnoteRef/>
      </w:r>
      <w:r w:rsidRPr="00F632C1">
        <w:t xml:space="preserve"> </w:t>
      </w:r>
      <w:r>
        <w:t xml:space="preserve">Richard Beardsworth, “The Future of Critical Philosophy and World Politics”, </w:t>
      </w:r>
      <w:r>
        <w:rPr>
          <w:i/>
        </w:rPr>
        <w:t>Millennium: Journal of International Studies</w:t>
      </w:r>
      <w:r>
        <w:t>, 34: 1 (2005), pp. 201-235</w:t>
      </w:r>
    </w:p>
  </w:footnote>
  <w:footnote w:id="14">
    <w:p w14:paraId="0979C51D" w14:textId="29FC661B" w:rsidR="00F334B9" w:rsidRPr="00C25CB8" w:rsidRDefault="00F334B9" w:rsidP="007D130B">
      <w:pPr>
        <w:pStyle w:val="FootnoteText"/>
      </w:pPr>
      <w:r w:rsidRPr="009B0A4D">
        <w:rPr>
          <w:rStyle w:val="FootnoteReference"/>
        </w:rPr>
        <w:footnoteRef/>
      </w:r>
      <w:r w:rsidRPr="009B0A4D">
        <w:t xml:space="preserve"> Barry Buzan, </w:t>
      </w:r>
      <w:r>
        <w:rPr>
          <w:i/>
        </w:rPr>
        <w:t>From International to World Society: English School Theory and the Social Structure of Globalisation</w:t>
      </w:r>
      <w:r>
        <w:t>, (</w:t>
      </w:r>
      <w:r w:rsidR="00BD2B57">
        <w:t xml:space="preserve">Cambridge: </w:t>
      </w:r>
      <w:r>
        <w:t>Cambridge University Press, 2004)</w:t>
      </w:r>
    </w:p>
  </w:footnote>
  <w:footnote w:id="15">
    <w:p w14:paraId="4841A2B6" w14:textId="52E5F376" w:rsidR="00F334B9" w:rsidRPr="00E77B1B" w:rsidRDefault="00F334B9" w:rsidP="007D130B">
      <w:pPr>
        <w:pStyle w:val="FootnoteText"/>
      </w:pPr>
      <w:r w:rsidRPr="00E77B1B">
        <w:rPr>
          <w:rStyle w:val="FootnoteReference"/>
        </w:rPr>
        <w:footnoteRef/>
      </w:r>
      <w:r w:rsidRPr="00E77B1B">
        <w:t xml:space="preserve"> Linklater, </w:t>
      </w:r>
      <w:r w:rsidRPr="00DA4955">
        <w:rPr>
          <w:i/>
        </w:rPr>
        <w:t>The Problem of Harm in World Politics</w:t>
      </w:r>
      <w:r w:rsidRPr="00E77B1B">
        <w:t>, p</w:t>
      </w:r>
      <w:r w:rsidR="00BD2B57">
        <w:t>p</w:t>
      </w:r>
      <w:r w:rsidRPr="00E77B1B">
        <w:t>. 29.</w:t>
      </w:r>
    </w:p>
  </w:footnote>
  <w:footnote w:id="16">
    <w:p w14:paraId="190C08F2" w14:textId="5AB9C94C" w:rsidR="00F334B9" w:rsidRPr="00E77B1B" w:rsidRDefault="00F334B9" w:rsidP="007D130B">
      <w:pPr>
        <w:pStyle w:val="FootnoteText"/>
      </w:pPr>
      <w:r w:rsidRPr="00E77B1B">
        <w:rPr>
          <w:rStyle w:val="FootnoteReference"/>
        </w:rPr>
        <w:footnoteRef/>
      </w:r>
      <w:r w:rsidRPr="00E77B1B">
        <w:t xml:space="preserve"> Ibid, p</w:t>
      </w:r>
      <w:r w:rsidR="00BD2B57">
        <w:t>p</w:t>
      </w:r>
      <w:r w:rsidRPr="00E77B1B">
        <w:t>. 181.</w:t>
      </w:r>
    </w:p>
  </w:footnote>
  <w:footnote w:id="17">
    <w:p w14:paraId="7DBFE3CF" w14:textId="55B344C3" w:rsidR="00F334B9" w:rsidRPr="00FD0A32" w:rsidRDefault="00F334B9" w:rsidP="007D130B">
      <w:pPr>
        <w:pStyle w:val="FootnoteText"/>
      </w:pPr>
      <w:r w:rsidRPr="00E77B1B">
        <w:rPr>
          <w:rStyle w:val="FootnoteReference"/>
        </w:rPr>
        <w:footnoteRef/>
      </w:r>
      <w:r w:rsidRPr="00E77B1B">
        <w:t xml:space="preserve"> </w:t>
      </w:r>
      <w:r w:rsidR="00FD0A32">
        <w:t xml:space="preserve">Linklater, “Citizenship, Humanity and Cosmopolitan Harm Conventions”, </w:t>
      </w:r>
      <w:r w:rsidR="00FD0A32">
        <w:rPr>
          <w:i/>
        </w:rPr>
        <w:t>International Political Science Review</w:t>
      </w:r>
      <w:r w:rsidR="00FD0A32">
        <w:t>, 22:3 (2001), pp. 261-277</w:t>
      </w:r>
    </w:p>
  </w:footnote>
  <w:footnote w:id="18">
    <w:p w14:paraId="4593695F" w14:textId="77777777"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Richard Kilminster, “Norbert Elias’s Post-Philosophical Sociology: From ‘Critique’ to Relative Detachment”, </w:t>
      </w:r>
      <w:r w:rsidRPr="00E77B1B">
        <w:rPr>
          <w:i/>
          <w:iCs/>
          <w:sz w:val="20"/>
          <w:szCs w:val="20"/>
        </w:rPr>
        <w:t>The Sociological Review,</w:t>
      </w:r>
      <w:r w:rsidRPr="00E77B1B">
        <w:rPr>
          <w:sz w:val="20"/>
          <w:szCs w:val="20"/>
        </w:rPr>
        <w:t xml:space="preserve"> 59:1 (2011), pp. 91–116</w:t>
      </w:r>
    </w:p>
  </w:footnote>
  <w:footnote w:id="19">
    <w:p w14:paraId="433E2E03" w14:textId="246C5F73" w:rsidR="00F334B9" w:rsidRPr="00E77B1B" w:rsidRDefault="00F334B9" w:rsidP="007D130B">
      <w:pPr>
        <w:pStyle w:val="FootnoteText"/>
      </w:pPr>
      <w:r w:rsidRPr="00E77B1B">
        <w:rPr>
          <w:rStyle w:val="FootnoteReference"/>
        </w:rPr>
        <w:footnoteRef/>
      </w:r>
      <w:r w:rsidRPr="00E77B1B">
        <w:t xml:space="preserve"> Linklater, The Problem of Harm in World Politics, p</w:t>
      </w:r>
      <w:r w:rsidR="00BD2B57">
        <w:t>p</w:t>
      </w:r>
      <w:r w:rsidRPr="00E77B1B">
        <w:t>. 40</w:t>
      </w:r>
    </w:p>
  </w:footnote>
  <w:footnote w:id="20">
    <w:p w14:paraId="43781463" w14:textId="6C967566" w:rsidR="00F334B9" w:rsidRPr="00E77B1B" w:rsidRDefault="00F334B9" w:rsidP="007D130B">
      <w:pPr>
        <w:pStyle w:val="FootnoteText"/>
      </w:pPr>
      <w:r w:rsidRPr="00E77B1B">
        <w:rPr>
          <w:rStyle w:val="FootnoteReference"/>
        </w:rPr>
        <w:footnoteRef/>
      </w:r>
      <w:r w:rsidR="007A187B">
        <w:t xml:space="preserve"> Ibid</w:t>
      </w:r>
      <w:r w:rsidRPr="00E77B1B">
        <w:t>, p</w:t>
      </w:r>
      <w:r w:rsidR="00BD2B57">
        <w:t>p</w:t>
      </w:r>
      <w:r w:rsidRPr="00E77B1B">
        <w:t>. 187.</w:t>
      </w:r>
    </w:p>
  </w:footnote>
  <w:footnote w:id="21">
    <w:p w14:paraId="70B2F7FF" w14:textId="77777777"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Andrew Linklater, “The Problem of Harm in World Politics: Implications for the Sociology of States-Systems”, </w:t>
      </w:r>
      <w:r w:rsidRPr="00E77B1B">
        <w:rPr>
          <w:i/>
          <w:iCs/>
          <w:sz w:val="20"/>
          <w:szCs w:val="20"/>
        </w:rPr>
        <w:t>International Affairs,</w:t>
      </w:r>
      <w:r w:rsidRPr="00E77B1B">
        <w:rPr>
          <w:sz w:val="20"/>
          <w:szCs w:val="20"/>
        </w:rPr>
        <w:t xml:space="preserve"> 78:2 (2002), pp. 319–338</w:t>
      </w:r>
      <w:r w:rsidRPr="00E77B1B">
        <w:rPr>
          <w:rFonts w:ascii="Calibri" w:hAnsi="Calibri" w:cs="Times New Roman"/>
          <w:sz w:val="20"/>
          <w:szCs w:val="20"/>
        </w:rPr>
        <w:t xml:space="preserve">; </w:t>
      </w:r>
      <w:r w:rsidRPr="00E77B1B">
        <w:rPr>
          <w:sz w:val="20"/>
          <w:szCs w:val="20"/>
        </w:rPr>
        <w:t xml:space="preserve">Linklater, “Norbert Elias, The ‘Civilizing Process’ and the Sociology of International Relations”, </w:t>
      </w:r>
      <w:r w:rsidRPr="00E77B1B">
        <w:rPr>
          <w:i/>
          <w:iCs/>
          <w:sz w:val="20"/>
          <w:szCs w:val="20"/>
        </w:rPr>
        <w:t>International Politics,</w:t>
      </w:r>
      <w:r w:rsidRPr="00E77B1B">
        <w:rPr>
          <w:sz w:val="20"/>
          <w:szCs w:val="20"/>
        </w:rPr>
        <w:t xml:space="preserve"> 41:1 (2004), pp. 3–35</w:t>
      </w:r>
      <w:r w:rsidRPr="00E77B1B">
        <w:rPr>
          <w:rFonts w:ascii="Calibri" w:hAnsi="Calibri" w:cs="Times New Roman"/>
          <w:sz w:val="20"/>
          <w:szCs w:val="20"/>
        </w:rPr>
        <w:t xml:space="preserve">; </w:t>
      </w:r>
      <w:r>
        <w:rPr>
          <w:rFonts w:ascii="Calibri" w:hAnsi="Calibri" w:cs="Times New Roman"/>
          <w:sz w:val="20"/>
          <w:szCs w:val="20"/>
        </w:rPr>
        <w:t>L</w:t>
      </w:r>
      <w:r w:rsidRPr="00E77B1B">
        <w:rPr>
          <w:sz w:val="20"/>
          <w:szCs w:val="20"/>
        </w:rPr>
        <w:t xml:space="preserve">inklater, “Towards a Sociology of Global Morals with an ‘Emancipatory Intent’”, </w:t>
      </w:r>
      <w:r w:rsidRPr="00E77B1B">
        <w:rPr>
          <w:i/>
          <w:iCs/>
          <w:sz w:val="20"/>
          <w:szCs w:val="20"/>
        </w:rPr>
        <w:t>Review of International Studies,</w:t>
      </w:r>
      <w:r w:rsidRPr="00E77B1B">
        <w:rPr>
          <w:sz w:val="20"/>
          <w:szCs w:val="20"/>
        </w:rPr>
        <w:t xml:space="preserve"> 33:1 (2007b), pp. 135-150</w:t>
      </w:r>
      <w:r w:rsidRPr="00E77B1B">
        <w:rPr>
          <w:rFonts w:ascii="Calibri" w:hAnsi="Calibri" w:cs="Times New Roman"/>
          <w:sz w:val="20"/>
          <w:szCs w:val="20"/>
        </w:rPr>
        <w:t xml:space="preserve">; Linklater, </w:t>
      </w:r>
      <w:r w:rsidRPr="00E77B1B">
        <w:rPr>
          <w:rFonts w:ascii="Calibri" w:hAnsi="Calibri" w:cs="Times New Roman"/>
          <w:i/>
          <w:iCs/>
          <w:sz w:val="20"/>
          <w:szCs w:val="20"/>
        </w:rPr>
        <w:t>The Problem of Harm in World Politics</w:t>
      </w:r>
      <w:r w:rsidRPr="00E77B1B">
        <w:rPr>
          <w:rFonts w:ascii="Calibri" w:hAnsi="Calibri" w:cs="Times New Roman"/>
          <w:sz w:val="20"/>
          <w:szCs w:val="20"/>
        </w:rPr>
        <w:t xml:space="preserve">; Linklater, “Process Sociology and International Relations,” in </w:t>
      </w:r>
      <w:r w:rsidRPr="00E77B1B">
        <w:rPr>
          <w:rFonts w:ascii="Calibri" w:hAnsi="Calibri" w:cs="Times New Roman"/>
          <w:i/>
          <w:iCs/>
          <w:sz w:val="20"/>
          <w:szCs w:val="20"/>
        </w:rPr>
        <w:t>Norbert Elias and Figurational Research: Processual Thinking in Sociology</w:t>
      </w:r>
      <w:r w:rsidRPr="00E77B1B">
        <w:rPr>
          <w:rFonts w:ascii="Calibri" w:hAnsi="Calibri" w:cs="Times New Roman"/>
          <w:sz w:val="20"/>
          <w:szCs w:val="20"/>
        </w:rPr>
        <w:t xml:space="preserve"> (London: Blackwell, 2011).</w:t>
      </w:r>
    </w:p>
  </w:footnote>
  <w:footnote w:id="22">
    <w:p w14:paraId="1CE0F045" w14:textId="6322B3DA" w:rsidR="00F334B9" w:rsidRPr="00E77B1B" w:rsidRDefault="00F334B9" w:rsidP="007D130B">
      <w:pPr>
        <w:pStyle w:val="FootnoteText"/>
      </w:pPr>
      <w:r w:rsidRPr="00E77B1B">
        <w:rPr>
          <w:rStyle w:val="FootnoteReference"/>
        </w:rPr>
        <w:footnoteRef/>
      </w:r>
      <w:r w:rsidRPr="00E77B1B">
        <w:t xml:space="preserve"> Linklater, The Problem of Harm in World Politics, p</w:t>
      </w:r>
      <w:r w:rsidR="00BD2B57">
        <w:t>p</w:t>
      </w:r>
      <w:r w:rsidRPr="00E77B1B">
        <w:t>. 211.</w:t>
      </w:r>
    </w:p>
  </w:footnote>
  <w:footnote w:id="23">
    <w:p w14:paraId="7C6E39A4" w14:textId="77777777" w:rsidR="00F334B9" w:rsidRPr="00E77B1B" w:rsidRDefault="00F334B9" w:rsidP="007D130B">
      <w:pPr>
        <w:pStyle w:val="FootnoteText"/>
      </w:pPr>
      <w:r w:rsidRPr="00F632C1">
        <w:rPr>
          <w:rStyle w:val="FootnoteReference"/>
        </w:rPr>
        <w:footnoteRef/>
      </w:r>
      <w:r w:rsidRPr="00F632C1">
        <w:t xml:space="preserve"> Andrew Linklater, “Norbert Elias, The ‘Civilizing Process’ and the Sociology of International Relations”, pp. 4</w:t>
      </w:r>
    </w:p>
  </w:footnote>
  <w:footnote w:id="24">
    <w:p w14:paraId="2BA639B9" w14:textId="40786763" w:rsidR="00F334B9" w:rsidRPr="00E77B1B" w:rsidRDefault="00F334B9" w:rsidP="007D130B">
      <w:pPr>
        <w:pStyle w:val="FootnoteText"/>
      </w:pPr>
      <w:r w:rsidRPr="00E77B1B">
        <w:rPr>
          <w:rStyle w:val="FootnoteReference"/>
        </w:rPr>
        <w:footnoteRef/>
      </w:r>
      <w:r w:rsidRPr="00E77B1B">
        <w:t xml:space="preserve"> Norbert Elias, </w:t>
      </w:r>
      <w:r w:rsidRPr="00E77B1B">
        <w:rPr>
          <w:i/>
          <w:iCs/>
        </w:rPr>
        <w:t>What Is Sociology?</w:t>
      </w:r>
      <w:r w:rsidRPr="00E77B1B">
        <w:t xml:space="preserve">, trans. Stephen Mennell and Grace Morrissey (London: Hutchinson, 1978), </w:t>
      </w:r>
      <w:r w:rsidR="00BD2B57">
        <w:t>p</w:t>
      </w:r>
      <w:r w:rsidRPr="00E77B1B">
        <w:t>p. 71.</w:t>
      </w:r>
    </w:p>
  </w:footnote>
  <w:footnote w:id="25">
    <w:p w14:paraId="23012C79" w14:textId="71424B5D" w:rsidR="00F334B9" w:rsidRPr="004E1D52" w:rsidRDefault="00F334B9" w:rsidP="007D130B">
      <w:pPr>
        <w:pStyle w:val="FootnoteText"/>
      </w:pPr>
      <w:r w:rsidRPr="004E1D52">
        <w:rPr>
          <w:rStyle w:val="FootnoteReference"/>
        </w:rPr>
        <w:footnoteRef/>
      </w:r>
      <w:r w:rsidRPr="004E1D52">
        <w:t xml:space="preserve"> Stephen Mennell, “Decivilising Processes: Theoretical Significance and Some Lines of Research’, </w:t>
      </w:r>
      <w:r w:rsidRPr="004E1D52">
        <w:rPr>
          <w:i/>
        </w:rPr>
        <w:t>International Sociology</w:t>
      </w:r>
      <w:r w:rsidRPr="004E1D52">
        <w:t>, 5:2 (1990)</w:t>
      </w:r>
      <w:r w:rsidR="007A187B">
        <w:t>, pp. 205-223</w:t>
      </w:r>
    </w:p>
  </w:footnote>
  <w:footnote w:id="26">
    <w:p w14:paraId="7F13F59F" w14:textId="455A9E51" w:rsidR="00F334B9" w:rsidRPr="00E77B1B" w:rsidRDefault="00F334B9" w:rsidP="007D130B">
      <w:pPr>
        <w:pStyle w:val="FootnoteText"/>
      </w:pPr>
      <w:r w:rsidRPr="00E77B1B">
        <w:rPr>
          <w:rStyle w:val="FootnoteReference"/>
        </w:rPr>
        <w:footnoteRef/>
      </w:r>
      <w:r w:rsidRPr="00E77B1B">
        <w:t xml:space="preserve"> Linklater, The Problem of Harm in World Politics, p</w:t>
      </w:r>
      <w:r w:rsidR="00BD2B57">
        <w:t>p</w:t>
      </w:r>
      <w:r w:rsidRPr="00E77B1B">
        <w:t>. 235.</w:t>
      </w:r>
    </w:p>
  </w:footnote>
  <w:footnote w:id="27">
    <w:p w14:paraId="3BC2C288" w14:textId="77777777" w:rsidR="00F334B9" w:rsidRPr="00E77B1B" w:rsidRDefault="00F334B9" w:rsidP="007D130B">
      <w:pPr>
        <w:pStyle w:val="FootnoteText"/>
      </w:pPr>
      <w:r w:rsidRPr="00E77B1B">
        <w:rPr>
          <w:rStyle w:val="FootnoteReference"/>
        </w:rPr>
        <w:footnoteRef/>
      </w:r>
      <w:r w:rsidRPr="00E77B1B">
        <w:t xml:space="preserve"> </w:t>
      </w:r>
      <w:r w:rsidRPr="00E77B1B">
        <w:rPr>
          <w:rFonts w:ascii="Calibri" w:hAnsi="Calibri" w:cs="Times New Roman"/>
        </w:rPr>
        <w:t>Linklater, “Towards a Sociology of Global Morals”</w:t>
      </w:r>
    </w:p>
  </w:footnote>
  <w:footnote w:id="28">
    <w:p w14:paraId="39ADB94B" w14:textId="77777777" w:rsidR="00F334B9" w:rsidRPr="00E77B1B" w:rsidRDefault="00F334B9" w:rsidP="007D130B">
      <w:pPr>
        <w:pStyle w:val="Bibliography"/>
        <w:spacing w:after="0" w:line="240" w:lineRule="auto"/>
        <w:rPr>
          <w:sz w:val="20"/>
          <w:szCs w:val="20"/>
        </w:rPr>
      </w:pPr>
      <w:r w:rsidRPr="00E77B1B">
        <w:rPr>
          <w:rStyle w:val="FootnoteReference"/>
          <w:sz w:val="20"/>
          <w:szCs w:val="20"/>
        </w:rPr>
        <w:footnoteRef/>
      </w:r>
      <w:r w:rsidRPr="00E77B1B">
        <w:rPr>
          <w:sz w:val="20"/>
          <w:szCs w:val="20"/>
        </w:rPr>
        <w:t xml:space="preserve"> See Andrew Linklater, </w:t>
      </w:r>
      <w:r w:rsidRPr="00E77B1B">
        <w:rPr>
          <w:i/>
          <w:sz w:val="20"/>
          <w:szCs w:val="20"/>
        </w:rPr>
        <w:t>Figurations</w:t>
      </w:r>
      <w:r w:rsidRPr="00E77B1B">
        <w:rPr>
          <w:sz w:val="20"/>
          <w:szCs w:val="20"/>
        </w:rPr>
        <w:t xml:space="preserve"> 29, (2008). Norbert Elias, “Problems of Involvement and Detachment”, </w:t>
      </w:r>
      <w:r w:rsidRPr="00E77B1B">
        <w:rPr>
          <w:i/>
          <w:iCs/>
          <w:sz w:val="20"/>
          <w:szCs w:val="20"/>
        </w:rPr>
        <w:t>The British Journal of Sociology,</w:t>
      </w:r>
      <w:r w:rsidRPr="00E77B1B">
        <w:rPr>
          <w:sz w:val="20"/>
          <w:szCs w:val="20"/>
        </w:rPr>
        <w:t xml:space="preserve"> 7:3 (1956), pp. 226–52</w:t>
      </w:r>
      <w:r w:rsidRPr="00E77B1B">
        <w:rPr>
          <w:rFonts w:ascii="Calibri" w:hAnsi="Calibri" w:cs="Times New Roman"/>
          <w:sz w:val="20"/>
          <w:szCs w:val="20"/>
        </w:rPr>
        <w:t xml:space="preserve">; Kilminster, “Norbert Elias’s Post-Philosophical Sociology”; </w:t>
      </w:r>
      <w:r w:rsidRPr="00E77B1B">
        <w:rPr>
          <w:sz w:val="20"/>
          <w:szCs w:val="20"/>
        </w:rPr>
        <w:t xml:space="preserve">Andre Saramago, “Problems of Orientation and Control: Marx, Elias and the Involvement–Detachment Balance in Figurational Sociology”, </w:t>
      </w:r>
      <w:r w:rsidRPr="00E77B1B">
        <w:rPr>
          <w:i/>
          <w:iCs/>
          <w:sz w:val="20"/>
          <w:szCs w:val="20"/>
        </w:rPr>
        <w:t>Human Figurations,</w:t>
      </w:r>
      <w:r w:rsidRPr="00E77B1B">
        <w:rPr>
          <w:sz w:val="20"/>
          <w:szCs w:val="20"/>
        </w:rPr>
        <w:t xml:space="preserve"> 4:2 (2015)</w:t>
      </w:r>
    </w:p>
  </w:footnote>
  <w:footnote w:id="29">
    <w:p w14:paraId="58AA3C93" w14:textId="77777777" w:rsidR="00F334B9" w:rsidRPr="00E77B1B" w:rsidRDefault="00F334B9" w:rsidP="007D130B">
      <w:pPr>
        <w:pStyle w:val="FootnoteText"/>
      </w:pPr>
      <w:r w:rsidRPr="00E77B1B">
        <w:rPr>
          <w:rStyle w:val="FootnoteReference"/>
        </w:rPr>
        <w:footnoteRef/>
      </w:r>
      <w:r w:rsidRPr="00E77B1B">
        <w:t xml:space="preserve"> Stephen Mennell, </w:t>
      </w:r>
      <w:r w:rsidRPr="00E77B1B">
        <w:rPr>
          <w:i/>
          <w:iCs/>
        </w:rPr>
        <w:t>Norbert Elias: An Introduction,</w:t>
      </w:r>
      <w:r w:rsidRPr="00E77B1B">
        <w:t xml:space="preserve"> (Dublin: University College Dublin Press, 1998)</w:t>
      </w:r>
    </w:p>
  </w:footnote>
  <w:footnote w:id="30">
    <w:p w14:paraId="15E2B470" w14:textId="77777777" w:rsidR="00F334B9" w:rsidRPr="00E77B1B" w:rsidRDefault="00F334B9" w:rsidP="007D130B">
      <w:pPr>
        <w:pStyle w:val="FootnoteText"/>
      </w:pPr>
      <w:r w:rsidRPr="00E77B1B">
        <w:rPr>
          <w:rStyle w:val="FootnoteReference"/>
        </w:rPr>
        <w:footnoteRef/>
      </w:r>
      <w:r w:rsidRPr="00E77B1B">
        <w:t xml:space="preserve"> Dunning and Hughes, Norbert Elias and Modern Sociology, p</w:t>
      </w:r>
      <w:r>
        <w:t>p</w:t>
      </w:r>
      <w:r w:rsidRPr="00E77B1B">
        <w:t>. 14.</w:t>
      </w:r>
    </w:p>
  </w:footnote>
  <w:footnote w:id="31">
    <w:p w14:paraId="3530E8C8" w14:textId="77777777" w:rsidR="00F334B9" w:rsidRDefault="00F334B9" w:rsidP="007D130B">
      <w:pPr>
        <w:pStyle w:val="FootnoteText"/>
      </w:pPr>
      <w:r>
        <w:rPr>
          <w:rStyle w:val="FootnoteReference"/>
        </w:rPr>
        <w:footnoteRef/>
      </w:r>
      <w:r>
        <w:t xml:space="preserve"> </w:t>
      </w:r>
      <w:r>
        <w:fldChar w:fldCharType="begin"/>
      </w:r>
      <w:r>
        <w:instrText xml:space="preserve"> ADDIN ZOTERO_ITEM CSL_CITATION {"citationID":"2qHh2YXV","properties":{"formattedCitation":"{\\rtf Norbert Elias, \\uc0\\u8216{}Problems of Involvement and Detachment\\uc0\\u8217{}, {\\i{}The British Journal of Sociology} 7, no. 3 (1 September 1956): 226\\uc0\\u8211{}52, https://doi.org/10.2307/587994.}","plainCitation":"Norbert Elias, ‘Problems of Involvement and Detachment’, The British Journal of Sociology 7, no. 3 (1 September 1956): 226–52, https://doi.org/10.2307/587994."},"citationItems":[{"id":100,"uris":["http://zotero.org/users/4207534/items/58JHAH59"],"uri":["http://zotero.org/users/4207534/items/58JHAH59"],"itemData":{"id":100,"type":"article-journal","title":"Problems of Involvement and Detachment","container-title":"The British Journal of Sociology","page":"226-252","volume":"7","issue":"3","source":"JSTOR","DOI":"10.2307/587994","ISSN":"0007-1315","journalAbbreviation":"The British Journal of Sociology","author":[{"family":"Elias","given":"Norbert"}],"issued":{"date-parts":[["1956",9,1]]}}}],"schema":"https://github.com/citation-style-language/schema/raw/master/csl-citation.json"} </w:instrText>
      </w:r>
      <w:r>
        <w:fldChar w:fldCharType="separate"/>
      </w:r>
      <w:r w:rsidRPr="00233532">
        <w:rPr>
          <w:rFonts w:ascii="Calibri" w:hAnsi="Calibri" w:cs="Calibri"/>
          <w:szCs w:val="24"/>
        </w:rPr>
        <w:t>Norbert Elias, ‘Problems of Involvement and Detachment’</w:t>
      </w:r>
      <w:r>
        <w:fldChar w:fldCharType="end"/>
      </w:r>
    </w:p>
  </w:footnote>
  <w:footnote w:id="32">
    <w:p w14:paraId="305F0E0F" w14:textId="66231243" w:rsidR="00F334B9" w:rsidRPr="00E77B1B" w:rsidRDefault="00F334B9" w:rsidP="007D130B">
      <w:pPr>
        <w:pStyle w:val="FootnoteText"/>
      </w:pPr>
      <w:r w:rsidRPr="00E77B1B">
        <w:rPr>
          <w:rStyle w:val="FootnoteReference"/>
        </w:rPr>
        <w:footnoteRef/>
      </w:r>
      <w:r w:rsidRPr="00E77B1B">
        <w:t xml:space="preserve"> Linklater, The Problem o</w:t>
      </w:r>
      <w:r>
        <w:t>f Harm in World Politics, p</w:t>
      </w:r>
      <w:r w:rsidR="00BD2B57">
        <w:t>p</w:t>
      </w:r>
      <w:r>
        <w:t>. 23; “Figurations 29”</w:t>
      </w:r>
    </w:p>
  </w:footnote>
  <w:footnote w:id="33">
    <w:p w14:paraId="21929F3B" w14:textId="18707886" w:rsidR="002F0FC4" w:rsidRPr="002F0FC4" w:rsidRDefault="002F0FC4">
      <w:pPr>
        <w:pStyle w:val="FootnoteText"/>
      </w:pPr>
      <w:r>
        <w:rPr>
          <w:rStyle w:val="FootnoteReference"/>
        </w:rPr>
        <w:footnoteRef/>
      </w:r>
      <w:r>
        <w:t xml:space="preserve"> See the Secretary-General’s High-level Panel on Threats, Challenges and Change, </w:t>
      </w:r>
      <w:r>
        <w:rPr>
          <w:i/>
        </w:rPr>
        <w:t>A more secure world: Our shared responsibility</w:t>
      </w:r>
      <w:r>
        <w:t xml:space="preserve"> (2004)</w:t>
      </w:r>
    </w:p>
  </w:footnote>
  <w:footnote w:id="34">
    <w:p w14:paraId="452873BD" w14:textId="6A807140" w:rsidR="00F334B9" w:rsidRPr="00E77B1B" w:rsidRDefault="00F334B9" w:rsidP="007D130B">
      <w:pPr>
        <w:pStyle w:val="FootnoteText"/>
      </w:pPr>
      <w:r w:rsidRPr="00E77B1B">
        <w:rPr>
          <w:rStyle w:val="FootnoteReference"/>
        </w:rPr>
        <w:footnoteRef/>
      </w:r>
      <w:r w:rsidRPr="00E77B1B">
        <w:t xml:space="preserve"> Mitchell, “Only Human?”, p</w:t>
      </w:r>
      <w:r w:rsidR="00BD2B57">
        <w:t>p</w:t>
      </w:r>
      <w:r w:rsidRPr="00E77B1B">
        <w:t>. 7.</w:t>
      </w:r>
    </w:p>
  </w:footnote>
  <w:footnote w:id="35">
    <w:p w14:paraId="3BECF66C" w14:textId="099BFA83" w:rsidR="00F334B9" w:rsidRPr="00E77B1B" w:rsidRDefault="00F334B9" w:rsidP="007D130B">
      <w:pPr>
        <w:pStyle w:val="FootnoteText"/>
      </w:pPr>
      <w:r w:rsidRPr="00E77B1B">
        <w:rPr>
          <w:rStyle w:val="FootnoteReference"/>
        </w:rPr>
        <w:footnoteRef/>
      </w:r>
      <w:r w:rsidRPr="00E77B1B">
        <w:t xml:space="preserve"> Ibid, </w:t>
      </w:r>
      <w:r w:rsidR="00BD2B57">
        <w:t>pp</w:t>
      </w:r>
      <w:r w:rsidRPr="00E77B1B">
        <w:t>. 8</w:t>
      </w:r>
    </w:p>
  </w:footnote>
  <w:footnote w:id="36">
    <w:p w14:paraId="0CB66222" w14:textId="3FE62AD0" w:rsidR="00F334B9" w:rsidRPr="00E77B1B" w:rsidRDefault="00F334B9" w:rsidP="007D130B">
      <w:pPr>
        <w:pStyle w:val="FootnoteText"/>
      </w:pPr>
      <w:r w:rsidRPr="00E77B1B">
        <w:rPr>
          <w:rStyle w:val="FootnoteReference"/>
        </w:rPr>
        <w:footnoteRef/>
      </w:r>
      <w:r w:rsidRPr="00E77B1B">
        <w:t xml:space="preserve"> Ibid, p</w:t>
      </w:r>
      <w:r w:rsidR="00BD2B57">
        <w:t>p</w:t>
      </w:r>
      <w:r w:rsidRPr="00E77B1B">
        <w:t>. 5</w:t>
      </w:r>
    </w:p>
  </w:footnote>
  <w:footnote w:id="37">
    <w:p w14:paraId="4BDF5E1C" w14:textId="77777777" w:rsidR="00F334B9" w:rsidRPr="00E77B1B" w:rsidRDefault="00F334B9" w:rsidP="007D130B">
      <w:pPr>
        <w:pStyle w:val="FootnoteText"/>
      </w:pPr>
      <w:r w:rsidRPr="00E77B1B">
        <w:rPr>
          <w:rStyle w:val="FootnoteReference"/>
        </w:rPr>
        <w:footnoteRef/>
      </w:r>
      <w:r w:rsidRPr="00E77B1B">
        <w:t xml:space="preserve"> Andrew Linklater, “Global Civilizing Processes and the Ambiguities of Human Interconnectedness”, </w:t>
      </w:r>
      <w:r w:rsidRPr="00E77B1B">
        <w:rPr>
          <w:i/>
          <w:iCs/>
        </w:rPr>
        <w:t>European Journal of International Relations</w:t>
      </w:r>
      <w:r w:rsidRPr="00E77B1B">
        <w:t>, 16: 2 (2010), pp. 155-178</w:t>
      </w:r>
    </w:p>
  </w:footnote>
  <w:footnote w:id="38">
    <w:p w14:paraId="532A3502" w14:textId="0A9A0381" w:rsidR="00F334B9" w:rsidRPr="00E77B1B" w:rsidRDefault="00F334B9" w:rsidP="007D130B">
      <w:pPr>
        <w:pStyle w:val="FootnoteText"/>
      </w:pPr>
      <w:r w:rsidRPr="00E77B1B">
        <w:rPr>
          <w:rStyle w:val="FootnoteReference"/>
        </w:rPr>
        <w:footnoteRef/>
      </w:r>
      <w:r w:rsidRPr="00E77B1B">
        <w:t xml:space="preserve"> Ibid</w:t>
      </w:r>
      <w:r w:rsidR="007A187B">
        <w:t>.</w:t>
      </w:r>
    </w:p>
  </w:footnote>
  <w:footnote w:id="39">
    <w:p w14:paraId="15406997" w14:textId="51F5D7C1" w:rsidR="00F334B9" w:rsidRPr="00E77B1B" w:rsidRDefault="00F334B9" w:rsidP="007D130B">
      <w:pPr>
        <w:pStyle w:val="FootnoteText"/>
      </w:pPr>
      <w:r w:rsidRPr="00E77B1B">
        <w:rPr>
          <w:rStyle w:val="FootnoteReference"/>
        </w:rPr>
        <w:footnoteRef/>
      </w:r>
      <w:r w:rsidRPr="00E77B1B">
        <w:t xml:space="preserve"> Matthew Paterson, Understanding Global Environmental Politics: Domination, Accumulation, Resistance, (London: Palgrave Macmillan, 2001); </w:t>
      </w:r>
      <w:r w:rsidRPr="00E77B1B">
        <w:rPr>
          <w:rFonts w:ascii="Calibri" w:hAnsi="Calibri" w:cs="Times New Roman"/>
        </w:rPr>
        <w:t xml:space="preserve">Mitchell, </w:t>
      </w:r>
      <w:r w:rsidR="00C57319">
        <w:rPr>
          <w:rFonts w:ascii="Calibri" w:hAnsi="Calibri" w:cs="Times New Roman"/>
        </w:rPr>
        <w:t>“Thinking without the ‘circle’:</w:t>
      </w:r>
      <w:r w:rsidR="00C57319" w:rsidRPr="008B46DD">
        <w:rPr>
          <w:rFonts w:ascii="Calibri" w:hAnsi="Calibri" w:cs="Times New Roman"/>
          <w:szCs w:val="24"/>
        </w:rPr>
        <w:t xml:space="preserve"> M</w:t>
      </w:r>
      <w:r w:rsidR="00C57319">
        <w:rPr>
          <w:rFonts w:ascii="Calibri" w:hAnsi="Calibri" w:cs="Times New Roman"/>
          <w:szCs w:val="24"/>
        </w:rPr>
        <w:t>arine Plastic and Global Ethics”</w:t>
      </w:r>
      <w:r w:rsidR="00C57319" w:rsidRPr="008B46DD">
        <w:rPr>
          <w:rFonts w:ascii="Calibri" w:hAnsi="Calibri" w:cs="Times New Roman"/>
          <w:szCs w:val="24"/>
        </w:rPr>
        <w:t xml:space="preserve">, </w:t>
      </w:r>
      <w:r w:rsidR="00C57319" w:rsidRPr="008B46DD">
        <w:rPr>
          <w:rFonts w:ascii="Calibri" w:hAnsi="Calibri" w:cs="Times New Roman"/>
          <w:i/>
          <w:iCs/>
          <w:szCs w:val="24"/>
        </w:rPr>
        <w:t>Political Geography</w:t>
      </w:r>
      <w:r w:rsidR="00C57319">
        <w:rPr>
          <w:rFonts w:ascii="Calibri" w:hAnsi="Calibri" w:cs="Times New Roman"/>
          <w:szCs w:val="24"/>
        </w:rPr>
        <w:t xml:space="preserve"> 47 (July 2015), pp. </w:t>
      </w:r>
      <w:r w:rsidR="00C57319" w:rsidRPr="008B46DD">
        <w:rPr>
          <w:rFonts w:ascii="Calibri" w:hAnsi="Calibri" w:cs="Times New Roman"/>
          <w:szCs w:val="24"/>
        </w:rPr>
        <w:t>77–</w:t>
      </w:r>
      <w:r w:rsidR="00C57319">
        <w:rPr>
          <w:rFonts w:ascii="Calibri" w:hAnsi="Calibri" w:cs="Times New Roman"/>
          <w:szCs w:val="24"/>
        </w:rPr>
        <w:t>85</w:t>
      </w:r>
    </w:p>
  </w:footnote>
  <w:footnote w:id="40">
    <w:p w14:paraId="631F93DB" w14:textId="7C054261" w:rsidR="00F334B9" w:rsidRPr="00E77B1B" w:rsidRDefault="00F334B9" w:rsidP="007D130B">
      <w:pPr>
        <w:pStyle w:val="FootnoteText"/>
      </w:pPr>
      <w:r w:rsidRPr="00E77B1B">
        <w:rPr>
          <w:rStyle w:val="FootnoteReference"/>
        </w:rPr>
        <w:footnoteRef/>
      </w:r>
      <w:r>
        <w:t xml:space="preserve"> Mitchell, “Only Human?”,</w:t>
      </w:r>
      <w:r w:rsidRPr="00E77B1B">
        <w:t xml:space="preserve"> </w:t>
      </w:r>
      <w:r w:rsidR="00BD2B57">
        <w:t>p</w:t>
      </w:r>
      <w:r w:rsidRPr="00E77B1B">
        <w:t>p. 4.</w:t>
      </w:r>
    </w:p>
  </w:footnote>
  <w:footnote w:id="41">
    <w:p w14:paraId="4D7815C5" w14:textId="70D074C1" w:rsidR="00F334B9" w:rsidRDefault="00F334B9" w:rsidP="007D130B">
      <w:pPr>
        <w:pStyle w:val="FootnoteText"/>
      </w:pPr>
      <w:r>
        <w:rPr>
          <w:rStyle w:val="FootnoteReference"/>
        </w:rPr>
        <w:footnoteRef/>
      </w:r>
      <w:r>
        <w:t xml:space="preserve"> Mitchell, “Only Human?”, p</w:t>
      </w:r>
      <w:r w:rsidR="00BD2B57">
        <w:t>p</w:t>
      </w:r>
      <w:r>
        <w:t>. 7.</w:t>
      </w:r>
    </w:p>
  </w:footnote>
  <w:footnote w:id="42">
    <w:p w14:paraId="12E7FEE9" w14:textId="5A81C502" w:rsidR="00F334B9" w:rsidRDefault="00F334B9" w:rsidP="007D130B">
      <w:pPr>
        <w:pStyle w:val="FootnoteText"/>
      </w:pPr>
      <w:r>
        <w:rPr>
          <w:rStyle w:val="FootnoteReference"/>
        </w:rPr>
        <w:footnoteRef/>
      </w:r>
      <w:r>
        <w:t xml:space="preserve"> </w:t>
      </w:r>
      <w:r>
        <w:fldChar w:fldCharType="begin"/>
      </w:r>
      <w:r>
        <w:instrText xml:space="preserve"> ADDIN ZOTERO_ITEM CSL_CITATION {"citationID":"bXCHcNuN","properties":{"formattedCitation":"{\\rtf Anthony Burke et al., \\uc0\\u8216{}Planet Politics: A Manifesto from the End of IR\\uc0\\u8217{}, {\\i{}Millennium - Journal of International Studies}, 7 April 2016, 0305829816636674, https://doi.org/10.1177/0305829816636674.}","plainCitation":"Anthony Burke et al., ‘Planet Politics: A Manifesto from the End of IR’, Millennium - Journal of International Studies, 7 April 2016, 0305829816636674, https://doi.org/10.1177/0305829816636674."},"citationItems":[{"id":549,"uris":["http://zotero.org/users/4207534/items/SD5T469I"],"uri":["http://zotero.org/users/4207534/items/SD5T469I"],"itemData":{"id":549,"type":"article-journal","title":"Planet Politics: A Manifesto from the End of IR","container-title":"Millennium - Journal of International Studies","page":"0305829816636674","source":"mil.sagepub.com","abstract":"Planet Politics is about rewriting and rethinking International Relations as a set of practices, both intellectual and organisational. We use the polemical and rhetorical format of the political manifesto to open a space for inter-disciplinary growth and debate, and thinking about legal and institutional reform. We hope to begin a dialogue about both the limits of IR, and of its possibilities for forming alliances and fostering interdisciplinarity that can draw upon climate science, the environmental humanities, and progressive international law to respond to changes wrought by the Anthropocene and a changing climate.","DOI":"10.1177/0305829816636674","ISSN":"0305-8298, 1477-9021","shortTitle":"Planet Politics","journalAbbreviation":"Millennium - Journal of International Studies","language":"en","author":[{"family":"Burke","given":"Anthony"},{"family":"Fishel","given":"Stefanie"},{"family":"Mitchell","given":"Audra"},{"family":"Dalby","given":"Simon"},{"family":"Levine","given":"Daniel J."}],"issued":{"date-parts":[["2016",4,7]]}}}],"schema":"https://github.com/citation-style-language/schema/raw/master/csl-citation.json"} </w:instrText>
      </w:r>
      <w:r>
        <w:fldChar w:fldCharType="separate"/>
      </w:r>
      <w:r w:rsidRPr="005C3737">
        <w:rPr>
          <w:rFonts w:ascii="Calibri" w:hAnsi="Calibri" w:cs="Times New Roman"/>
          <w:szCs w:val="24"/>
        </w:rPr>
        <w:t xml:space="preserve">Anthony Burke et al., ‘Planet Politics: A Manifesto from the End of IR’, </w:t>
      </w:r>
      <w:r w:rsidRPr="005C3737">
        <w:rPr>
          <w:rFonts w:ascii="Calibri" w:hAnsi="Calibri" w:cs="Times New Roman"/>
          <w:i/>
          <w:iCs/>
          <w:szCs w:val="24"/>
        </w:rPr>
        <w:t>Millennium - Journal of International Studies</w:t>
      </w:r>
      <w:r w:rsidRPr="005C3737">
        <w:rPr>
          <w:rFonts w:ascii="Calibri" w:hAnsi="Calibri" w:cs="Times New Roman"/>
          <w:szCs w:val="24"/>
        </w:rPr>
        <w:t xml:space="preserve">, </w:t>
      </w:r>
      <w:r>
        <w:rPr>
          <w:rFonts w:ascii="Calibri" w:hAnsi="Calibri" w:cs="Times New Roman"/>
          <w:szCs w:val="24"/>
        </w:rPr>
        <w:t>44:3 (2016)</w:t>
      </w:r>
      <w:r>
        <w:fldChar w:fldCharType="end"/>
      </w:r>
      <w:r w:rsidR="007A187B">
        <w:t>, pp. 499-523</w:t>
      </w:r>
    </w:p>
  </w:footnote>
  <w:footnote w:id="43">
    <w:p w14:paraId="692AEA0A" w14:textId="77777777" w:rsidR="00F334B9" w:rsidRPr="00E77B1B" w:rsidRDefault="00F334B9" w:rsidP="007D130B">
      <w:pPr>
        <w:pStyle w:val="FootnoteText"/>
      </w:pPr>
      <w:r w:rsidRPr="00E77B1B">
        <w:rPr>
          <w:rStyle w:val="FootnoteReference"/>
        </w:rPr>
        <w:footnoteRef/>
      </w:r>
      <w:r w:rsidRPr="00E77B1B">
        <w:t xml:space="preserve"> David Graeber, “Radical Alterity Is Just Another Way of Saying ‘reality’: A Reply to Eduardo Viveiros de Castro”, </w:t>
      </w:r>
      <w:r w:rsidRPr="00E77B1B">
        <w:rPr>
          <w:i/>
          <w:iCs/>
        </w:rPr>
        <w:t xml:space="preserve">HAU: Journal of Ethnographic Theory, </w:t>
      </w:r>
      <w:r w:rsidRPr="00E77B1B">
        <w:t>5:2 (2015), pp. 1–41</w:t>
      </w:r>
    </w:p>
  </w:footnote>
  <w:footnote w:id="44">
    <w:p w14:paraId="2E6160B8" w14:textId="4862C646" w:rsidR="00F334B9" w:rsidRPr="00E77B1B" w:rsidRDefault="00F334B9" w:rsidP="007D130B">
      <w:pPr>
        <w:pStyle w:val="FootnoteText"/>
      </w:pPr>
      <w:r w:rsidRPr="00E77B1B">
        <w:rPr>
          <w:rStyle w:val="FootnoteReference"/>
        </w:rPr>
        <w:footnoteRef/>
      </w:r>
      <w:r w:rsidRPr="00E77B1B">
        <w:t xml:space="preserve"> Mitchell, “Only Human?”, p</w:t>
      </w:r>
      <w:r w:rsidR="00611B70">
        <w:t>p</w:t>
      </w:r>
      <w:r w:rsidRPr="00E77B1B">
        <w:t>. 7</w:t>
      </w:r>
    </w:p>
  </w:footnote>
  <w:footnote w:id="45">
    <w:p w14:paraId="68C83993" w14:textId="65CF92E2" w:rsidR="00F334B9" w:rsidRPr="00283166" w:rsidRDefault="00F334B9" w:rsidP="007D130B">
      <w:pPr>
        <w:pStyle w:val="FootnoteText"/>
      </w:pPr>
      <w:r w:rsidRPr="00283166">
        <w:rPr>
          <w:rStyle w:val="FootnoteReference"/>
        </w:rPr>
        <w:footnoteRef/>
      </w:r>
      <w:r>
        <w:t xml:space="preserve"> In line with Latour, </w:t>
      </w:r>
      <w:r>
        <w:rPr>
          <w:i/>
        </w:rPr>
        <w:t>We Have Never Been Modern</w:t>
      </w:r>
      <w:r>
        <w:t>, (</w:t>
      </w:r>
      <w:r w:rsidR="00611B70">
        <w:t xml:space="preserve">Harvard: </w:t>
      </w:r>
      <w:r>
        <w:t>Harvard University Press, 1993)</w:t>
      </w:r>
    </w:p>
  </w:footnote>
  <w:footnote w:id="46">
    <w:p w14:paraId="45237B28" w14:textId="105D493E" w:rsidR="00F334B9" w:rsidRPr="00E77B1B" w:rsidRDefault="00F334B9" w:rsidP="007D130B">
      <w:pPr>
        <w:pStyle w:val="FootnoteText"/>
      </w:pPr>
      <w:r w:rsidRPr="00E77B1B">
        <w:rPr>
          <w:rStyle w:val="FootnoteReference"/>
        </w:rPr>
        <w:footnoteRef/>
      </w:r>
      <w:r w:rsidRPr="00E77B1B">
        <w:t xml:space="preserve"> </w:t>
      </w:r>
      <w:r w:rsidR="00553C62">
        <w:t>Drawing on Bennett</w:t>
      </w:r>
      <w:r w:rsidR="00DC23F5">
        <w:t>’s vitalist ontology</w:t>
      </w:r>
      <w:r w:rsidR="00553C62">
        <w:t xml:space="preserve">. </w:t>
      </w:r>
      <w:r w:rsidRPr="00E77B1B">
        <w:t xml:space="preserve">Ibid, </w:t>
      </w:r>
      <w:r w:rsidR="00611B70">
        <w:t>p</w:t>
      </w:r>
      <w:r w:rsidRPr="00E77B1B">
        <w:t>p. 12</w:t>
      </w:r>
    </w:p>
  </w:footnote>
  <w:footnote w:id="47">
    <w:p w14:paraId="7D388F4F" w14:textId="6742CD41" w:rsidR="00F334B9" w:rsidRPr="00E77B1B" w:rsidRDefault="00F334B9" w:rsidP="007D130B">
      <w:pPr>
        <w:pStyle w:val="FootnoteText"/>
      </w:pPr>
      <w:r w:rsidRPr="00E77B1B">
        <w:rPr>
          <w:rStyle w:val="FootnoteReference"/>
        </w:rPr>
        <w:footnoteRef/>
      </w:r>
      <w:r w:rsidR="007A187B">
        <w:t xml:space="preserve"> Ibid</w:t>
      </w:r>
      <w:r w:rsidRPr="00E77B1B">
        <w:t xml:space="preserve">, </w:t>
      </w:r>
      <w:r w:rsidR="00611B70">
        <w:t>p</w:t>
      </w:r>
      <w:r w:rsidRPr="00E77B1B">
        <w:t>p. 13.</w:t>
      </w:r>
    </w:p>
  </w:footnote>
  <w:footnote w:id="48">
    <w:p w14:paraId="7DDECB79" w14:textId="15B2E223" w:rsidR="00F334B9" w:rsidRPr="00E77B1B" w:rsidRDefault="00F334B9" w:rsidP="007D130B">
      <w:pPr>
        <w:pStyle w:val="FootnoteText"/>
      </w:pPr>
      <w:r w:rsidRPr="00E77B1B">
        <w:rPr>
          <w:rStyle w:val="FootnoteReference"/>
        </w:rPr>
        <w:footnoteRef/>
      </w:r>
      <w:r w:rsidRPr="00E77B1B">
        <w:t xml:space="preserve"> Ibid</w:t>
      </w:r>
      <w:r w:rsidR="007A187B">
        <w:t>.</w:t>
      </w:r>
    </w:p>
  </w:footnote>
  <w:footnote w:id="49">
    <w:p w14:paraId="6730D1DF" w14:textId="08C918B3" w:rsidR="00F334B9" w:rsidRPr="00E77B1B" w:rsidRDefault="00F334B9" w:rsidP="007D130B">
      <w:pPr>
        <w:pStyle w:val="FootnoteText"/>
      </w:pPr>
      <w:r w:rsidRPr="00E77B1B">
        <w:rPr>
          <w:rStyle w:val="FootnoteReference"/>
        </w:rPr>
        <w:footnoteRef/>
      </w:r>
      <w:r w:rsidRPr="00E77B1B">
        <w:t xml:space="preserve"> Mitchell, “Only Human?”, p</w:t>
      </w:r>
      <w:r w:rsidR="00611B70">
        <w:t>p</w:t>
      </w:r>
      <w:r w:rsidRPr="00E77B1B">
        <w:t>. 11</w:t>
      </w:r>
    </w:p>
  </w:footnote>
  <w:footnote w:id="50">
    <w:p w14:paraId="56F04E06" w14:textId="19A59BED" w:rsidR="00F334B9" w:rsidRPr="00E77B1B" w:rsidRDefault="00F334B9" w:rsidP="007D130B">
      <w:pPr>
        <w:pStyle w:val="FootnoteText"/>
      </w:pPr>
      <w:r w:rsidRPr="00E77B1B">
        <w:rPr>
          <w:rStyle w:val="FootnoteReference"/>
        </w:rPr>
        <w:footnoteRef/>
      </w:r>
      <w:r w:rsidRPr="00E77B1B">
        <w:t xml:space="preserve"> Norbert Elias, </w:t>
      </w:r>
      <w:r w:rsidRPr="00E77B1B">
        <w:rPr>
          <w:i/>
        </w:rPr>
        <w:t>The Symbol Theory,</w:t>
      </w:r>
      <w:r w:rsidRPr="00E77B1B">
        <w:t xml:space="preserve"> (</w:t>
      </w:r>
      <w:r w:rsidR="00611B70">
        <w:t xml:space="preserve">London: </w:t>
      </w:r>
      <w:r w:rsidRPr="00E77B1B">
        <w:t>Sage, 1991)</w:t>
      </w:r>
      <w:r w:rsidRPr="00E77B1B">
        <w:rPr>
          <w:rFonts w:ascii="Calibri" w:hAnsi="Calibri" w:cs="Times New Roman"/>
        </w:rPr>
        <w:t xml:space="preserve">, </w:t>
      </w:r>
      <w:r w:rsidR="00611B70">
        <w:rPr>
          <w:rFonts w:ascii="Calibri" w:hAnsi="Calibri" w:cs="Times New Roman"/>
        </w:rPr>
        <w:t>p</w:t>
      </w:r>
      <w:r w:rsidRPr="00E77B1B">
        <w:rPr>
          <w:rFonts w:ascii="Calibri" w:hAnsi="Calibri" w:cs="Times New Roman"/>
        </w:rPr>
        <w:t>p. 146.</w:t>
      </w:r>
    </w:p>
  </w:footnote>
  <w:footnote w:id="51">
    <w:p w14:paraId="5BEE193D" w14:textId="2C4DA558" w:rsidR="00F334B9" w:rsidRPr="00024F41" w:rsidRDefault="00F334B9" w:rsidP="007D130B">
      <w:pPr>
        <w:pStyle w:val="FootnoteText"/>
      </w:pPr>
      <w:r w:rsidRPr="00E77B1B">
        <w:rPr>
          <w:rStyle w:val="FootnoteReference"/>
        </w:rPr>
        <w:footnoteRef/>
      </w:r>
      <w:r w:rsidRPr="00E77B1B">
        <w:t xml:space="preserve"> In political terms, this has centred on the lack of a global subject that might gain any purchase on </w:t>
      </w:r>
      <w:r w:rsidR="00DC6C23">
        <w:t>irreducibly</w:t>
      </w:r>
      <w:r w:rsidRPr="00E77B1B">
        <w:t xml:space="preserve"> global problems. See Richard Beardsworth, “Towards a Critical Concept of the Statesperson.” </w:t>
      </w:r>
      <w:r w:rsidRPr="00E77B1B">
        <w:rPr>
          <w:i/>
          <w:iCs/>
        </w:rPr>
        <w:t>Journal of International Political Theory</w:t>
      </w:r>
      <w:r w:rsidRPr="00E77B1B">
        <w:t xml:space="preserve"> 13:1 (2017), pp. </w:t>
      </w:r>
      <w:r w:rsidRPr="00024F41">
        <w:t>100–121</w:t>
      </w:r>
    </w:p>
  </w:footnote>
  <w:footnote w:id="52">
    <w:p w14:paraId="584B29ED" w14:textId="77777777" w:rsidR="00F334B9" w:rsidRPr="00024F41" w:rsidRDefault="00F334B9" w:rsidP="007D130B">
      <w:pPr>
        <w:pStyle w:val="FootnoteText"/>
      </w:pPr>
      <w:r w:rsidRPr="00024F41">
        <w:rPr>
          <w:rStyle w:val="FootnoteReference"/>
        </w:rPr>
        <w:footnoteRef/>
      </w:r>
      <w:r w:rsidRPr="00024F41">
        <w:t xml:space="preserve"> Linklater, Andrew Linklater, “Global Civilizing Processes and the Ambiguities of Human Interconnectedness”</w:t>
      </w:r>
    </w:p>
  </w:footnote>
  <w:footnote w:id="53">
    <w:p w14:paraId="56945119" w14:textId="015BA42D" w:rsidR="00F334B9" w:rsidRPr="00E77B1B" w:rsidRDefault="00F334B9" w:rsidP="007D130B">
      <w:pPr>
        <w:pStyle w:val="FootnoteText"/>
      </w:pPr>
      <w:r w:rsidRPr="00024F41">
        <w:rPr>
          <w:rStyle w:val="FootnoteReference"/>
        </w:rPr>
        <w:footnoteRef/>
      </w:r>
      <w:r w:rsidRPr="00024F41">
        <w:t xml:space="preserve"> </w:t>
      </w:r>
      <w:r w:rsidRPr="00024F41">
        <w:rPr>
          <w:rFonts w:ascii="Calibri" w:hAnsi="Calibri" w:cs="Times New Roman"/>
        </w:rPr>
        <w:t>Mitchell, “Only Human?” p</w:t>
      </w:r>
      <w:r w:rsidR="00611B70">
        <w:rPr>
          <w:rFonts w:ascii="Calibri" w:hAnsi="Calibri" w:cs="Times New Roman"/>
        </w:rPr>
        <w:t>p</w:t>
      </w:r>
      <w:r w:rsidRPr="00024F41">
        <w:rPr>
          <w:rFonts w:ascii="Calibri" w:hAnsi="Calibri" w:cs="Times New Roman"/>
        </w:rPr>
        <w:t>. 15.</w:t>
      </w:r>
      <w:r w:rsidRPr="00024F41">
        <w:t xml:space="preserve"> Mitchell’s has also attempted to address this in the context of what Iain M. Banks has termed ‘Outside Context</w:t>
      </w:r>
      <w:r w:rsidRPr="00E77B1B">
        <w:t xml:space="preserve"> Problems’. See Audra Mitchell, “Is IR Going Extinct?” </w:t>
      </w:r>
      <w:r w:rsidRPr="00E77B1B">
        <w:rPr>
          <w:i/>
          <w:iCs/>
        </w:rPr>
        <w:t>European Journal of International Relations</w:t>
      </w:r>
      <w:r w:rsidRPr="00E77B1B">
        <w:t>, 23:1 (2016), pp. 3-25</w:t>
      </w:r>
      <w:r>
        <w:rPr>
          <w:rFonts w:ascii="Calibri" w:hAnsi="Calibri" w:cs="Times New Roman"/>
        </w:rPr>
        <w:t>.</w:t>
      </w:r>
      <w:r w:rsidRPr="00E77B1B">
        <w:t xml:space="preserve"> Also see Iain M. Banks, </w:t>
      </w:r>
      <w:r w:rsidRPr="00E77B1B">
        <w:rPr>
          <w:i/>
          <w:iCs/>
        </w:rPr>
        <w:t>Excession</w:t>
      </w:r>
      <w:r w:rsidRPr="00E77B1B">
        <w:t>, (London: Orbit, 1997).</w:t>
      </w:r>
    </w:p>
  </w:footnote>
  <w:footnote w:id="54">
    <w:p w14:paraId="12F80A6B" w14:textId="33B5F3FE" w:rsidR="00F334B9" w:rsidRPr="00E77B1B" w:rsidRDefault="00F334B9" w:rsidP="007D130B">
      <w:pPr>
        <w:pStyle w:val="FootnoteText"/>
      </w:pPr>
      <w:r w:rsidRPr="00E77B1B">
        <w:rPr>
          <w:rStyle w:val="FootnoteReference"/>
        </w:rPr>
        <w:footnoteRef/>
      </w:r>
      <w:r w:rsidRPr="00E77B1B">
        <w:t xml:space="preserve"> Mitchell, “Only Human?” </w:t>
      </w:r>
      <w:r w:rsidR="00611B70">
        <w:t>p</w:t>
      </w:r>
      <w:r w:rsidRPr="00E77B1B">
        <w:t>p. 16.</w:t>
      </w:r>
    </w:p>
  </w:footnote>
  <w:footnote w:id="55">
    <w:p w14:paraId="50B478A5" w14:textId="665E201A" w:rsidR="00F334B9" w:rsidRPr="00E77B1B" w:rsidRDefault="00F334B9" w:rsidP="007D130B">
      <w:pPr>
        <w:pStyle w:val="FootnoteText"/>
      </w:pPr>
      <w:r w:rsidRPr="00E77B1B">
        <w:rPr>
          <w:rStyle w:val="FootnoteReference"/>
        </w:rPr>
        <w:footnoteRef/>
      </w:r>
      <w:r w:rsidRPr="00E77B1B">
        <w:t xml:space="preserve"> Ibid, </w:t>
      </w:r>
      <w:r w:rsidR="00611B70">
        <w:t>p</w:t>
      </w:r>
      <w:r w:rsidRPr="00E77B1B">
        <w:t>p. 13.</w:t>
      </w:r>
    </w:p>
  </w:footnote>
  <w:footnote w:id="56">
    <w:p w14:paraId="3685409D" w14:textId="77777777" w:rsidR="00F334B9" w:rsidRPr="00E77B1B" w:rsidRDefault="00F334B9" w:rsidP="007D130B">
      <w:pPr>
        <w:pStyle w:val="FootnoteText"/>
      </w:pPr>
      <w:r w:rsidRPr="00E77B1B">
        <w:rPr>
          <w:rStyle w:val="FootnoteReference"/>
        </w:rPr>
        <w:footnoteRef/>
      </w:r>
      <w:r w:rsidRPr="00E77B1B">
        <w:t xml:space="preserve"> Stephen Mennell, </w:t>
      </w:r>
      <w:r w:rsidRPr="00E77B1B">
        <w:rPr>
          <w:i/>
          <w:iCs/>
        </w:rPr>
        <w:t>Norbert E</w:t>
      </w:r>
      <w:r>
        <w:rPr>
          <w:i/>
          <w:iCs/>
        </w:rPr>
        <w:t>lias: An Introduction</w:t>
      </w:r>
    </w:p>
  </w:footnote>
  <w:footnote w:id="57">
    <w:p w14:paraId="310C8560" w14:textId="77777777" w:rsidR="00F334B9" w:rsidRPr="00E77B1B" w:rsidRDefault="00F334B9" w:rsidP="007D130B">
      <w:pPr>
        <w:pStyle w:val="FootnoteText"/>
      </w:pPr>
      <w:r w:rsidRPr="00E77B1B">
        <w:rPr>
          <w:rStyle w:val="FootnoteReference"/>
        </w:rPr>
        <w:footnoteRef/>
      </w:r>
      <w:r w:rsidRPr="00E77B1B">
        <w:t xml:space="preserve"> Richard Kilminster, </w:t>
      </w:r>
      <w:r w:rsidRPr="00E77B1B">
        <w:rPr>
          <w:i/>
          <w:iCs/>
        </w:rPr>
        <w:t>Norbert Elias: Post-Philosophical Sociology,</w:t>
      </w:r>
      <w:r w:rsidRPr="00E77B1B">
        <w:t xml:space="preserve"> (London: Routledge, 2007)</w:t>
      </w:r>
    </w:p>
  </w:footnote>
  <w:footnote w:id="58">
    <w:p w14:paraId="48659282" w14:textId="77777777" w:rsidR="00F334B9" w:rsidRPr="00E77B1B" w:rsidRDefault="00F334B9" w:rsidP="007D130B">
      <w:pPr>
        <w:pStyle w:val="FootnoteText"/>
      </w:pPr>
      <w:r w:rsidRPr="00E77B1B">
        <w:rPr>
          <w:rStyle w:val="FootnoteReference"/>
        </w:rPr>
        <w:footnoteRef/>
      </w:r>
      <w:r w:rsidRPr="00E77B1B">
        <w:t xml:space="preserve"> Norbert Elias, </w:t>
      </w:r>
      <w:r>
        <w:rPr>
          <w:i/>
          <w:iCs/>
        </w:rPr>
        <w:t>What i</w:t>
      </w:r>
      <w:r w:rsidRPr="00E77B1B">
        <w:rPr>
          <w:i/>
          <w:iCs/>
        </w:rPr>
        <w:t>s Sociology</w:t>
      </w:r>
      <w:r>
        <w:rPr>
          <w:i/>
          <w:iCs/>
        </w:rPr>
        <w:t>?</w:t>
      </w:r>
    </w:p>
  </w:footnote>
  <w:footnote w:id="59">
    <w:p w14:paraId="7BB26EDF" w14:textId="77777777" w:rsidR="00F334B9" w:rsidRDefault="00F334B9" w:rsidP="007D130B">
      <w:pPr>
        <w:pStyle w:val="FootnoteText"/>
      </w:pPr>
      <w:r>
        <w:rPr>
          <w:rStyle w:val="FootnoteReference"/>
        </w:rPr>
        <w:footnoteRef/>
      </w:r>
      <w:r>
        <w:t xml:space="preserve"> See the debate between Dunne and Kilminster in </w:t>
      </w:r>
      <w:r>
        <w:rPr>
          <w:i/>
        </w:rPr>
        <w:t xml:space="preserve">History of the Human </w:t>
      </w:r>
      <w:r w:rsidRPr="002E36F2">
        <w:t>Sciences</w:t>
      </w:r>
      <w:r>
        <w:t xml:space="preserve">, 27:3 and 27:5 (2014), and between Walsh and Kilminster, </w:t>
      </w:r>
      <w:r>
        <w:rPr>
          <w:i/>
        </w:rPr>
        <w:t>Philosophy of the Social Sciences,</w:t>
      </w:r>
      <w:r>
        <w:t xml:space="preserve"> 44:2 (2014) and 45:44 (2015)</w:t>
      </w:r>
    </w:p>
  </w:footnote>
  <w:footnote w:id="60">
    <w:p w14:paraId="07546590" w14:textId="77777777" w:rsidR="00F334B9" w:rsidRDefault="00F334B9" w:rsidP="007D130B">
      <w:pPr>
        <w:pStyle w:val="FootnoteText"/>
      </w:pPr>
      <w:r>
        <w:rPr>
          <w:rStyle w:val="FootnoteReference"/>
        </w:rPr>
        <w:footnoteRef/>
      </w:r>
      <w:r>
        <w:t xml:space="preserve"> </w:t>
      </w:r>
      <w:r w:rsidRPr="00A4724A">
        <w:rPr>
          <w:rFonts w:ascii="Calibri" w:hAnsi="Calibri" w:cs="Times New Roman"/>
          <w:szCs w:val="24"/>
        </w:rPr>
        <w:t>Elias, “Problems of Involvement and Detachment”; Saramago, “Problems of Orientation and Control”</w:t>
      </w:r>
    </w:p>
  </w:footnote>
  <w:footnote w:id="61">
    <w:p w14:paraId="4BC9053A" w14:textId="44028011" w:rsidR="00F334B9" w:rsidRDefault="00F334B9" w:rsidP="007D130B">
      <w:pPr>
        <w:pStyle w:val="FootnoteText"/>
      </w:pPr>
      <w:r>
        <w:rPr>
          <w:rStyle w:val="FootnoteReference"/>
        </w:rPr>
        <w:footnoteRef/>
      </w:r>
      <w:r>
        <w:t xml:space="preserve"> </w:t>
      </w:r>
      <w:r w:rsidRPr="00A4724A">
        <w:rPr>
          <w:rFonts w:ascii="Calibri" w:hAnsi="Calibri" w:cs="Times New Roman"/>
          <w:szCs w:val="24"/>
        </w:rPr>
        <w:t xml:space="preserve">Dunning and Hughes, </w:t>
      </w:r>
      <w:r w:rsidRPr="00A4724A">
        <w:rPr>
          <w:rFonts w:ascii="Calibri" w:hAnsi="Calibri" w:cs="Times New Roman"/>
          <w:i/>
          <w:iCs/>
          <w:szCs w:val="24"/>
        </w:rPr>
        <w:t>Norbert Elias and Modern Sociology</w:t>
      </w:r>
      <w:r w:rsidRPr="00A4724A">
        <w:rPr>
          <w:rFonts w:ascii="Calibri" w:hAnsi="Calibri" w:cs="Times New Roman"/>
          <w:szCs w:val="24"/>
        </w:rPr>
        <w:t>,</w:t>
      </w:r>
      <w:r>
        <w:rPr>
          <w:rFonts w:ascii="Calibri" w:hAnsi="Calibri" w:cs="Times New Roman"/>
          <w:szCs w:val="24"/>
        </w:rPr>
        <w:t xml:space="preserve"> </w:t>
      </w:r>
      <w:r w:rsidR="00611B70">
        <w:rPr>
          <w:rFonts w:ascii="Calibri" w:hAnsi="Calibri" w:cs="Times New Roman"/>
          <w:szCs w:val="24"/>
        </w:rPr>
        <w:t>p</w:t>
      </w:r>
      <w:r>
        <w:rPr>
          <w:rFonts w:ascii="Calibri" w:hAnsi="Calibri" w:cs="Times New Roman"/>
          <w:szCs w:val="24"/>
        </w:rPr>
        <w:t>p.</w:t>
      </w:r>
      <w:r w:rsidRPr="00A4724A">
        <w:rPr>
          <w:rFonts w:ascii="Calibri" w:hAnsi="Calibri" w:cs="Times New Roman"/>
          <w:szCs w:val="24"/>
        </w:rPr>
        <w:t xml:space="preserve"> 14.</w:t>
      </w:r>
    </w:p>
  </w:footnote>
  <w:footnote w:id="62">
    <w:p w14:paraId="79DA5995" w14:textId="2EF7DCA6" w:rsidR="00F334B9" w:rsidRPr="00AB79E5" w:rsidRDefault="00F334B9" w:rsidP="007D130B">
      <w:pPr>
        <w:pStyle w:val="FootnoteText"/>
      </w:pPr>
      <w:r w:rsidRPr="00AB79E5">
        <w:rPr>
          <w:rStyle w:val="FootnoteReference"/>
        </w:rPr>
        <w:footnoteRef/>
      </w:r>
      <w:r w:rsidRPr="00AB79E5">
        <w:t xml:space="preserve"> </w:t>
      </w:r>
      <w:r>
        <w:t xml:space="preserve">Max Horkheimer, </w:t>
      </w:r>
      <w:r>
        <w:rPr>
          <w:i/>
        </w:rPr>
        <w:t xml:space="preserve">Between Philosophy and Social Science: Selected Early Writings </w:t>
      </w:r>
      <w:r>
        <w:t>trans G. Frederick Hunter, Matthew S. Kramer and John Torpey (</w:t>
      </w:r>
      <w:r w:rsidR="00611B70">
        <w:t xml:space="preserve">Cambridge: </w:t>
      </w:r>
      <w:r>
        <w:t>MIT Press, 1993)</w:t>
      </w:r>
    </w:p>
  </w:footnote>
  <w:footnote w:id="63">
    <w:p w14:paraId="48ABAF53" w14:textId="75D8A94A" w:rsidR="00F334B9" w:rsidRPr="00E77B1B" w:rsidRDefault="00F334B9" w:rsidP="007D130B">
      <w:pPr>
        <w:pStyle w:val="FootnoteText"/>
      </w:pPr>
      <w:r w:rsidRPr="00E77B1B">
        <w:rPr>
          <w:rStyle w:val="FootnoteReference"/>
        </w:rPr>
        <w:footnoteRef/>
      </w:r>
      <w:r w:rsidRPr="00E77B1B">
        <w:t xml:space="preserve"> </w:t>
      </w:r>
      <w:r>
        <w:t xml:space="preserve">See the </w:t>
      </w:r>
      <w:r>
        <w:rPr>
          <w:i/>
        </w:rPr>
        <w:t>Journal of International Relations and Development</w:t>
      </w:r>
      <w:r>
        <w:t xml:space="preserve"> 20:4 (2017)</w:t>
      </w:r>
      <w:r w:rsidRPr="00E77B1B">
        <w:rPr>
          <w:rFonts w:ascii="Calibri" w:hAnsi="Calibri" w:cs="Times New Roman"/>
        </w:rPr>
        <w:t>;</w:t>
      </w:r>
      <w:r>
        <w:rPr>
          <w:rFonts w:ascii="Calibri" w:hAnsi="Calibri" w:cs="Times New Roman"/>
        </w:rPr>
        <w:t xml:space="preserve"> </w:t>
      </w:r>
      <w:r w:rsidRPr="00E77B1B">
        <w:t xml:space="preserve">Colin Wight, “A Manifesto for Scientific Realism in IR: Assuming the Can-Opener Won’t Work!”, </w:t>
      </w:r>
      <w:r w:rsidRPr="00E77B1B">
        <w:rPr>
          <w:i/>
          <w:iCs/>
        </w:rPr>
        <w:t>Millennium - Journal of International Studies</w:t>
      </w:r>
      <w:r w:rsidRPr="00E77B1B">
        <w:t xml:space="preserve"> 35:2 (2007)</w:t>
      </w:r>
      <w:r w:rsidR="00611B70">
        <w:t xml:space="preserve"> </w:t>
      </w:r>
      <w:r w:rsidRPr="00E77B1B">
        <w:t>pp. 379–98</w:t>
      </w:r>
    </w:p>
  </w:footnote>
  <w:footnote w:id="64">
    <w:p w14:paraId="7D71E947" w14:textId="15C0B056" w:rsidR="00F334B9" w:rsidRPr="00E77B1B" w:rsidRDefault="00F334B9" w:rsidP="007D130B">
      <w:pPr>
        <w:pStyle w:val="FootnoteText"/>
      </w:pPr>
      <w:r w:rsidRPr="00E77B1B">
        <w:rPr>
          <w:rStyle w:val="FootnoteReference"/>
        </w:rPr>
        <w:footnoteRef/>
      </w:r>
      <w:r w:rsidRPr="00E77B1B">
        <w:t xml:space="preserve"> Kilminster, </w:t>
      </w:r>
      <w:r w:rsidRPr="00E77B1B">
        <w:rPr>
          <w:i/>
          <w:iCs/>
        </w:rPr>
        <w:t>Norbert Elias: Post-Philosophical Sociology</w:t>
      </w:r>
      <w:r w:rsidRPr="00E77B1B">
        <w:t>, p</w:t>
      </w:r>
      <w:r w:rsidR="00611B70">
        <w:t>p</w:t>
      </w:r>
      <w:r w:rsidRPr="00E77B1B">
        <w:t>. 132; Linklater, “Towards a Sociology of Global Morals with an ‘Emancipatory Intent,’” p</w:t>
      </w:r>
      <w:r w:rsidR="00611B70">
        <w:t>p</w:t>
      </w:r>
      <w:r w:rsidRPr="00E77B1B">
        <w:t>. 138.</w:t>
      </w:r>
    </w:p>
  </w:footnote>
  <w:footnote w:id="65">
    <w:p w14:paraId="160F38BD" w14:textId="5578C387" w:rsidR="00F334B9" w:rsidRDefault="00F334B9" w:rsidP="007D130B">
      <w:pPr>
        <w:pStyle w:val="FootnoteText"/>
      </w:pPr>
      <w:r>
        <w:rPr>
          <w:rStyle w:val="FootnoteReference"/>
        </w:rPr>
        <w:footnoteRef/>
      </w:r>
      <w:r>
        <w:t xml:space="preserve"> </w:t>
      </w:r>
      <w:r>
        <w:fldChar w:fldCharType="begin"/>
      </w:r>
      <w:r>
        <w:instrText xml:space="preserve"> ADDIN ZOTERO_ITEM CSL_CITATION {"citationID":"pH5JWn6y","properties":{"formattedCitation":"{\\rtf Audra Mitchell, \\uc0\\u8216{}Thinking without the \\uc0\\u8220{}Circle\\uc0\\u8221{}: Marine Plastic and Global Ethics\\uc0\\u8217{}, {\\i{}Political Geography} 47 (July 2015): 77\\uc0\\u8211{}85, https://doi.org/10.1016/j.polgeo.2015.04.003.}","plainCitation":"Audra Mitchell, ‘Thinking without the “Circle”: Marine Plastic and Global Ethics’, Political Geography 47 (July 2015): 77–85, https://doi.org/10.1016/j.polgeo.2015.04.003."},"citationItems":[{"id":554,"uris":["http://zotero.org/users/4207534/items/RGJB34WW"],"uri":["http://zotero.org/users/4207534/items/RGJB34WW"],"itemData":{"id":554,"type":"article-journal","title":"Thinking without the ‘circle’: Marine plastic and global ethics","container-title":"Political Geography","page":"77-85","volume":"47","source":"ScienceDirect","abstract":"Marine plastic has received significant attention as a spectacle of consumer waste and ecosystemic fragility, but there has been little discussion of its ethical implications. This essay argues that marine plastic poses a direct challenge to the basic frameworks of global ethics. These frameworks are dominated by the image of the ‘circle’, an abstract boundary intended to separate ‘humanity’ from the rest of the universe and insulate it against harm. However, this article argues that marine plastic undermines the ‘circle’ in two ways. First, it embodies conditions of ‘hyper-relationality’, including entanglement and the properties of toxicity, that penetrate the boundaries of ‘the circle’. Second, it exerts ‘forcefulness’, but at scales that radically exceed the dominant spatio-temporal dimensions of ‘the circle’. By virtue of these features, marine plastic thoroughly penetrates the boundaries of ‘the circle’, making it impossible to expel harm beyond its boundaries. Although this essay focuses on marine plastic, its core argument can also be fruitfully applied to other phenomena that share similar material, scalar, spatio-temporal and relational features (for instance, atmospheric particulate, nuclear waste and nitrate pollution). The essay concludes by exploring the alternative ethical possibilities that marine plastic and similar phenomena prompt: in particular, a responsive ethos based on a sense of shared vulnerability and exposure.","DOI":"10.1016/j.polgeo.2015.04.003","ISSN":"0962-6298","shortTitle":"Thinking without the ‘circle’","journalAbbreviation":"Political Geography","author":[{"family":"Mitchell","given":"Audra"}],"issued":{"date-parts":[["2015",7]]}}}],"schema":"https://github.com/citation-style-language/schema/raw/master/csl-citation.json"} </w:instrText>
      </w:r>
      <w:r>
        <w:fldChar w:fldCharType="separate"/>
      </w:r>
      <w:r w:rsidRPr="008B46DD">
        <w:rPr>
          <w:rFonts w:ascii="Calibri" w:hAnsi="Calibri" w:cs="Times New Roman"/>
          <w:szCs w:val="24"/>
        </w:rPr>
        <w:t>Audra Mitchell, ‘Thinking without the “Circle”</w:t>
      </w:r>
      <w:r>
        <w:fldChar w:fldCharType="end"/>
      </w:r>
      <w:r w:rsidR="00C57319">
        <w:t xml:space="preserve">’ </w:t>
      </w:r>
    </w:p>
  </w:footnote>
  <w:footnote w:id="66">
    <w:p w14:paraId="61006C85" w14:textId="77777777" w:rsidR="00F334B9" w:rsidRPr="00E77B1B" w:rsidRDefault="00F334B9" w:rsidP="007D130B">
      <w:pPr>
        <w:pStyle w:val="FootnoteText"/>
      </w:pPr>
      <w:r w:rsidRPr="00E77B1B">
        <w:rPr>
          <w:rStyle w:val="FootnoteReference"/>
        </w:rPr>
        <w:footnoteRef/>
      </w:r>
      <w:r w:rsidRPr="00E77B1B">
        <w:t xml:space="preserve"> Roy Bhaskar, “Forms of Realism.” </w:t>
      </w:r>
      <w:r w:rsidRPr="00E77B1B">
        <w:rPr>
          <w:i/>
          <w:iCs/>
        </w:rPr>
        <w:t>Philosophica</w:t>
      </w:r>
      <w:r w:rsidRPr="00E77B1B">
        <w:t xml:space="preserve"> 15:1 (1975), pp. 99-127</w:t>
      </w:r>
    </w:p>
  </w:footnote>
  <w:footnote w:id="67">
    <w:p w14:paraId="68501D8E" w14:textId="1C398AD7" w:rsidR="00F334B9" w:rsidRPr="00E77B1B" w:rsidRDefault="00F334B9" w:rsidP="007D130B">
      <w:pPr>
        <w:pStyle w:val="FootnoteText"/>
      </w:pPr>
      <w:r w:rsidRPr="00E77B1B">
        <w:rPr>
          <w:rStyle w:val="FootnoteReference"/>
        </w:rPr>
        <w:footnoteRef/>
      </w:r>
      <w:r>
        <w:t xml:space="preserve"> </w:t>
      </w:r>
      <w:r w:rsidRPr="00E77B1B">
        <w:t xml:space="preserve">Roy Bhaskar, </w:t>
      </w:r>
      <w:r w:rsidRPr="00E77B1B">
        <w:rPr>
          <w:i/>
          <w:iCs/>
        </w:rPr>
        <w:t>A Realist Theory of Science</w:t>
      </w:r>
      <w:r w:rsidRPr="00E77B1B">
        <w:t xml:space="preserve"> (London: Routledge, 2008), p</w:t>
      </w:r>
      <w:r w:rsidR="00611B70">
        <w:t>p</w:t>
      </w:r>
      <w:r w:rsidRPr="00E77B1B">
        <w:t>. 47</w:t>
      </w:r>
    </w:p>
  </w:footnote>
  <w:footnote w:id="68">
    <w:p w14:paraId="648AB85C" w14:textId="77777777" w:rsidR="00F334B9" w:rsidRDefault="00F334B9" w:rsidP="007D130B">
      <w:pPr>
        <w:pStyle w:val="FootnoteText"/>
      </w:pPr>
      <w:r>
        <w:rPr>
          <w:rStyle w:val="FootnoteReference"/>
        </w:rPr>
        <w:footnoteRef/>
      </w:r>
      <w:r>
        <w:t xml:space="preserve"> </w:t>
      </w:r>
      <w:r>
        <w:fldChar w:fldCharType="begin"/>
      </w:r>
      <w:r>
        <w:instrText xml:space="preserve"> ADDIN ZOTERO_ITEM CSL_CITATION {"citationID":"pH5JWn6y","properties":{"formattedCitation":"{\\rtf Audra Mitchell, \\uc0\\u8216{}Thinking without the \\uc0\\u8220{}Circle\\uc0\\u8221{}: Marine Plastic and Global Ethics\\uc0\\u8217{}, {\\i{}Political Geography} 47 (July 2015): 77\\uc0\\u8211{}85, https://doi.org/10.1016/j.polgeo.2015.04.003.}","plainCitation":"Audra Mitchell, ‘Thinking without the “Circle”: Marine Plastic and Global Ethics’, Political Geography 47 (July 2015): 77–85, https://doi.org/10.1016/j.polgeo.2015.04.003."},"citationItems":[{"id":554,"uris":["http://zotero.org/users/4207534/items/RGJB34WW"],"uri":["http://zotero.org/users/4207534/items/RGJB34WW"],"itemData":{"id":554,"type":"article-journal","title":"Thinking without the ‘circle’: Marine plastic and global ethics","container-title":"Political Geography","page":"77-85","volume":"47","source":"ScienceDirect","abstract":"Marine plastic has received significant attention as a spectacle of consumer waste and ecosystemic fragility, but there has been little discussion of its ethical implications. This essay argues that marine plastic poses a direct challenge to the basic frameworks of global ethics. These frameworks are dominated by the image of the ‘circle’, an abstract boundary intended to separate ‘humanity’ from the rest of the universe and insulate it against harm. However, this article argues that marine plastic undermines the ‘circle’ in two ways. First, it embodies conditions of ‘hyper-relationality’, including entanglement and the properties of toxicity, that penetrate the boundaries of ‘the circle’. Second, it exerts ‘forcefulness’, but at scales that radically exceed the dominant spatio-temporal dimensions of ‘the circle’. By virtue of these features, marine plastic thoroughly penetrates the boundaries of ‘the circle’, making it impossible to expel harm beyond its boundaries. Although this essay focuses on marine plastic, its core argument can also be fruitfully applied to other phenomena that share similar material, scalar, spatio-temporal and relational features (for instance, atmospheric particulate, nuclear waste and nitrate pollution). The essay concludes by exploring the alternative ethical possibilities that marine plastic and similar phenomena prompt: in particular, a responsive ethos based on a sense of shared vulnerability and exposure.","DOI":"10.1016/j.polgeo.2015.04.003","ISSN":"0962-6298","shortTitle":"Thinking without the ‘circle’","journalAbbreviation":"Political Geography","author":[{"family":"Mitchell","given":"Audra"}],"issued":{"date-parts":[["2015",7]]}}}],"schema":"https://github.com/citation-style-language/schema/raw/master/csl-citation.json"} </w:instrText>
      </w:r>
      <w:r>
        <w:fldChar w:fldCharType="separate"/>
      </w:r>
      <w:r w:rsidRPr="008B46DD">
        <w:rPr>
          <w:rFonts w:ascii="Calibri" w:hAnsi="Calibri" w:cs="Times New Roman"/>
          <w:szCs w:val="24"/>
        </w:rPr>
        <w:t>Mitchell, ‘Thinking without the “Circle”</w:t>
      </w:r>
      <w:r>
        <w:rPr>
          <w:rFonts w:ascii="Calibri" w:hAnsi="Calibri" w:cs="Times New Roman"/>
          <w:szCs w:val="24"/>
        </w:rPr>
        <w:t>'</w:t>
      </w:r>
      <w:r>
        <w:fldChar w:fldCharType="end"/>
      </w:r>
    </w:p>
  </w:footnote>
  <w:footnote w:id="69">
    <w:p w14:paraId="38CF9137" w14:textId="2B62B809" w:rsidR="00F334B9" w:rsidRPr="00E77B1B" w:rsidRDefault="00F334B9" w:rsidP="007D130B">
      <w:pPr>
        <w:pStyle w:val="FootnoteText"/>
        <w:rPr>
          <w:lang w:eastAsia="en-US"/>
        </w:rPr>
      </w:pPr>
      <w:r w:rsidRPr="00E77B1B">
        <w:rPr>
          <w:rStyle w:val="FootnoteReference"/>
        </w:rPr>
        <w:footnoteRef/>
      </w:r>
      <w:r w:rsidRPr="00E77B1B">
        <w:t xml:space="preserve"> Margaret Archer, </w:t>
      </w:r>
      <w:r w:rsidRPr="00E77B1B">
        <w:rPr>
          <w:i/>
          <w:iCs/>
        </w:rPr>
        <w:t>Realist Social Theory: The Morphogenetic Approach</w:t>
      </w:r>
      <w:r w:rsidRPr="00E77B1B">
        <w:t>. (Cambridge: Cambridge University Press, 1995)</w:t>
      </w:r>
      <w:r w:rsidR="005C4786">
        <w:t>;</w:t>
      </w:r>
      <w:r w:rsidRPr="00E77B1B">
        <w:rPr>
          <w:rFonts w:ascii="Calibri" w:hAnsi="Calibri" w:cs="Times New Roman"/>
        </w:rPr>
        <w:t xml:space="preserve"> Walsh, “Is a Post-Philosophical Sociology Possible?”</w:t>
      </w:r>
    </w:p>
  </w:footnote>
  <w:footnote w:id="70">
    <w:p w14:paraId="0E02C51F" w14:textId="43DDEB54" w:rsidR="00F334B9" w:rsidRPr="00E77B1B" w:rsidRDefault="00F334B9" w:rsidP="007D130B">
      <w:pPr>
        <w:pStyle w:val="FootnoteText"/>
        <w:rPr>
          <w:lang w:eastAsia="en-US"/>
        </w:rPr>
      </w:pPr>
      <w:r w:rsidRPr="00E77B1B">
        <w:rPr>
          <w:rStyle w:val="FootnoteReference"/>
        </w:rPr>
        <w:footnoteRef/>
      </w:r>
      <w:r w:rsidRPr="00E77B1B">
        <w:t xml:space="preserve"> </w:t>
      </w:r>
      <w:r w:rsidR="00DC6C23">
        <w:t xml:space="preserve">Milja </w:t>
      </w:r>
      <w:r w:rsidRPr="00E77B1B">
        <w:t>Kurki, Causation in International Relations</w:t>
      </w:r>
      <w:r w:rsidR="00DC6C23">
        <w:t>: Reclaiming Causal Analysis (Cambridge</w:t>
      </w:r>
      <w:r w:rsidR="00611B70">
        <w:t>: Cambridge University Press</w:t>
      </w:r>
      <w:r w:rsidR="00DC6C23">
        <w:t>, 2008)</w:t>
      </w:r>
      <w:r w:rsidRPr="00E77B1B">
        <w:t xml:space="preserve">, </w:t>
      </w:r>
      <w:r w:rsidR="00611B70">
        <w:t>p</w:t>
      </w:r>
      <w:r w:rsidRPr="00E77B1B">
        <w:t>p. 220.</w:t>
      </w:r>
    </w:p>
  </w:footnote>
  <w:footnote w:id="71">
    <w:p w14:paraId="1B50FD72" w14:textId="77777777" w:rsidR="00F334B9" w:rsidRPr="00AB79E5" w:rsidRDefault="00F334B9" w:rsidP="007D130B">
      <w:pPr>
        <w:pStyle w:val="FootnoteText"/>
      </w:pPr>
      <w:r>
        <w:rPr>
          <w:rStyle w:val="FootnoteReference"/>
        </w:rPr>
        <w:footnoteRef/>
      </w:r>
      <w:r>
        <w:t xml:space="preserve"> Kurki, </w:t>
      </w:r>
      <w:r>
        <w:rPr>
          <w:i/>
        </w:rPr>
        <w:t>Causation in International Relations</w:t>
      </w:r>
    </w:p>
  </w:footnote>
  <w:footnote w:id="72">
    <w:p w14:paraId="64466483" w14:textId="3399D859" w:rsidR="00F334B9" w:rsidRPr="00E77B1B" w:rsidRDefault="00F334B9" w:rsidP="007D130B">
      <w:pPr>
        <w:pStyle w:val="FootnoteText"/>
        <w:rPr>
          <w:lang w:eastAsia="en-US"/>
        </w:rPr>
      </w:pPr>
      <w:r w:rsidRPr="00E77B1B">
        <w:rPr>
          <w:rStyle w:val="FootnoteReference"/>
        </w:rPr>
        <w:footnoteRef/>
      </w:r>
      <w:r w:rsidRPr="00E77B1B">
        <w:t xml:space="preserve"> </w:t>
      </w:r>
      <w:r w:rsidRPr="00E77B1B">
        <w:rPr>
          <w:rFonts w:ascii="Calibri" w:hAnsi="Calibri" w:cs="Times New Roman"/>
        </w:rPr>
        <w:t xml:space="preserve">Linklater, </w:t>
      </w:r>
      <w:r w:rsidRPr="00E77B1B">
        <w:rPr>
          <w:rFonts w:ascii="Calibri" w:hAnsi="Calibri" w:cs="Times New Roman"/>
          <w:i/>
          <w:iCs/>
        </w:rPr>
        <w:t>The Problem of Harm in World Politics</w:t>
      </w:r>
      <w:r w:rsidRPr="00E77B1B">
        <w:rPr>
          <w:rFonts w:ascii="Calibri" w:hAnsi="Calibri" w:cs="Times New Roman"/>
        </w:rPr>
        <w:t>, p</w:t>
      </w:r>
      <w:r w:rsidR="00611B70">
        <w:rPr>
          <w:rFonts w:ascii="Calibri" w:hAnsi="Calibri" w:cs="Times New Roman"/>
        </w:rPr>
        <w:t>p</w:t>
      </w:r>
      <w:r w:rsidRPr="00E77B1B">
        <w:rPr>
          <w:rFonts w:ascii="Calibri" w:hAnsi="Calibri" w:cs="Times New Roman"/>
        </w:rPr>
        <w:t>. 73.</w:t>
      </w:r>
    </w:p>
  </w:footnote>
  <w:footnote w:id="73">
    <w:p w14:paraId="7B8AD99E" w14:textId="77777777" w:rsidR="00F334B9" w:rsidRPr="00E77B1B" w:rsidRDefault="00F334B9" w:rsidP="007D130B">
      <w:pPr>
        <w:pStyle w:val="FootnoteText"/>
        <w:rPr>
          <w:lang w:eastAsia="en-US"/>
        </w:rPr>
      </w:pPr>
      <w:r w:rsidRPr="00E77B1B">
        <w:rPr>
          <w:rStyle w:val="FootnoteReference"/>
        </w:rPr>
        <w:footnoteRef/>
      </w:r>
      <w:r w:rsidRPr="00E77B1B">
        <w:t xml:space="preserve"> John Kekes, “Cruelty and Liberalism”, </w:t>
      </w:r>
      <w:r w:rsidRPr="00E77B1B">
        <w:rPr>
          <w:i/>
          <w:iCs/>
        </w:rPr>
        <w:t>Ethics,</w:t>
      </w:r>
      <w:r w:rsidRPr="00E77B1B">
        <w:t xml:space="preserve"> 106:4 (1996), pp. 834–44</w:t>
      </w:r>
      <w:r>
        <w:t>.</w:t>
      </w:r>
    </w:p>
  </w:footnote>
  <w:footnote w:id="74">
    <w:p w14:paraId="18CB6F0C" w14:textId="1E534AAB" w:rsidR="00F334B9" w:rsidRPr="00E77B1B" w:rsidRDefault="00F334B9" w:rsidP="007D130B">
      <w:pPr>
        <w:pStyle w:val="FootnoteText"/>
      </w:pPr>
      <w:r w:rsidRPr="00E77B1B">
        <w:rPr>
          <w:rStyle w:val="FootnoteReference"/>
        </w:rPr>
        <w:footnoteRef/>
      </w:r>
      <w:r w:rsidRPr="00E77B1B">
        <w:t xml:space="preserve"> </w:t>
      </w:r>
      <w:r>
        <w:fldChar w:fldCharType="begin"/>
      </w:r>
      <w:r>
        <w:instrText xml:space="preserve"> ADDIN ZOTERO_ITEM CSL_CITATION {"citationID":"cETtZ6Y0","properties":{"formattedCitation":"{\\rtf Eric Dunning and Stephen Mennell, \\uc0\\u8216{}Elias on Germany, Nazism and the Holocaust: On the Balance between \\uc0\\u8220{}Civilizing\\uc0\\u8221{} and \\uc0\\u8220{}Decivilizing\\uc0\\u8221{} Trends in the Social Development of Western Europe\\uc0\\u8217{}, {\\i{}The British Journal of Sociology} 49, no. 3 (1998): 339\\uc0\\u8211{}57.}","plainCitation":"Eric Dunning and Stephen Mennell, ‘Elias on Germany, Nazism and the Holocaust: On the Balance between “Civilizing” and “Decivilizing” Trends in the Social Development of Western Europe’, The British Journal of Sociology 49, no. 3 (1998): 339–57."},"citationItems":[{"id":583,"uris":["http://zotero.org/users/4207534/items/SKKXHQIT"],"uri":["http://zotero.org/users/4207534/items/SKKXHQIT"],"itemData":{"id":583,"type":"article-journal","title":"Elias on Germany, Nazism and the Holocaust: On the Balance between 'Civilizing' and 'Decivilizing' Trends in the Social Development of Western Europe","container-title":"The British Journal of Sociology","page":"339-357","volume":"49","issue":"3","author":[{"family":"Dunning","given":"Eric"},{"family":"Mennell","given":"Stephen"}],"issued":{"date-parts":[["1998"]]}}}],"schema":"https://github.com/citation-style-language/schema/raw/master/csl-citation.json"} </w:instrText>
      </w:r>
      <w:r>
        <w:fldChar w:fldCharType="separate"/>
      </w:r>
      <w:r w:rsidRPr="008B46DD">
        <w:rPr>
          <w:rFonts w:ascii="Calibri" w:hAnsi="Calibri" w:cs="Times New Roman"/>
          <w:szCs w:val="24"/>
        </w:rPr>
        <w:t xml:space="preserve">Eric Dunning and Stephen Mennell, ‘Elias on Germany, Nazism and the Holocaust: On the Balance between “Civilizing” and “Decivilizing” Trends in the Social Development of Western Europe’, </w:t>
      </w:r>
      <w:r w:rsidRPr="008B46DD">
        <w:rPr>
          <w:rFonts w:ascii="Calibri" w:hAnsi="Calibri" w:cs="Times New Roman"/>
          <w:i/>
          <w:iCs/>
          <w:szCs w:val="24"/>
        </w:rPr>
        <w:t>The British Journal of Sociology</w:t>
      </w:r>
      <w:r w:rsidR="00611B70">
        <w:rPr>
          <w:rFonts w:ascii="Calibri" w:hAnsi="Calibri" w:cs="Times New Roman"/>
          <w:szCs w:val="24"/>
        </w:rPr>
        <w:t xml:space="preserve"> 49, no. 3 (1998),</w:t>
      </w:r>
      <w:r w:rsidRPr="008B46DD">
        <w:rPr>
          <w:rFonts w:ascii="Calibri" w:hAnsi="Calibri" w:cs="Times New Roman"/>
          <w:szCs w:val="24"/>
        </w:rPr>
        <w:t xml:space="preserve"> </w:t>
      </w:r>
      <w:r w:rsidR="00611B70">
        <w:rPr>
          <w:rFonts w:ascii="Calibri" w:hAnsi="Calibri" w:cs="Times New Roman"/>
          <w:szCs w:val="24"/>
        </w:rPr>
        <w:t xml:space="preserve">pp. </w:t>
      </w:r>
      <w:r w:rsidRPr="008B46DD">
        <w:rPr>
          <w:rFonts w:ascii="Calibri" w:hAnsi="Calibri" w:cs="Times New Roman"/>
          <w:szCs w:val="24"/>
        </w:rPr>
        <w:t>339–57</w:t>
      </w:r>
      <w:r>
        <w:fldChar w:fldCharType="end"/>
      </w:r>
    </w:p>
  </w:footnote>
  <w:footnote w:id="75">
    <w:p w14:paraId="4F6FE185" w14:textId="7C6453A4" w:rsidR="00F334B9" w:rsidRDefault="00F334B9" w:rsidP="007D130B">
      <w:pPr>
        <w:pStyle w:val="FootnoteText"/>
      </w:pPr>
      <w:r>
        <w:rPr>
          <w:rStyle w:val="FootnoteReference"/>
        </w:rPr>
        <w:footnoteRef/>
      </w:r>
      <w:r>
        <w:t xml:space="preserve"> Mitchell, “Only Human?”, p</w:t>
      </w:r>
      <w:r w:rsidR="007A187B">
        <w:t>p</w:t>
      </w:r>
      <w:r>
        <w:t>. 12</w:t>
      </w:r>
    </w:p>
  </w:footnote>
  <w:footnote w:id="76">
    <w:p w14:paraId="122B9412" w14:textId="045D0113" w:rsidR="00F334B9" w:rsidRDefault="00F334B9" w:rsidP="007D130B">
      <w:pPr>
        <w:pStyle w:val="FootnoteText"/>
      </w:pPr>
      <w:r>
        <w:rPr>
          <w:rStyle w:val="FootnoteReference"/>
        </w:rPr>
        <w:footnoteRef/>
      </w:r>
      <w:r>
        <w:t xml:space="preserve"> </w:t>
      </w:r>
      <w:r w:rsidRPr="00E77B1B">
        <w:t>Audra Mitchell, “Thinking without the ‘circle’</w:t>
      </w:r>
      <w:r w:rsidR="007A187B">
        <w:t>”</w:t>
      </w:r>
    </w:p>
  </w:footnote>
  <w:footnote w:id="77">
    <w:p w14:paraId="2CDC2778" w14:textId="77777777" w:rsidR="00F334B9" w:rsidRPr="00E77B1B" w:rsidRDefault="00F334B9" w:rsidP="007D130B">
      <w:pPr>
        <w:pStyle w:val="FootnoteText"/>
        <w:rPr>
          <w:lang w:eastAsia="en-US"/>
        </w:rPr>
      </w:pPr>
      <w:r w:rsidRPr="00E77B1B">
        <w:rPr>
          <w:rStyle w:val="FootnoteReference"/>
        </w:rPr>
        <w:footnoteRef/>
      </w:r>
      <w:r w:rsidRPr="00E77B1B">
        <w:t xml:space="preserve"> Justin Rosenberg, “International Relations in the Prison of Political Science”, </w:t>
      </w:r>
      <w:r w:rsidRPr="00E77B1B">
        <w:rPr>
          <w:i/>
          <w:iCs/>
        </w:rPr>
        <w:t>International Relations</w:t>
      </w:r>
      <w:r w:rsidRPr="00E77B1B">
        <w:t>, 30:2 (2016), pp. 127–53</w:t>
      </w:r>
    </w:p>
  </w:footnote>
  <w:footnote w:id="78">
    <w:p w14:paraId="14E2F186" w14:textId="6CAD3C26" w:rsidR="00F334B9" w:rsidRPr="00E77B1B" w:rsidRDefault="00F334B9" w:rsidP="007D130B">
      <w:pPr>
        <w:pStyle w:val="FootnoteText"/>
      </w:pPr>
      <w:r w:rsidRPr="00E77B1B">
        <w:rPr>
          <w:rStyle w:val="FootnoteReference"/>
        </w:rPr>
        <w:footnoteRef/>
      </w:r>
      <w:r w:rsidRPr="00E77B1B">
        <w:t xml:space="preserve"> </w:t>
      </w:r>
      <w:r w:rsidRPr="00E77B1B">
        <w:rPr>
          <w:rFonts w:ascii="Calibri" w:hAnsi="Calibri" w:cs="Times New Roman"/>
        </w:rPr>
        <w:t>Linklater, “Norbert Elias, The ‘Civilizing Process’ and the Sociology of International Relations”</w:t>
      </w:r>
      <w:r w:rsidRPr="00E77B1B">
        <w:t xml:space="preserve">; </w:t>
      </w:r>
      <w:r w:rsidRPr="00E77B1B">
        <w:rPr>
          <w:rFonts w:ascii="Calibri" w:hAnsi="Calibri" w:cs="Times New Roman"/>
        </w:rPr>
        <w:t>Mitchell, “Thinking without the ‘</w:t>
      </w:r>
      <w:r w:rsidRPr="002F7319">
        <w:rPr>
          <w:rFonts w:ascii="Calibri" w:hAnsi="Calibri" w:cs="Times New Roman"/>
        </w:rPr>
        <w:t xml:space="preserve">circle.’” This is not to reduce the various forms of co-becoming that both highlight to a purely scientific-realist frame, but rather that emergence is a key component in </w:t>
      </w:r>
      <w:r w:rsidR="00F616DA">
        <w:rPr>
          <w:rFonts w:ascii="Calibri" w:hAnsi="Calibri" w:cs="Times New Roman"/>
        </w:rPr>
        <w:t>situating the</w:t>
      </w:r>
      <w:r w:rsidRPr="002F7319">
        <w:rPr>
          <w:rFonts w:ascii="Calibri" w:hAnsi="Calibri" w:cs="Times New Roman"/>
        </w:rPr>
        <w:t xml:space="preserve"> objects a science </w:t>
      </w:r>
      <w:r w:rsidR="00F616DA">
        <w:rPr>
          <w:rFonts w:ascii="Calibri" w:hAnsi="Calibri" w:cs="Times New Roman"/>
        </w:rPr>
        <w:t>frames</w:t>
      </w:r>
      <w:r w:rsidRPr="002F7319">
        <w:rPr>
          <w:rFonts w:ascii="Calibri" w:hAnsi="Calibri" w:cs="Times New Roman"/>
        </w:rPr>
        <w:t xml:space="preserve"> as </w:t>
      </w:r>
      <w:r w:rsidR="00F616DA">
        <w:rPr>
          <w:rFonts w:ascii="Calibri" w:hAnsi="Calibri" w:cs="Times New Roman"/>
        </w:rPr>
        <w:t>‘</w:t>
      </w:r>
      <w:r w:rsidRPr="002F7319">
        <w:rPr>
          <w:rFonts w:ascii="Calibri" w:hAnsi="Calibri" w:cs="Times New Roman"/>
        </w:rPr>
        <w:t>its</w:t>
      </w:r>
      <w:r w:rsidR="00F616DA">
        <w:rPr>
          <w:rFonts w:ascii="Calibri" w:hAnsi="Calibri" w:cs="Times New Roman"/>
        </w:rPr>
        <w:t>’</w:t>
      </w:r>
      <w:r w:rsidRPr="002F7319">
        <w:rPr>
          <w:rFonts w:ascii="Calibri" w:hAnsi="Calibri" w:cs="Times New Roman"/>
        </w:rPr>
        <w:t xml:space="preserve"> object. My argument is limited to a defensible social scientific core to an IR oriented toward the problem of harm and are intentionally minimalist in this regard. My thanks to an anonymous reviewer for pointing this out.</w:t>
      </w:r>
    </w:p>
  </w:footnote>
  <w:footnote w:id="79">
    <w:p w14:paraId="61586DBB" w14:textId="3287753C" w:rsidR="00F334B9" w:rsidRPr="00E77B1B" w:rsidRDefault="00F334B9" w:rsidP="007D130B">
      <w:pPr>
        <w:pStyle w:val="FootnoteText"/>
      </w:pPr>
      <w:r w:rsidRPr="00E77B1B">
        <w:rPr>
          <w:rStyle w:val="FootnoteReference"/>
        </w:rPr>
        <w:footnoteRef/>
      </w:r>
      <w:r w:rsidRPr="00E77B1B">
        <w:t xml:space="preserve"> </w:t>
      </w:r>
      <w:r w:rsidRPr="00E77B1B">
        <w:fldChar w:fldCharType="begin"/>
      </w:r>
      <w:r>
        <w:instrText xml:space="preserve"> ADDIN ZOTERO_ITEM CSL_CITATION {"citationID":"BtaFPvED","properties":{"formattedCitation":"{\\rtf Roy Bhaskar and Rom Harre, \\uc0\\u8216{}How to Change Reality\\uc0\\u8217{}, in {\\i{}After Postmodernism: An Introduction to Critical Realism}, ed. Jose Lopez (Athlone Press, 2001).}","plainCitation":"Roy Bhaskar and Rom Harre, ‘How to Change Reality’, in After Postmodernism: An Introduction to Critical Realism, ed. Jose Lopez (Athlone Press, 2001)."},"citationItems":[{"id":522,"uris":["http://zotero.org/users/4207534/items/F8TQQAFK"],"uri":["http://zotero.org/users/4207534/items/F8TQQAFK"],"itemData":{"id":522,"type":"chapter","title":"How to Change Reality","container-title":"After Postmodernism: An Introduction to Critical Realism","publisher":"Athlone Press","source":"Amazon.com","ISBN":"0-485-00617-0","author":[{"family":"Bhaskar","given":"Roy"},{"family":"Harre","given":"Rom"}],"editor":[{"family":"Lopez","given":"Jose"}],"issued":{"date-parts":[["2001",8]]}}}],"schema":"https://github.com/citation-style-language/schema/raw/master/csl-citation.json"} </w:instrText>
      </w:r>
      <w:r w:rsidRPr="00E77B1B">
        <w:fldChar w:fldCharType="separate"/>
      </w:r>
      <w:r w:rsidRPr="00E77B1B">
        <w:rPr>
          <w:rFonts w:ascii="Calibri" w:hAnsi="Calibri" w:cs="Times New Roman"/>
        </w:rPr>
        <w:t xml:space="preserve">Roy Bhaskar and Rom Harre, ‘How to Change Reality’, in </w:t>
      </w:r>
      <w:r w:rsidRPr="00E77B1B">
        <w:rPr>
          <w:rFonts w:ascii="Calibri" w:hAnsi="Calibri" w:cs="Times New Roman"/>
          <w:i/>
          <w:iCs/>
        </w:rPr>
        <w:t>After Postmodernism: An Introduction to Critical Realism</w:t>
      </w:r>
      <w:r w:rsidRPr="00E77B1B">
        <w:rPr>
          <w:rFonts w:ascii="Calibri" w:hAnsi="Calibri" w:cs="Times New Roman"/>
        </w:rPr>
        <w:t>, ed. Jose Lopez (</w:t>
      </w:r>
      <w:r w:rsidR="00611B70">
        <w:rPr>
          <w:rFonts w:ascii="Calibri" w:hAnsi="Calibri" w:cs="Times New Roman"/>
        </w:rPr>
        <w:t xml:space="preserve">London: </w:t>
      </w:r>
      <w:r w:rsidRPr="00E77B1B">
        <w:rPr>
          <w:rFonts w:ascii="Calibri" w:hAnsi="Calibri" w:cs="Times New Roman"/>
        </w:rPr>
        <w:t>Athlone Press, 2001)</w:t>
      </w:r>
      <w:r w:rsidRPr="00E77B1B">
        <w:fldChar w:fldCharType="end"/>
      </w:r>
    </w:p>
  </w:footnote>
  <w:footnote w:id="80">
    <w:p w14:paraId="187686C9" w14:textId="2FE9AC65" w:rsidR="00F334B9" w:rsidRPr="00E77B1B" w:rsidRDefault="00F334B9" w:rsidP="007D130B">
      <w:pPr>
        <w:pStyle w:val="FootnoteText"/>
      </w:pPr>
      <w:r w:rsidRPr="00E77B1B">
        <w:rPr>
          <w:rStyle w:val="FootnoteReference"/>
        </w:rPr>
        <w:footnoteRef/>
      </w:r>
      <w:r w:rsidRPr="00E77B1B">
        <w:t xml:space="preserve"> </w:t>
      </w:r>
      <w:r w:rsidRPr="00E77B1B">
        <w:rPr>
          <w:rFonts w:ascii="Calibri" w:hAnsi="Calibri" w:cs="Times New Roman"/>
        </w:rPr>
        <w:t xml:space="preserve">Bhaskar, </w:t>
      </w:r>
      <w:r w:rsidRPr="00E77B1B">
        <w:rPr>
          <w:rFonts w:ascii="Calibri" w:hAnsi="Calibri" w:cs="Times New Roman"/>
          <w:i/>
          <w:iCs/>
        </w:rPr>
        <w:t>The Possibility of Naturalism</w:t>
      </w:r>
      <w:r w:rsidRPr="00E77B1B">
        <w:rPr>
          <w:rFonts w:ascii="Calibri" w:hAnsi="Calibri" w:cs="Times New Roman"/>
        </w:rPr>
        <w:t>, p</w:t>
      </w:r>
      <w:r w:rsidR="00611B70">
        <w:rPr>
          <w:rFonts w:ascii="Calibri" w:hAnsi="Calibri" w:cs="Times New Roman"/>
        </w:rPr>
        <w:t>p</w:t>
      </w:r>
      <w:r w:rsidRPr="00E77B1B">
        <w:rPr>
          <w:rFonts w:ascii="Calibri" w:hAnsi="Calibri" w:cs="Times New Roman"/>
        </w:rPr>
        <w:t>. 42</w:t>
      </w:r>
    </w:p>
  </w:footnote>
  <w:footnote w:id="81">
    <w:p w14:paraId="161D9D6C" w14:textId="4FF70D56" w:rsidR="00F334B9" w:rsidRPr="00E77B1B" w:rsidRDefault="00F334B9" w:rsidP="007D130B">
      <w:pPr>
        <w:pStyle w:val="FootnoteText"/>
      </w:pPr>
      <w:r w:rsidRPr="00E77B1B">
        <w:rPr>
          <w:rStyle w:val="FootnoteReference"/>
        </w:rPr>
        <w:footnoteRef/>
      </w:r>
      <w:r w:rsidRPr="00E77B1B">
        <w:t xml:space="preserve"> Roy Bhaskar, </w:t>
      </w:r>
      <w:r w:rsidRPr="00E77B1B">
        <w:rPr>
          <w:i/>
          <w:iCs/>
        </w:rPr>
        <w:t>Dialectic: The Pulse of Freedom,</w:t>
      </w:r>
      <w:r w:rsidRPr="00E77B1B">
        <w:t xml:space="preserve"> (London: Verso, 1993)</w:t>
      </w:r>
      <w:r w:rsidRPr="00E77B1B">
        <w:rPr>
          <w:rFonts w:ascii="Calibri" w:hAnsi="Calibri" w:cs="Times New Roman"/>
        </w:rPr>
        <w:t>, p</w:t>
      </w:r>
      <w:r w:rsidR="00611B70">
        <w:rPr>
          <w:rFonts w:ascii="Calibri" w:hAnsi="Calibri" w:cs="Times New Roman"/>
        </w:rPr>
        <w:t>p</w:t>
      </w:r>
      <w:r w:rsidRPr="00E77B1B">
        <w:rPr>
          <w:rFonts w:ascii="Calibri" w:hAnsi="Calibri" w:cs="Times New Roman"/>
        </w:rPr>
        <w:t>. 125.</w:t>
      </w:r>
      <w:r w:rsidRPr="009B62D8">
        <w:t xml:space="preserve"> </w:t>
      </w:r>
      <w:r w:rsidR="006A424F">
        <w:t>Necessity here</w:t>
      </w:r>
      <w:r w:rsidRPr="00DD4BEF">
        <w:t xml:space="preserve"> draws upon Mackie’s influential definition of INUS conditions, which constitute ‘Insufficient but Necessary parts of a condition which is itself Unnecessary but Sufficient’ for their effects. See </w:t>
      </w:r>
      <w:r w:rsidRPr="00DD4BEF">
        <w:fldChar w:fldCharType="begin"/>
      </w:r>
      <w:r w:rsidRPr="00DD4BEF">
        <w:instrText xml:space="preserve"> ADDIN ZOTERO_ITEM CSL_CITATION {"citationID":"X701kUlZ","properties":{"formattedCitation":"{\\rtf J. L. Mackie, \\uc0\\u8216{}Causes and Conditions\\uc0\\u8217{}, {\\i{}American Philosophical Quarterly} 2, no. 4 (1965): 245\\uc0\\u8211{}64.}","plainCitation":"J. L. Mackie, ‘Causes and Conditions’, American Philosophical Quarterly 2, no. 4 (1965): 245–64."},"citationItems":[{"id":1186,"uris":["http://zotero.org/users/4207534/items/7CSB9IIQ"],"uri":["http://zotero.org/users/4207534/items/7CSB9IIQ"],"itemData":{"id":1186,"type":"article-journal","title":"Causes and Conditions","container-title":"American Philosophical Quarterly","page":"245-264","volume":"2","issue":"4","source":"JSTOR","ISSN":"0003-0481","author":[{"family":"Mackie","given":"J. L."}],"issued":{"date-parts":[["1965"]]}}}],"schema":"https://github.com/citation-style-language/schema/raw/master/csl-citation.json"} </w:instrText>
      </w:r>
      <w:r w:rsidRPr="00DD4BEF">
        <w:fldChar w:fldCharType="separate"/>
      </w:r>
      <w:r w:rsidRPr="00DD4BEF">
        <w:rPr>
          <w:rFonts w:ascii="Calibri" w:hAnsi="Calibri" w:cs="Times New Roman"/>
        </w:rPr>
        <w:t xml:space="preserve">J. L. Mackie, ‘Causes and Conditions’, </w:t>
      </w:r>
      <w:r w:rsidRPr="00DD4BEF">
        <w:rPr>
          <w:rFonts w:ascii="Calibri" w:hAnsi="Calibri" w:cs="Times New Roman"/>
          <w:i/>
          <w:iCs/>
        </w:rPr>
        <w:t>American Philosophical Quarterly</w:t>
      </w:r>
      <w:r w:rsidR="00611B70">
        <w:rPr>
          <w:rFonts w:ascii="Calibri" w:hAnsi="Calibri" w:cs="Times New Roman"/>
        </w:rPr>
        <w:t xml:space="preserve"> 2, no. 4 (1965), pp. </w:t>
      </w:r>
      <w:r w:rsidRPr="00DD4BEF">
        <w:rPr>
          <w:rFonts w:ascii="Calibri" w:hAnsi="Calibri" w:cs="Times New Roman"/>
        </w:rPr>
        <w:t>245–64</w:t>
      </w:r>
      <w:r w:rsidRPr="00DD4BEF">
        <w:fldChar w:fldCharType="end"/>
      </w:r>
    </w:p>
  </w:footnote>
  <w:footnote w:id="82">
    <w:p w14:paraId="092CE7E4" w14:textId="53C7697E" w:rsidR="00F334B9" w:rsidRPr="00E77B1B" w:rsidRDefault="00F334B9" w:rsidP="007D130B">
      <w:pPr>
        <w:pStyle w:val="FootnoteText"/>
      </w:pPr>
      <w:r w:rsidRPr="00E77B1B">
        <w:rPr>
          <w:rStyle w:val="FootnoteReference"/>
        </w:rPr>
        <w:footnoteRef/>
      </w:r>
      <w:r w:rsidRPr="00E77B1B">
        <w:t xml:space="preserve"> </w:t>
      </w:r>
      <w:r w:rsidRPr="00E77B1B">
        <w:rPr>
          <w:rFonts w:ascii="Calibri" w:hAnsi="Calibri" w:cs="Times New Roman"/>
        </w:rPr>
        <w:t>Mitchell, “Only Human?”, p</w:t>
      </w:r>
      <w:r w:rsidR="00611B70">
        <w:rPr>
          <w:rFonts w:ascii="Calibri" w:hAnsi="Calibri" w:cs="Times New Roman"/>
        </w:rPr>
        <w:t>p</w:t>
      </w:r>
      <w:r w:rsidRPr="00E77B1B">
        <w:rPr>
          <w:rFonts w:ascii="Calibri" w:hAnsi="Calibri" w:cs="Times New Roman"/>
        </w:rPr>
        <w:t>. 13</w:t>
      </w:r>
    </w:p>
  </w:footnote>
  <w:footnote w:id="83">
    <w:p w14:paraId="1AC8DD63" w14:textId="798F6FED" w:rsidR="00F334B9" w:rsidRPr="00670019" w:rsidRDefault="00F334B9" w:rsidP="007D130B">
      <w:pPr>
        <w:pStyle w:val="FootnoteText"/>
      </w:pPr>
      <w:r w:rsidRPr="00670019">
        <w:rPr>
          <w:rStyle w:val="FootnoteReference"/>
        </w:rPr>
        <w:footnoteRef/>
      </w:r>
      <w:r w:rsidRPr="00670019">
        <w:t xml:space="preserve"> Bhaskar, </w:t>
      </w:r>
      <w:r w:rsidRPr="00670019">
        <w:rPr>
          <w:i/>
        </w:rPr>
        <w:t>The Possibility of Naturalism</w:t>
      </w:r>
      <w:r w:rsidRPr="00670019">
        <w:t>, pp. 133</w:t>
      </w:r>
    </w:p>
  </w:footnote>
  <w:footnote w:id="84">
    <w:p w14:paraId="26E1E45A" w14:textId="77777777" w:rsidR="00F334B9" w:rsidRPr="00E77B1B" w:rsidRDefault="00F334B9" w:rsidP="007D130B">
      <w:pPr>
        <w:pStyle w:val="FootnoteText"/>
      </w:pPr>
      <w:r w:rsidRPr="00E77B1B">
        <w:rPr>
          <w:rStyle w:val="FootnoteReference"/>
        </w:rPr>
        <w:footnoteRef/>
      </w:r>
      <w:r w:rsidRPr="00E77B1B">
        <w:t xml:space="preserve"> </w:t>
      </w:r>
      <w:r w:rsidRPr="00E77B1B">
        <w:fldChar w:fldCharType="begin"/>
      </w:r>
      <w:r>
        <w:instrText xml:space="preserve"> ADDIN ZOTERO_ITEM CSL_CITATION {"citationID":"9SHSr0l4","properties":{"formattedCitation":"{\\rtf Roy Bhaskar and Rom Harre, \\uc0\\u8216{}How to Change Reality\\uc0\\u8217{}, in {\\i{}After Postmodernism: An Introduction to Critical Realism}, ed. Jose Lopez (Athlone Press, 2001).}","plainCitation":"Roy Bhaskar and Rom Harre, ‘How to Change Reality’, in After Postmodernism: An Introduction to Critical Realism, ed. Jose Lopez (Athlone Press, 2001).","dontUpdate":true},"citationItems":[{"id":522,"uris":["http://zotero.org/users/4207534/items/F8TQQAFK"],"uri":["http://zotero.org/users/4207534/items/F8TQQAFK"],"itemData":{"id":522,"type":"chapter","title":"How to Change Reality","container-title":"After Postmodernism: An Introduction to Critical Realism","publisher":"Athlone Press","source":"Amazon.com","ISBN":"0-485-00617-0","author":[{"family":"Bhaskar","given":"Roy"},{"family":"Harre","given":"Rom"}],"editor":[{"family":"Lopez","given":"Jose"}],"issued":{"date-parts":[["2001",8]]}}}],"schema":"https://github.com/citation-style-language/schema/raw/master/csl-citation.json"} </w:instrText>
      </w:r>
      <w:r w:rsidRPr="00E77B1B">
        <w:fldChar w:fldCharType="separate"/>
      </w:r>
      <w:r w:rsidRPr="00E77B1B">
        <w:rPr>
          <w:rFonts w:ascii="Calibri" w:hAnsi="Calibri" w:cs="Times New Roman"/>
        </w:rPr>
        <w:t>Bhaskar and Harre, ‘How to Change Reality’</w:t>
      </w:r>
      <w:r w:rsidRPr="00E77B1B">
        <w:fldChar w:fldCharType="end"/>
      </w:r>
    </w:p>
  </w:footnote>
  <w:footnote w:id="85">
    <w:p w14:paraId="43020BD0" w14:textId="77777777" w:rsidR="00F334B9" w:rsidRPr="00E77B1B" w:rsidRDefault="00F334B9" w:rsidP="007D130B">
      <w:pPr>
        <w:pStyle w:val="FootnoteText"/>
        <w:rPr>
          <w:lang w:eastAsia="en-US"/>
        </w:rPr>
      </w:pPr>
      <w:r w:rsidRPr="00E77B1B">
        <w:rPr>
          <w:rStyle w:val="FootnoteReference"/>
        </w:rPr>
        <w:footnoteRef/>
      </w:r>
      <w:r w:rsidRPr="00E77B1B">
        <w:t xml:space="preserve"> Sandra Harding, “Rethinking Standpoint Epistemology: What is ‘Strong Objectivity?’”, </w:t>
      </w:r>
      <w:r w:rsidRPr="00E77B1B">
        <w:rPr>
          <w:i/>
          <w:iCs/>
        </w:rPr>
        <w:t>The Centennial Review,</w:t>
      </w:r>
      <w:r w:rsidRPr="00E77B1B">
        <w:t xml:space="preserve"> 36:3 (1992), pp. 437–70</w:t>
      </w:r>
    </w:p>
  </w:footnote>
  <w:footnote w:id="86">
    <w:p w14:paraId="408C1077" w14:textId="77777777" w:rsidR="00F334B9" w:rsidRPr="00E77B1B" w:rsidRDefault="00F334B9" w:rsidP="007D130B">
      <w:pPr>
        <w:pStyle w:val="FootnoteText"/>
        <w:rPr>
          <w:lang w:eastAsia="en-US"/>
        </w:rPr>
      </w:pPr>
      <w:r w:rsidRPr="00E77B1B">
        <w:rPr>
          <w:rStyle w:val="FootnoteReference"/>
        </w:rPr>
        <w:footnoteRef/>
      </w:r>
      <w:r w:rsidRPr="00E77B1B">
        <w:t xml:space="preserve"> </w:t>
      </w:r>
      <w:r w:rsidRPr="00E77B1B">
        <w:rPr>
          <w:rFonts w:ascii="Calibri" w:hAnsi="Calibri" w:cs="Times New Roman"/>
        </w:rPr>
        <w:t xml:space="preserve">Collier, </w:t>
      </w:r>
      <w:r w:rsidRPr="00E77B1B">
        <w:rPr>
          <w:rFonts w:ascii="Calibri" w:hAnsi="Calibri" w:cs="Times New Roman"/>
          <w:i/>
          <w:iCs/>
        </w:rPr>
        <w:t>Critical Realism</w:t>
      </w:r>
      <w:r w:rsidRPr="00E77B1B">
        <w:rPr>
          <w:rFonts w:ascii="Calibri" w:hAnsi="Calibri" w:cs="Times New Roman"/>
        </w:rPr>
        <w:t>, p. 54</w:t>
      </w:r>
    </w:p>
  </w:footnote>
  <w:footnote w:id="87">
    <w:p w14:paraId="0925A525" w14:textId="2426EB08" w:rsidR="00F334B9" w:rsidRPr="00E77B1B" w:rsidRDefault="00F334B9" w:rsidP="007D130B">
      <w:pPr>
        <w:pStyle w:val="FootnoteText"/>
        <w:rPr>
          <w:lang w:eastAsia="en-US"/>
        </w:rPr>
      </w:pPr>
      <w:r w:rsidRPr="00E77B1B">
        <w:rPr>
          <w:rStyle w:val="FootnoteReference"/>
        </w:rPr>
        <w:footnoteRef/>
      </w:r>
      <w:r w:rsidRPr="00E77B1B">
        <w:t xml:space="preserve"> Tony Lawson, “Abstraction”, in Margaret Archer, Roy Bhaskar, Andrew Collier, Tony Lawson and Alan Norrie (eds.), </w:t>
      </w:r>
      <w:r w:rsidRPr="00E77B1B">
        <w:rPr>
          <w:i/>
          <w:iCs/>
        </w:rPr>
        <w:t>Critical Realism: Essential Readings</w:t>
      </w:r>
      <w:r w:rsidRPr="00E77B1B">
        <w:t>, (London: Routledge, 1998)</w:t>
      </w:r>
    </w:p>
  </w:footnote>
  <w:footnote w:id="88">
    <w:p w14:paraId="043D3A43" w14:textId="27B8836A" w:rsidR="00F334B9" w:rsidRDefault="00F334B9" w:rsidP="007D130B">
      <w:pPr>
        <w:pStyle w:val="FootnoteText"/>
      </w:pPr>
      <w:r>
        <w:rPr>
          <w:rStyle w:val="FootnoteReference"/>
        </w:rPr>
        <w:footnoteRef/>
      </w:r>
      <w:r>
        <w:t xml:space="preserve"> </w:t>
      </w:r>
      <w:r>
        <w:fldChar w:fldCharType="begin"/>
      </w:r>
      <w:r>
        <w:instrText xml:space="preserve"> ADDIN ZOTERO_ITEM CSL_CITATION {"citationID":"fNI1WUTY","properties":{"formattedCitation":"{\\rtf Alfred Sohn-Rethel, {\\i{}Intellectual and Manual Labour\\uc0\\u8239{}: A Critique of Epistemology} (London: Macmillan, 1978).}","plainCitation":"Alfred Sohn-Rethel, Intellectual and Manual Labour : A Critique of Epistemology (London: Macmillan, 1978)."},"citationItems":[{"id":78,"uris":["http://zotero.org/users/4207534/items/47K5XMIX"],"uri":["http://zotero.org/users/4207534/items/47K5XMIX"],"itemData":{"id":78,"type":"book","title":"Intellectual and manual labour : a critique of epistemology","publisher":"Macmillan","publisher-place":"London","number-of-pages":"216","source":"Primo","event-place":"London","ISBN":"0-333-23046-9","shortTitle":"Intellectual and manual labour","language":"eng;ger","author":[{"literal":"Alfred Sohn-Rethel"}],"issued":{"date-parts":[["1978"]]}}}],"schema":"https://github.com/citation-style-language/schema/raw/master/csl-citation.json"} </w:instrText>
      </w:r>
      <w:r>
        <w:fldChar w:fldCharType="separate"/>
      </w:r>
      <w:r w:rsidRPr="00BB6C7B">
        <w:rPr>
          <w:rFonts w:ascii="Calibri" w:hAnsi="Calibri" w:cs="Calibri"/>
          <w:szCs w:val="24"/>
        </w:rPr>
        <w:t xml:space="preserve">Alfred Sohn-Rethel, </w:t>
      </w:r>
      <w:r w:rsidRPr="00BB6C7B">
        <w:rPr>
          <w:rFonts w:ascii="Calibri" w:hAnsi="Calibri" w:cs="Calibri"/>
          <w:i/>
          <w:iCs/>
          <w:szCs w:val="24"/>
        </w:rPr>
        <w:t>Intellectual and Manual Labour : A Critique of Epistemology</w:t>
      </w:r>
      <w:r w:rsidRPr="00BB6C7B">
        <w:rPr>
          <w:rFonts w:ascii="Calibri" w:hAnsi="Calibri" w:cs="Calibri"/>
          <w:szCs w:val="24"/>
        </w:rPr>
        <w:t xml:space="preserve"> (London: Macmillan, 1978).</w:t>
      </w:r>
      <w:r>
        <w:fldChar w:fldCharType="end"/>
      </w:r>
      <w:r>
        <w:t xml:space="preserve"> </w:t>
      </w:r>
    </w:p>
  </w:footnote>
  <w:footnote w:id="89">
    <w:p w14:paraId="3BF0CA32" w14:textId="041346BC" w:rsidR="00F334B9" w:rsidRPr="00E77B1B" w:rsidRDefault="00F334B9" w:rsidP="007D130B">
      <w:pPr>
        <w:pStyle w:val="FootnoteText"/>
        <w:rPr>
          <w:lang w:eastAsia="en-US"/>
        </w:rPr>
      </w:pPr>
      <w:r w:rsidRPr="00E77B1B">
        <w:rPr>
          <w:rStyle w:val="FootnoteReference"/>
        </w:rPr>
        <w:footnoteRef/>
      </w:r>
      <w:r w:rsidRPr="00E77B1B">
        <w:t xml:space="preserve"> Andrew Sayer, </w:t>
      </w:r>
      <w:r w:rsidRPr="00E77B1B">
        <w:rPr>
          <w:i/>
          <w:iCs/>
        </w:rPr>
        <w:t xml:space="preserve">Method in Social Science, </w:t>
      </w:r>
      <w:r w:rsidRPr="00E77B1B">
        <w:rPr>
          <w:iCs/>
        </w:rPr>
        <w:t>2nd Edition, (London:</w:t>
      </w:r>
      <w:r w:rsidRPr="00E77B1B">
        <w:t xml:space="preserve"> Routledge, 2010)</w:t>
      </w:r>
      <w:r w:rsidRPr="00E77B1B">
        <w:rPr>
          <w:rFonts w:ascii="Calibri" w:hAnsi="Calibri" w:cs="Times New Roman"/>
        </w:rPr>
        <w:t>, p</w:t>
      </w:r>
      <w:r w:rsidR="00611B70">
        <w:rPr>
          <w:rFonts w:ascii="Calibri" w:hAnsi="Calibri" w:cs="Times New Roman"/>
        </w:rPr>
        <w:t>p</w:t>
      </w:r>
      <w:r w:rsidRPr="00E77B1B">
        <w:rPr>
          <w:rFonts w:ascii="Calibri" w:hAnsi="Calibri" w:cs="Times New Roman"/>
        </w:rPr>
        <w:t>. 87</w:t>
      </w:r>
    </w:p>
  </w:footnote>
  <w:footnote w:id="90">
    <w:p w14:paraId="1F89C04D" w14:textId="7BE5CA3C" w:rsidR="00F334B9" w:rsidRPr="00E77B1B" w:rsidRDefault="00F334B9" w:rsidP="007D130B">
      <w:pPr>
        <w:pStyle w:val="FootnoteText"/>
        <w:rPr>
          <w:lang w:eastAsia="en-US"/>
        </w:rPr>
      </w:pPr>
      <w:r w:rsidRPr="00E77B1B">
        <w:rPr>
          <w:rStyle w:val="FootnoteReference"/>
        </w:rPr>
        <w:footnoteRef/>
      </w:r>
      <w:r w:rsidRPr="00E77B1B">
        <w:t xml:space="preserve"> </w:t>
      </w:r>
      <w:r w:rsidRPr="00E77B1B">
        <w:rPr>
          <w:rFonts w:ascii="Calibri" w:hAnsi="Calibri" w:cs="Times New Roman"/>
        </w:rPr>
        <w:t xml:space="preserve">Ollman, </w:t>
      </w:r>
      <w:r w:rsidRPr="00E77B1B">
        <w:rPr>
          <w:rFonts w:ascii="Calibri" w:hAnsi="Calibri" w:cs="Times New Roman"/>
          <w:i/>
          <w:iCs/>
        </w:rPr>
        <w:t>Dialectical Investigations</w:t>
      </w:r>
      <w:r w:rsidR="00611B70">
        <w:rPr>
          <w:rFonts w:ascii="Calibri" w:hAnsi="Calibri" w:cs="Times New Roman"/>
          <w:i/>
          <w:iCs/>
        </w:rPr>
        <w:t xml:space="preserve">, </w:t>
      </w:r>
      <w:r w:rsidR="00611B70">
        <w:rPr>
          <w:rFonts w:ascii="Calibri" w:hAnsi="Calibri" w:cs="Times New Roman"/>
          <w:iCs/>
        </w:rPr>
        <w:t>(London: Routledge)</w:t>
      </w:r>
      <w:r w:rsidRPr="00E77B1B">
        <w:rPr>
          <w:rFonts w:ascii="Calibri" w:hAnsi="Calibri" w:cs="Times New Roman"/>
        </w:rPr>
        <w:t>, p</w:t>
      </w:r>
      <w:r w:rsidR="00611B70">
        <w:rPr>
          <w:rFonts w:ascii="Calibri" w:hAnsi="Calibri" w:cs="Times New Roman"/>
        </w:rPr>
        <w:t>p</w:t>
      </w:r>
      <w:r w:rsidRPr="00E77B1B">
        <w:rPr>
          <w:rFonts w:ascii="Calibri" w:hAnsi="Calibri" w:cs="Times New Roman"/>
        </w:rPr>
        <w:t>. 39–78</w:t>
      </w:r>
    </w:p>
  </w:footnote>
  <w:footnote w:id="91">
    <w:p w14:paraId="02A2FF2D" w14:textId="2965209C" w:rsidR="00F334B9" w:rsidRPr="00E77B1B" w:rsidRDefault="00F334B9" w:rsidP="007D130B">
      <w:pPr>
        <w:pStyle w:val="Bibliography"/>
        <w:spacing w:after="0" w:line="240" w:lineRule="auto"/>
        <w:ind w:hanging="11"/>
        <w:rPr>
          <w:sz w:val="20"/>
          <w:szCs w:val="20"/>
        </w:rPr>
      </w:pPr>
      <w:r w:rsidRPr="00E77B1B">
        <w:rPr>
          <w:rStyle w:val="FootnoteReference"/>
          <w:sz w:val="20"/>
          <w:szCs w:val="20"/>
        </w:rPr>
        <w:footnoteRef/>
      </w:r>
      <w:r w:rsidRPr="00E77B1B">
        <w:rPr>
          <w:sz w:val="20"/>
          <w:szCs w:val="20"/>
        </w:rPr>
        <w:t xml:space="preserve"> </w:t>
      </w:r>
      <w:r>
        <w:rPr>
          <w:sz w:val="20"/>
          <w:szCs w:val="20"/>
        </w:rPr>
        <w:t>See</w:t>
      </w:r>
      <w:r w:rsidRPr="00E77B1B">
        <w:rPr>
          <w:sz w:val="20"/>
          <w:szCs w:val="20"/>
        </w:rPr>
        <w:t xml:space="preserve"> the debate in </w:t>
      </w:r>
      <w:r w:rsidRPr="00E77B1B">
        <w:rPr>
          <w:i/>
          <w:sz w:val="20"/>
          <w:szCs w:val="20"/>
        </w:rPr>
        <w:t xml:space="preserve">Feminist Economics </w:t>
      </w:r>
      <w:r w:rsidRPr="00E77B1B">
        <w:rPr>
          <w:sz w:val="20"/>
          <w:szCs w:val="20"/>
        </w:rPr>
        <w:t xml:space="preserve">vol. 5 (1999, No. 2/3) and vol. 9 (2003, No.1). </w:t>
      </w:r>
      <w:r>
        <w:rPr>
          <w:sz w:val="20"/>
          <w:szCs w:val="20"/>
        </w:rPr>
        <w:t>On</w:t>
      </w:r>
      <w:r w:rsidRPr="00E77B1B">
        <w:rPr>
          <w:sz w:val="20"/>
          <w:szCs w:val="20"/>
        </w:rPr>
        <w:t xml:space="preserve"> new materialism</w:t>
      </w:r>
      <w:r>
        <w:rPr>
          <w:sz w:val="20"/>
          <w:szCs w:val="20"/>
        </w:rPr>
        <w:t xml:space="preserve">, </w:t>
      </w:r>
      <w:r w:rsidRPr="00E77B1B">
        <w:rPr>
          <w:sz w:val="20"/>
          <w:szCs w:val="20"/>
        </w:rPr>
        <w:fldChar w:fldCharType="begin"/>
      </w:r>
      <w:r>
        <w:rPr>
          <w:sz w:val="20"/>
          <w:szCs w:val="20"/>
        </w:rPr>
        <w:instrText xml:space="preserve"> ADDIN ZOTERO_ITEM CSL_CITATION {"citationID":"xsWxSzko","properties":{"formattedCitation":"{\\rtf Michiel van Ingen, \\uc0\\u8216{}Beyond The Nature/Culture Divide? The Contradictions of Rosi Braidotti\\uc0\\u8217{}s {\\i{}The Posthuman}\\uc0\\u8217{}, {\\i{}Journal of Critical Realism} 15, no. 5 (19 October 2016): 530\\uc0\\u8211{}42, https://doi.org/10.1080/14767430.2016.1211371.}","plainCitation":"Michiel van Ingen, ‘Beyond The Nature/Culture Divide? The Contradictions of Rosi Braidotti’s The Posthuman’, Journal of Critical Realism 15, no. 5 (19 October 2016): 530–42, https://doi.org/10.1080/14767430.2016.1211371."},"citationItems":[{"id":528,"uris":["http://zotero.org/users/4207534/items/XC7JIZWA"],"uri":["http://zotero.org/users/4207534/items/XC7JIZWA"],"itemData":{"id":528,"type":"article-journal","title":"Beyond The Nature/Culture Divide? The Contradictions of Rosi Braidotti's &lt;i&gt;The Posthuman&lt;/i&gt;","container-title":"Journal of Critical Realism","page":"530-542","volume":"15","issue":"5","source":"CrossRef","DOI":"10.1080/14767430.2016.1211371","ISSN":"1476-7430, 1572-5138","shortTitle":"Beyond The Nature/Culture Divide?","language":"en","author":[{"family":"Ingen","given":"Michiel","non-dropping-particle":"van"}],"issued":{"date-parts":[["2016",10,19]]}}}],"schema":"https://github.com/citation-style-language/schema/raw/master/csl-citation.json"} </w:instrText>
      </w:r>
      <w:r w:rsidRPr="00E77B1B">
        <w:rPr>
          <w:sz w:val="20"/>
          <w:szCs w:val="20"/>
        </w:rPr>
        <w:fldChar w:fldCharType="separate"/>
      </w:r>
      <w:r w:rsidRPr="000353A2">
        <w:rPr>
          <w:rFonts w:ascii="Calibri" w:hAnsi="Calibri" w:cs="Times New Roman"/>
          <w:sz w:val="20"/>
          <w:szCs w:val="24"/>
        </w:rPr>
        <w:t xml:space="preserve">Michiel van Ingen, ‘Beyond The Nature/Culture Divide? The Contradictions of Rosi Braidotti’s </w:t>
      </w:r>
      <w:r w:rsidRPr="000353A2">
        <w:rPr>
          <w:rFonts w:ascii="Calibri" w:hAnsi="Calibri" w:cs="Times New Roman"/>
          <w:i/>
          <w:iCs/>
          <w:sz w:val="20"/>
          <w:szCs w:val="24"/>
        </w:rPr>
        <w:t>The Posthuman</w:t>
      </w:r>
      <w:r w:rsidRPr="000353A2">
        <w:rPr>
          <w:rFonts w:ascii="Calibri" w:hAnsi="Calibri" w:cs="Times New Roman"/>
          <w:sz w:val="20"/>
          <w:szCs w:val="24"/>
        </w:rPr>
        <w:t xml:space="preserve">’, </w:t>
      </w:r>
      <w:r w:rsidRPr="000353A2">
        <w:rPr>
          <w:rFonts w:ascii="Calibri" w:hAnsi="Calibri" w:cs="Times New Roman"/>
          <w:i/>
          <w:iCs/>
          <w:sz w:val="20"/>
          <w:szCs w:val="24"/>
        </w:rPr>
        <w:t>Journal of Critical Realism</w:t>
      </w:r>
      <w:r w:rsidR="00611B70">
        <w:rPr>
          <w:rFonts w:ascii="Calibri" w:hAnsi="Calibri" w:cs="Times New Roman"/>
          <w:iCs/>
          <w:sz w:val="20"/>
          <w:szCs w:val="24"/>
        </w:rPr>
        <w:t>,</w:t>
      </w:r>
      <w:r w:rsidRPr="000353A2">
        <w:rPr>
          <w:rFonts w:ascii="Calibri" w:hAnsi="Calibri" w:cs="Times New Roman"/>
          <w:sz w:val="20"/>
          <w:szCs w:val="24"/>
        </w:rPr>
        <w:t xml:space="preserve"> 15</w:t>
      </w:r>
      <w:r w:rsidR="00611B70">
        <w:rPr>
          <w:rFonts w:ascii="Calibri" w:hAnsi="Calibri" w:cs="Times New Roman"/>
          <w:sz w:val="20"/>
          <w:szCs w:val="24"/>
        </w:rPr>
        <w:t xml:space="preserve">:5 (2016), pp. </w:t>
      </w:r>
      <w:r>
        <w:rPr>
          <w:rFonts w:ascii="Calibri" w:hAnsi="Calibri" w:cs="Times New Roman"/>
          <w:sz w:val="20"/>
          <w:szCs w:val="24"/>
        </w:rPr>
        <w:t>530–42</w:t>
      </w:r>
      <w:r w:rsidRPr="00E77B1B">
        <w:rPr>
          <w:sz w:val="20"/>
          <w:szCs w:val="20"/>
        </w:rPr>
        <w:fldChar w:fldCharType="end"/>
      </w:r>
    </w:p>
  </w:footnote>
  <w:footnote w:id="92">
    <w:p w14:paraId="4224137A" w14:textId="27A0C336" w:rsidR="00F334B9" w:rsidRDefault="00F334B9" w:rsidP="007D130B">
      <w:pPr>
        <w:pStyle w:val="FootnoteText"/>
      </w:pPr>
      <w:r>
        <w:rPr>
          <w:rStyle w:val="FootnoteReference"/>
        </w:rPr>
        <w:footnoteRef/>
      </w:r>
      <w:r>
        <w:t xml:space="preserve"> </w:t>
      </w:r>
      <w:r w:rsidRPr="00A4724A">
        <w:rPr>
          <w:rFonts w:ascii="Calibri" w:hAnsi="Calibri" w:cs="Times New Roman"/>
          <w:szCs w:val="24"/>
        </w:rPr>
        <w:t>Mitchell, “Only Human?”</w:t>
      </w:r>
      <w:r>
        <w:rPr>
          <w:rFonts w:ascii="Calibri" w:hAnsi="Calibri" w:cs="Times New Roman"/>
          <w:szCs w:val="24"/>
        </w:rPr>
        <w:t>, p</w:t>
      </w:r>
      <w:r w:rsidR="00611B70">
        <w:rPr>
          <w:rFonts w:ascii="Calibri" w:hAnsi="Calibri" w:cs="Times New Roman"/>
          <w:szCs w:val="24"/>
        </w:rPr>
        <w:t>p</w:t>
      </w:r>
      <w:r>
        <w:rPr>
          <w:rFonts w:ascii="Calibri" w:hAnsi="Calibri" w:cs="Times New Roman"/>
          <w:szCs w:val="24"/>
        </w:rPr>
        <w:t>.</w:t>
      </w:r>
      <w:r w:rsidRPr="00A4724A">
        <w:rPr>
          <w:rFonts w:ascii="Calibri" w:hAnsi="Calibri" w:cs="Times New Roman"/>
          <w:szCs w:val="24"/>
        </w:rPr>
        <w:t xml:space="preserve"> 11</w:t>
      </w:r>
    </w:p>
  </w:footnote>
  <w:footnote w:id="93">
    <w:p w14:paraId="7D0BF6A7" w14:textId="752330FD" w:rsidR="00F334B9" w:rsidRDefault="00F334B9" w:rsidP="007D130B">
      <w:pPr>
        <w:pStyle w:val="FootnoteText"/>
      </w:pPr>
      <w:r>
        <w:rPr>
          <w:rStyle w:val="FootnoteReference"/>
        </w:rPr>
        <w:footnoteRef/>
      </w:r>
      <w:r>
        <w:t xml:space="preserve"> </w:t>
      </w:r>
      <w:r w:rsidRPr="00E77B1B">
        <w:t xml:space="preserve">Andrew Brown, Gary Slater and David A. Spencer, “Driven to Abstraction? Critical Realism and the Search for the ‘inner Connection’ of Social Phenomena”, </w:t>
      </w:r>
      <w:r w:rsidRPr="00E77B1B">
        <w:rPr>
          <w:i/>
          <w:iCs/>
        </w:rPr>
        <w:t>Cambridge Journal of Economics,</w:t>
      </w:r>
      <w:r w:rsidRPr="00E77B1B">
        <w:t xml:space="preserve"> 26:6 (2002)</w:t>
      </w:r>
      <w:r>
        <w:t xml:space="preserve">, </w:t>
      </w:r>
      <w:r w:rsidRPr="00E77B1B">
        <w:t>pp.773–88</w:t>
      </w:r>
    </w:p>
  </w:footnote>
  <w:footnote w:id="94">
    <w:p w14:paraId="4F025283" w14:textId="77777777" w:rsidR="00F334B9" w:rsidRDefault="00F334B9" w:rsidP="007D130B">
      <w:pPr>
        <w:pStyle w:val="FootnoteText"/>
      </w:pPr>
      <w:r>
        <w:rPr>
          <w:rStyle w:val="FootnoteReference"/>
        </w:rPr>
        <w:footnoteRef/>
      </w:r>
      <w:r>
        <w:t xml:space="preserve"> </w:t>
      </w:r>
      <w:r w:rsidRPr="009E4B32">
        <w:rPr>
          <w:rFonts w:ascii="Calibri" w:hAnsi="Calibri" w:cs="Times New Roman"/>
          <w:szCs w:val="24"/>
        </w:rPr>
        <w:t>Mitchell, “Thinking without the ‘circle’”</w:t>
      </w:r>
    </w:p>
  </w:footnote>
  <w:footnote w:id="95">
    <w:p w14:paraId="3731CB7E" w14:textId="5D6DAD7B" w:rsidR="00F334B9" w:rsidRDefault="00F334B9" w:rsidP="007D130B">
      <w:pPr>
        <w:pStyle w:val="FootnoteText"/>
      </w:pPr>
      <w:r w:rsidRPr="00DB14E3">
        <w:rPr>
          <w:rStyle w:val="FootnoteReference"/>
        </w:rPr>
        <w:footnoteRef/>
      </w:r>
      <w:r>
        <w:t xml:space="preserve"> </w:t>
      </w:r>
      <w:r w:rsidRPr="000C2D97">
        <w:rPr>
          <w:rFonts w:ascii="Calibri" w:hAnsi="Calibri" w:cs="Times New Roman"/>
          <w:szCs w:val="24"/>
        </w:rPr>
        <w:t xml:space="preserve">Collier, </w:t>
      </w:r>
      <w:r w:rsidRPr="000C2D97">
        <w:rPr>
          <w:rFonts w:ascii="Calibri" w:hAnsi="Calibri" w:cs="Times New Roman"/>
          <w:i/>
          <w:iCs/>
          <w:szCs w:val="24"/>
        </w:rPr>
        <w:t>Critical Realism</w:t>
      </w:r>
      <w:r w:rsidRPr="000C2D97">
        <w:rPr>
          <w:rFonts w:ascii="Calibri" w:hAnsi="Calibri" w:cs="Times New Roman"/>
          <w:szCs w:val="24"/>
        </w:rPr>
        <w:t xml:space="preserve">, </w:t>
      </w:r>
      <w:r>
        <w:rPr>
          <w:rFonts w:ascii="Calibri" w:hAnsi="Calibri" w:cs="Times New Roman"/>
          <w:szCs w:val="24"/>
        </w:rPr>
        <w:t>p</w:t>
      </w:r>
      <w:r w:rsidR="00611B70">
        <w:rPr>
          <w:rFonts w:ascii="Calibri" w:hAnsi="Calibri" w:cs="Times New Roman"/>
          <w:szCs w:val="24"/>
        </w:rPr>
        <w:t>p</w:t>
      </w:r>
      <w:r>
        <w:rPr>
          <w:rFonts w:ascii="Calibri" w:hAnsi="Calibri" w:cs="Times New Roman"/>
          <w:szCs w:val="24"/>
        </w:rPr>
        <w:t xml:space="preserve">. </w:t>
      </w:r>
      <w:r w:rsidRPr="000C2D97">
        <w:rPr>
          <w:rFonts w:ascii="Calibri" w:hAnsi="Calibri" w:cs="Times New Roman"/>
          <w:szCs w:val="24"/>
        </w:rPr>
        <w:t>54</w:t>
      </w:r>
    </w:p>
  </w:footnote>
  <w:footnote w:id="96">
    <w:p w14:paraId="4204D848" w14:textId="53A530BB" w:rsidR="00240375" w:rsidRDefault="00240375" w:rsidP="00240375">
      <w:pPr>
        <w:pStyle w:val="FootnoteText"/>
      </w:pPr>
      <w:r>
        <w:rPr>
          <w:rStyle w:val="FootnoteReference"/>
        </w:rPr>
        <w:footnoteRef/>
      </w:r>
      <w:r>
        <w:t xml:space="preserve"> </w:t>
      </w:r>
      <w:r>
        <w:fldChar w:fldCharType="begin"/>
      </w:r>
      <w:r>
        <w:instrText xml:space="preserve"> ADDIN ZOTERO_ITEM CSL_CITATION {"citationID":"HVZEOIEk","properties":{"formattedCitation":"{\\rtf Margaret Archer, {\\i{}The Reflexive Imperative in Late Modernity} (Cambridge University Press, 2012).}","plainCitation":"Margaret Archer, The Reflexive Imperative in Late Modernity (Cambridge University Press, 2012)."},"citationItems":[{"id":1172,"uris":["http://zotero.org/users/4207534/items/SIUE6B3L"],"uri":["http://zotero.org/users/4207534/items/SIUE6B3L"],"itemData":{"id":1172,"type":"book","title":"The Reflexive Imperative in Late Modernity","publisher":"Cambridge University Press","author":[{"family":"Archer","given":"Margaret"}],"issued":{"date-parts":[["2012"]]}}}],"schema":"https://github.com/citation-style-language/schema/raw/master/csl-citation.json"} </w:instrText>
      </w:r>
      <w:r>
        <w:fldChar w:fldCharType="separate"/>
      </w:r>
      <w:r w:rsidRPr="000353A2">
        <w:rPr>
          <w:rFonts w:ascii="Calibri" w:hAnsi="Calibri" w:cs="Times New Roman"/>
          <w:szCs w:val="24"/>
        </w:rPr>
        <w:t xml:space="preserve">Margaret Archer, </w:t>
      </w:r>
      <w:r w:rsidRPr="000353A2">
        <w:rPr>
          <w:rFonts w:ascii="Calibri" w:hAnsi="Calibri" w:cs="Times New Roman"/>
          <w:i/>
          <w:iCs/>
          <w:szCs w:val="24"/>
        </w:rPr>
        <w:t>The Reflexive Imperative in Late Modernity</w:t>
      </w:r>
      <w:r w:rsidRPr="000353A2">
        <w:rPr>
          <w:rFonts w:ascii="Calibri" w:hAnsi="Calibri" w:cs="Times New Roman"/>
          <w:szCs w:val="24"/>
        </w:rPr>
        <w:t xml:space="preserve"> (</w:t>
      </w:r>
      <w:r w:rsidR="00611B70">
        <w:rPr>
          <w:rFonts w:ascii="Calibri" w:hAnsi="Calibri" w:cs="Times New Roman"/>
          <w:szCs w:val="24"/>
        </w:rPr>
        <w:t xml:space="preserve">Cambridge: </w:t>
      </w:r>
      <w:r w:rsidRPr="000353A2">
        <w:rPr>
          <w:rFonts w:ascii="Calibri" w:hAnsi="Calibri" w:cs="Times New Roman"/>
          <w:szCs w:val="24"/>
        </w:rPr>
        <w:t>Cambridge University Press, 2012).</w:t>
      </w:r>
      <w:r>
        <w:fldChar w:fldCharType="end"/>
      </w:r>
    </w:p>
  </w:footnote>
  <w:footnote w:id="97">
    <w:p w14:paraId="5F7FC6F9" w14:textId="03E82D85" w:rsidR="002C0DA9" w:rsidRDefault="002C0DA9">
      <w:pPr>
        <w:pStyle w:val="FootnoteText"/>
      </w:pPr>
      <w:r>
        <w:rPr>
          <w:rStyle w:val="FootnoteReference"/>
        </w:rPr>
        <w:footnoteRef/>
      </w:r>
      <w:r>
        <w:t xml:space="preserve"> Beardsworth, ‘The Future of Critical Philosophy’, pp. 223</w:t>
      </w:r>
    </w:p>
  </w:footnote>
  <w:footnote w:id="98">
    <w:p w14:paraId="521809E7" w14:textId="77777777" w:rsidR="00F46FAE" w:rsidRDefault="00F46FAE" w:rsidP="00F46FAE">
      <w:pPr>
        <w:pStyle w:val="FootnoteText"/>
      </w:pPr>
      <w:r w:rsidRPr="00DB14E3">
        <w:rPr>
          <w:rStyle w:val="FootnoteReference"/>
        </w:rPr>
        <w:footnoteRef/>
      </w:r>
      <w:r>
        <w:t xml:space="preserve"> Mervyn Hartwig, “‘Orthodox’ Critical Realism and the Critical Realist Embrace”, </w:t>
      </w:r>
      <w:r>
        <w:rPr>
          <w:i/>
        </w:rPr>
        <w:t xml:space="preserve">Journal of Critical Realism, </w:t>
      </w:r>
      <w:r>
        <w:t>8:2 (2009), pp. 233-257</w:t>
      </w:r>
    </w:p>
  </w:footnote>
  <w:footnote w:id="99">
    <w:p w14:paraId="369CC21D" w14:textId="77777777" w:rsidR="00F334B9" w:rsidRDefault="00F334B9" w:rsidP="007D130B">
      <w:pPr>
        <w:pStyle w:val="FootnoteText"/>
      </w:pPr>
      <w:r>
        <w:rPr>
          <w:rStyle w:val="FootnoteReference"/>
        </w:rPr>
        <w:footnoteRef/>
      </w:r>
      <w:r>
        <w:t xml:space="preserve"> Beardsworth, “Towards a Critical Concept of the Statesperson” pp. 112</w:t>
      </w:r>
    </w:p>
  </w:footnote>
  <w:footnote w:id="100">
    <w:p w14:paraId="36CFB1FF" w14:textId="1E55F5FB" w:rsidR="00F334B9" w:rsidRDefault="00F334B9" w:rsidP="007D130B">
      <w:pPr>
        <w:pStyle w:val="FootnoteText"/>
      </w:pPr>
      <w:r w:rsidRPr="00DB14E3">
        <w:rPr>
          <w:rStyle w:val="FootnoteReference"/>
        </w:rPr>
        <w:footnoteRef/>
      </w:r>
      <w:r>
        <w:t xml:space="preserve"> </w:t>
      </w:r>
      <w:r w:rsidRPr="009E4B32">
        <w:rPr>
          <w:rFonts w:ascii="Calibri" w:hAnsi="Calibri" w:cs="Times New Roman"/>
          <w:szCs w:val="24"/>
        </w:rPr>
        <w:t>Harding, “Rethinking Standpoint Epistemology”</w:t>
      </w:r>
      <w:r>
        <w:rPr>
          <w:rFonts w:ascii="Calibri" w:hAnsi="Calibri" w:cs="Times New Roman"/>
          <w:szCs w:val="24"/>
        </w:rPr>
        <w:t xml:space="preserve"> p</w:t>
      </w:r>
      <w:r w:rsidR="007A187B">
        <w:rPr>
          <w:rFonts w:ascii="Calibri" w:hAnsi="Calibri" w:cs="Times New Roman"/>
          <w:szCs w:val="24"/>
        </w:rPr>
        <w:t>p</w:t>
      </w:r>
      <w:r>
        <w:rPr>
          <w:rFonts w:ascii="Calibri" w:hAnsi="Calibri" w:cs="Times New Roman"/>
          <w:szCs w:val="24"/>
        </w:rPr>
        <w:t>.</w:t>
      </w:r>
      <w:r w:rsidRPr="009E4B32">
        <w:rPr>
          <w:rFonts w:ascii="Calibri" w:hAnsi="Calibri" w:cs="Times New Roman"/>
          <w:szCs w:val="24"/>
        </w:rPr>
        <w:t xml:space="preserve"> 438</w:t>
      </w:r>
    </w:p>
  </w:footnote>
  <w:footnote w:id="101">
    <w:p w14:paraId="58EC46D9" w14:textId="5FA620F5" w:rsidR="00F334B9" w:rsidRDefault="00F334B9" w:rsidP="007D130B">
      <w:pPr>
        <w:pStyle w:val="FootnoteText"/>
      </w:pPr>
      <w:r>
        <w:rPr>
          <w:rStyle w:val="FootnoteReference"/>
        </w:rPr>
        <w:footnoteRef/>
      </w:r>
      <w:r>
        <w:t xml:space="preserve"> </w:t>
      </w:r>
      <w:r w:rsidRPr="000C2D97">
        <w:rPr>
          <w:rFonts w:ascii="Calibri" w:hAnsi="Calibri" w:cs="Times New Roman"/>
          <w:szCs w:val="24"/>
        </w:rPr>
        <w:t xml:space="preserve">Collier, </w:t>
      </w:r>
      <w:r w:rsidRPr="000C2D97">
        <w:rPr>
          <w:rFonts w:ascii="Calibri" w:hAnsi="Calibri" w:cs="Times New Roman"/>
          <w:i/>
          <w:iCs/>
          <w:szCs w:val="24"/>
        </w:rPr>
        <w:t>Critical Realism</w:t>
      </w:r>
      <w:r w:rsidRPr="000C2D97">
        <w:rPr>
          <w:rFonts w:ascii="Calibri" w:hAnsi="Calibri" w:cs="Times New Roman"/>
          <w:szCs w:val="24"/>
        </w:rPr>
        <w:t>,</w:t>
      </w:r>
      <w:r>
        <w:rPr>
          <w:rFonts w:ascii="Calibri" w:hAnsi="Calibri" w:cs="Times New Roman"/>
          <w:szCs w:val="24"/>
        </w:rPr>
        <w:t xml:space="preserve"> p</w:t>
      </w:r>
      <w:r w:rsidR="00FA345C">
        <w:rPr>
          <w:rFonts w:ascii="Calibri" w:hAnsi="Calibri" w:cs="Times New Roman"/>
          <w:szCs w:val="24"/>
        </w:rPr>
        <w:t>p</w:t>
      </w:r>
      <w:r>
        <w:rPr>
          <w:rFonts w:ascii="Calibri" w:hAnsi="Calibri" w:cs="Times New Roman"/>
          <w:szCs w:val="24"/>
        </w:rPr>
        <w:t>.</w:t>
      </w:r>
      <w:r w:rsidRPr="000C2D97">
        <w:rPr>
          <w:rFonts w:ascii="Calibri" w:hAnsi="Calibri" w:cs="Times New Roman"/>
          <w:szCs w:val="24"/>
        </w:rPr>
        <w:t xml:space="preserve"> 171</w:t>
      </w:r>
    </w:p>
  </w:footnote>
  <w:footnote w:id="102">
    <w:p w14:paraId="7B66CA0C" w14:textId="034B2F80" w:rsidR="00F334B9" w:rsidRDefault="00F334B9" w:rsidP="007D130B">
      <w:pPr>
        <w:pStyle w:val="FootnoteText"/>
      </w:pPr>
      <w:r w:rsidRPr="00DB14E3">
        <w:rPr>
          <w:rStyle w:val="FootnoteReference"/>
        </w:rPr>
        <w:footnoteRef/>
      </w:r>
      <w:r>
        <w:t xml:space="preserve"> Neil Curry, “Critical Realism: Beyond the Marxism/Post-Marxism Divide”, in </w:t>
      </w:r>
      <w:r>
        <w:rPr>
          <w:i/>
          <w:iCs/>
        </w:rPr>
        <w:t xml:space="preserve">Critical Realism and Marxism, </w:t>
      </w:r>
      <w:r>
        <w:t>(London: Routledge, 2002), p</w:t>
      </w:r>
      <w:r w:rsidR="00FA345C">
        <w:t>p</w:t>
      </w:r>
      <w:r>
        <w:t>. 126</w:t>
      </w:r>
    </w:p>
  </w:footnote>
  <w:footnote w:id="103">
    <w:p w14:paraId="34AA316A" w14:textId="7669E277" w:rsidR="00D81DEF" w:rsidRDefault="00D81DEF" w:rsidP="00D81DEF">
      <w:pPr>
        <w:pStyle w:val="FootnoteText"/>
      </w:pPr>
      <w:r>
        <w:rPr>
          <w:rStyle w:val="FootnoteReference"/>
        </w:rPr>
        <w:footnoteRef/>
      </w:r>
      <w:r>
        <w:t xml:space="preserve"> </w:t>
      </w:r>
      <w:r w:rsidRPr="00020B79">
        <w:rPr>
          <w:rFonts w:ascii="Calibri" w:hAnsi="Calibri" w:cs="Times New Roman"/>
          <w:szCs w:val="24"/>
        </w:rPr>
        <w:t xml:space="preserve">Linklater, </w:t>
      </w:r>
      <w:r w:rsidRPr="00020B79">
        <w:rPr>
          <w:rFonts w:ascii="Calibri" w:hAnsi="Calibri" w:cs="Times New Roman"/>
          <w:i/>
          <w:iCs/>
          <w:szCs w:val="24"/>
        </w:rPr>
        <w:t>The Problem of Harm in World Politics</w:t>
      </w:r>
      <w:r w:rsidRPr="00020B79">
        <w:rPr>
          <w:rFonts w:ascii="Calibri" w:hAnsi="Calibri" w:cs="Times New Roman"/>
          <w:szCs w:val="24"/>
        </w:rPr>
        <w:t xml:space="preserve">, </w:t>
      </w:r>
      <w:r>
        <w:rPr>
          <w:rFonts w:ascii="Calibri" w:hAnsi="Calibri" w:cs="Times New Roman"/>
          <w:szCs w:val="24"/>
        </w:rPr>
        <w:t>p</w:t>
      </w:r>
      <w:r w:rsidR="00FA345C">
        <w:rPr>
          <w:rFonts w:ascii="Calibri" w:hAnsi="Calibri" w:cs="Times New Roman"/>
          <w:szCs w:val="24"/>
        </w:rPr>
        <w:t>p</w:t>
      </w:r>
      <w:r>
        <w:rPr>
          <w:rFonts w:ascii="Calibri" w:hAnsi="Calibri" w:cs="Times New Roman"/>
          <w:szCs w:val="24"/>
        </w:rPr>
        <w:t>.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D947" w14:textId="527F360A" w:rsidR="0061241A" w:rsidRDefault="0061241A" w:rsidP="0061241A">
    <w:pPr>
      <w:pStyle w:val="Header"/>
      <w:jc w:val="center"/>
    </w:pPr>
    <w:r>
      <w:t>Draft Paper – Do not cite or circulate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0B"/>
    <w:rsid w:val="000046AF"/>
    <w:rsid w:val="00021710"/>
    <w:rsid w:val="000317F8"/>
    <w:rsid w:val="00037301"/>
    <w:rsid w:val="00060A80"/>
    <w:rsid w:val="00090095"/>
    <w:rsid w:val="000C5839"/>
    <w:rsid w:val="00195326"/>
    <w:rsid w:val="001E4765"/>
    <w:rsid w:val="002002F5"/>
    <w:rsid w:val="00226B8D"/>
    <w:rsid w:val="002369C1"/>
    <w:rsid w:val="00240375"/>
    <w:rsid w:val="00247E86"/>
    <w:rsid w:val="00257D9F"/>
    <w:rsid w:val="002664A0"/>
    <w:rsid w:val="002866C7"/>
    <w:rsid w:val="002C0DA9"/>
    <w:rsid w:val="002E36F2"/>
    <w:rsid w:val="002F0FC4"/>
    <w:rsid w:val="0030627A"/>
    <w:rsid w:val="00392B17"/>
    <w:rsid w:val="003E4E05"/>
    <w:rsid w:val="00413A63"/>
    <w:rsid w:val="0042784E"/>
    <w:rsid w:val="004468C7"/>
    <w:rsid w:val="00452309"/>
    <w:rsid w:val="0048280E"/>
    <w:rsid w:val="004C278F"/>
    <w:rsid w:val="004C3852"/>
    <w:rsid w:val="004E3CA8"/>
    <w:rsid w:val="00547B4E"/>
    <w:rsid w:val="00553C62"/>
    <w:rsid w:val="00554729"/>
    <w:rsid w:val="00555291"/>
    <w:rsid w:val="005C4786"/>
    <w:rsid w:val="00600CCC"/>
    <w:rsid w:val="00605A17"/>
    <w:rsid w:val="00611B70"/>
    <w:rsid w:val="0061241A"/>
    <w:rsid w:val="006169F1"/>
    <w:rsid w:val="006253B7"/>
    <w:rsid w:val="0065059B"/>
    <w:rsid w:val="00662885"/>
    <w:rsid w:val="00670019"/>
    <w:rsid w:val="006863A9"/>
    <w:rsid w:val="00686CDB"/>
    <w:rsid w:val="00692555"/>
    <w:rsid w:val="006A424F"/>
    <w:rsid w:val="006D5C10"/>
    <w:rsid w:val="006E60D5"/>
    <w:rsid w:val="00706B9A"/>
    <w:rsid w:val="00717870"/>
    <w:rsid w:val="0073560C"/>
    <w:rsid w:val="00765F8D"/>
    <w:rsid w:val="007A187B"/>
    <w:rsid w:val="007A3B5D"/>
    <w:rsid w:val="007B1FF6"/>
    <w:rsid w:val="007D130B"/>
    <w:rsid w:val="00806184"/>
    <w:rsid w:val="008112BF"/>
    <w:rsid w:val="00811DED"/>
    <w:rsid w:val="00840AD3"/>
    <w:rsid w:val="00861C9F"/>
    <w:rsid w:val="008C64D0"/>
    <w:rsid w:val="008D6ED2"/>
    <w:rsid w:val="009636D0"/>
    <w:rsid w:val="009B62D8"/>
    <w:rsid w:val="009C0E25"/>
    <w:rsid w:val="009E7AF9"/>
    <w:rsid w:val="00A3584E"/>
    <w:rsid w:val="00A915CB"/>
    <w:rsid w:val="00B64D2F"/>
    <w:rsid w:val="00B75319"/>
    <w:rsid w:val="00B9605F"/>
    <w:rsid w:val="00BB0409"/>
    <w:rsid w:val="00BC4C87"/>
    <w:rsid w:val="00BC4F02"/>
    <w:rsid w:val="00BD2B57"/>
    <w:rsid w:val="00C22A65"/>
    <w:rsid w:val="00C441F7"/>
    <w:rsid w:val="00C57319"/>
    <w:rsid w:val="00C84E52"/>
    <w:rsid w:val="00CD6A3C"/>
    <w:rsid w:val="00CD71DB"/>
    <w:rsid w:val="00CD7EC5"/>
    <w:rsid w:val="00CF0BB6"/>
    <w:rsid w:val="00D05DDB"/>
    <w:rsid w:val="00D81DEF"/>
    <w:rsid w:val="00DA60B9"/>
    <w:rsid w:val="00DC227B"/>
    <w:rsid w:val="00DC23F5"/>
    <w:rsid w:val="00DC6C23"/>
    <w:rsid w:val="00DC7DB4"/>
    <w:rsid w:val="00E20B85"/>
    <w:rsid w:val="00E74901"/>
    <w:rsid w:val="00E86A96"/>
    <w:rsid w:val="00F334B9"/>
    <w:rsid w:val="00F46FAE"/>
    <w:rsid w:val="00F61593"/>
    <w:rsid w:val="00F616DA"/>
    <w:rsid w:val="00FA345C"/>
    <w:rsid w:val="00FD0A32"/>
    <w:rsid w:val="00FD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9182"/>
  <w15:chartTrackingRefBased/>
  <w15:docId w15:val="{0F665DC5-5461-4FB2-9975-18CBBEF5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0B"/>
    <w:pPr>
      <w:spacing w:after="200" w:line="276" w:lineRule="auto"/>
    </w:pPr>
    <w:rPr>
      <w:lang w:eastAsia="en-GB"/>
    </w:rPr>
  </w:style>
  <w:style w:type="paragraph" w:styleId="Heading1">
    <w:name w:val="heading 1"/>
    <w:basedOn w:val="Normal"/>
    <w:next w:val="Normal"/>
    <w:link w:val="Heading1Char"/>
    <w:uiPriority w:val="9"/>
    <w:qFormat/>
    <w:rsid w:val="007D13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17870"/>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30B"/>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717870"/>
    <w:rPr>
      <w:rFonts w:asciiTheme="majorHAnsi" w:eastAsiaTheme="majorEastAsia" w:hAnsiTheme="majorHAnsi" w:cstheme="majorBidi"/>
      <w:b/>
      <w:bCs/>
      <w:szCs w:val="26"/>
      <w:lang w:eastAsia="en-GB"/>
    </w:rPr>
  </w:style>
  <w:style w:type="paragraph" w:styleId="Bibliography">
    <w:name w:val="Bibliography"/>
    <w:basedOn w:val="Normal"/>
    <w:next w:val="Normal"/>
    <w:uiPriority w:val="37"/>
    <w:unhideWhenUsed/>
    <w:rsid w:val="007D130B"/>
  </w:style>
  <w:style w:type="character" w:styleId="FootnoteReference">
    <w:name w:val="footnote reference"/>
    <w:basedOn w:val="DefaultParagraphFont"/>
    <w:uiPriority w:val="99"/>
    <w:semiHidden/>
    <w:unhideWhenUsed/>
    <w:rsid w:val="007D130B"/>
    <w:rPr>
      <w:vertAlign w:val="superscript"/>
    </w:rPr>
  </w:style>
  <w:style w:type="paragraph" w:styleId="FootnoteText">
    <w:name w:val="footnote text"/>
    <w:basedOn w:val="Normal"/>
    <w:link w:val="FootnoteTextChar"/>
    <w:uiPriority w:val="99"/>
    <w:unhideWhenUsed/>
    <w:rsid w:val="007D130B"/>
    <w:pPr>
      <w:spacing w:after="0" w:line="240" w:lineRule="auto"/>
    </w:pPr>
    <w:rPr>
      <w:sz w:val="20"/>
      <w:szCs w:val="20"/>
    </w:rPr>
  </w:style>
  <w:style w:type="character" w:customStyle="1" w:styleId="FootnoteTextChar">
    <w:name w:val="Footnote Text Char"/>
    <w:basedOn w:val="DefaultParagraphFont"/>
    <w:link w:val="FootnoteText"/>
    <w:uiPriority w:val="99"/>
    <w:rsid w:val="007D130B"/>
    <w:rPr>
      <w:sz w:val="20"/>
      <w:szCs w:val="20"/>
      <w:lang w:eastAsia="en-GB"/>
    </w:rPr>
  </w:style>
  <w:style w:type="character" w:customStyle="1" w:styleId="tgc">
    <w:name w:val="_tgc"/>
    <w:basedOn w:val="DefaultParagraphFont"/>
    <w:rsid w:val="007D130B"/>
  </w:style>
  <w:style w:type="character" w:customStyle="1" w:styleId="apple-converted-space">
    <w:name w:val="apple-converted-space"/>
    <w:basedOn w:val="DefaultParagraphFont"/>
    <w:rsid w:val="007D130B"/>
  </w:style>
  <w:style w:type="character" w:styleId="CommentReference">
    <w:name w:val="annotation reference"/>
    <w:basedOn w:val="DefaultParagraphFont"/>
    <w:uiPriority w:val="99"/>
    <w:semiHidden/>
    <w:unhideWhenUsed/>
    <w:rsid w:val="007D130B"/>
    <w:rPr>
      <w:sz w:val="16"/>
      <w:szCs w:val="16"/>
    </w:rPr>
  </w:style>
  <w:style w:type="paragraph" w:styleId="CommentText">
    <w:name w:val="annotation text"/>
    <w:basedOn w:val="Normal"/>
    <w:link w:val="CommentTextChar"/>
    <w:uiPriority w:val="99"/>
    <w:semiHidden/>
    <w:unhideWhenUsed/>
    <w:rsid w:val="007D130B"/>
    <w:pPr>
      <w:spacing w:line="240" w:lineRule="auto"/>
    </w:pPr>
    <w:rPr>
      <w:sz w:val="20"/>
      <w:szCs w:val="20"/>
    </w:rPr>
  </w:style>
  <w:style w:type="character" w:customStyle="1" w:styleId="CommentTextChar">
    <w:name w:val="Comment Text Char"/>
    <w:basedOn w:val="DefaultParagraphFont"/>
    <w:link w:val="CommentText"/>
    <w:uiPriority w:val="99"/>
    <w:semiHidden/>
    <w:rsid w:val="007D130B"/>
    <w:rPr>
      <w:sz w:val="20"/>
      <w:szCs w:val="20"/>
      <w:lang w:eastAsia="en-GB"/>
    </w:rPr>
  </w:style>
  <w:style w:type="paragraph" w:styleId="BalloonText">
    <w:name w:val="Balloon Text"/>
    <w:basedOn w:val="Normal"/>
    <w:link w:val="BalloonTextChar"/>
    <w:uiPriority w:val="99"/>
    <w:semiHidden/>
    <w:unhideWhenUsed/>
    <w:rsid w:val="007D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0B"/>
    <w:rPr>
      <w:rFonts w:ascii="Segoe UI" w:hAnsi="Segoe UI" w:cs="Segoe UI"/>
      <w:sz w:val="18"/>
      <w:szCs w:val="18"/>
      <w:lang w:eastAsia="en-GB"/>
    </w:rPr>
  </w:style>
  <w:style w:type="paragraph" w:styleId="Revision">
    <w:name w:val="Revision"/>
    <w:hidden/>
    <w:uiPriority w:val="99"/>
    <w:semiHidden/>
    <w:rsid w:val="00A915CB"/>
    <w:pPr>
      <w:spacing w:after="0" w:line="240" w:lineRule="auto"/>
    </w:pPr>
    <w:rPr>
      <w:lang w:eastAsia="en-GB"/>
    </w:rPr>
  </w:style>
  <w:style w:type="paragraph" w:styleId="CommentSubject">
    <w:name w:val="annotation subject"/>
    <w:basedOn w:val="CommentText"/>
    <w:next w:val="CommentText"/>
    <w:link w:val="CommentSubjectChar"/>
    <w:uiPriority w:val="99"/>
    <w:semiHidden/>
    <w:unhideWhenUsed/>
    <w:rsid w:val="00A915CB"/>
    <w:rPr>
      <w:b/>
      <w:bCs/>
    </w:rPr>
  </w:style>
  <w:style w:type="character" w:customStyle="1" w:styleId="CommentSubjectChar">
    <w:name w:val="Comment Subject Char"/>
    <w:basedOn w:val="CommentTextChar"/>
    <w:link w:val="CommentSubject"/>
    <w:uiPriority w:val="99"/>
    <w:semiHidden/>
    <w:rsid w:val="00A915CB"/>
    <w:rPr>
      <w:b/>
      <w:bCs/>
      <w:sz w:val="20"/>
      <w:szCs w:val="20"/>
      <w:lang w:eastAsia="en-GB"/>
    </w:rPr>
  </w:style>
  <w:style w:type="paragraph" w:styleId="Header">
    <w:name w:val="header"/>
    <w:basedOn w:val="Normal"/>
    <w:link w:val="HeaderChar"/>
    <w:uiPriority w:val="99"/>
    <w:unhideWhenUsed/>
    <w:rsid w:val="00861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9F"/>
    <w:rPr>
      <w:lang w:eastAsia="en-GB"/>
    </w:rPr>
  </w:style>
  <w:style w:type="paragraph" w:styleId="Footer">
    <w:name w:val="footer"/>
    <w:basedOn w:val="Normal"/>
    <w:link w:val="FooterChar"/>
    <w:uiPriority w:val="99"/>
    <w:unhideWhenUsed/>
    <w:rsid w:val="00861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9F"/>
    <w:rPr>
      <w:lang w:eastAsia="en-GB"/>
    </w:rPr>
  </w:style>
  <w:style w:type="character" w:styleId="Hyperlink">
    <w:name w:val="Hyperlink"/>
    <w:basedOn w:val="DefaultParagraphFont"/>
    <w:uiPriority w:val="99"/>
    <w:unhideWhenUsed/>
    <w:rsid w:val="00031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hoseason@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C250-38E0-4576-80F9-6CF6BC29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10425</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Stork, Leigh</cp:lastModifiedBy>
  <cp:revision>2</cp:revision>
  <dcterms:created xsi:type="dcterms:W3CDTF">2018-04-06T09:00:00Z</dcterms:created>
  <dcterms:modified xsi:type="dcterms:W3CDTF">2018-04-06T09:00:00Z</dcterms:modified>
</cp:coreProperties>
</file>