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435" w:rsidRPr="00892E3D" w:rsidRDefault="00530297" w:rsidP="0087733A">
      <w:pPr>
        <w:pStyle w:val="Header1"/>
        <w:spacing w:line="360" w:lineRule="auto"/>
        <w:rPr>
          <w:sz w:val="32"/>
          <w:szCs w:val="32"/>
        </w:rPr>
      </w:pPr>
      <w:bookmarkStart w:id="0" w:name="_GoBack"/>
      <w:bookmarkEnd w:id="0"/>
      <w:r>
        <w:rPr>
          <w:sz w:val="32"/>
          <w:szCs w:val="32"/>
        </w:rPr>
        <w:t>T</w:t>
      </w:r>
      <w:r w:rsidR="002F5435" w:rsidRPr="00892E3D">
        <w:rPr>
          <w:sz w:val="32"/>
          <w:szCs w:val="32"/>
        </w:rPr>
        <w:t xml:space="preserve">he availability of </w:t>
      </w:r>
      <w:r w:rsidR="00CC1560">
        <w:rPr>
          <w:sz w:val="32"/>
          <w:szCs w:val="32"/>
        </w:rPr>
        <w:t>Proprietary</w:t>
      </w:r>
      <w:r w:rsidR="002F5435" w:rsidRPr="00892E3D">
        <w:rPr>
          <w:sz w:val="32"/>
          <w:szCs w:val="32"/>
        </w:rPr>
        <w:t xml:space="preserve"> </w:t>
      </w:r>
      <w:r w:rsidR="00D804CD">
        <w:rPr>
          <w:sz w:val="32"/>
          <w:szCs w:val="32"/>
        </w:rPr>
        <w:t>Restitution</w:t>
      </w:r>
      <w:r w:rsidR="008F6B1E">
        <w:rPr>
          <w:sz w:val="32"/>
          <w:szCs w:val="32"/>
        </w:rPr>
        <w:t xml:space="preserve"> </w:t>
      </w:r>
      <w:r w:rsidR="002F5435" w:rsidRPr="00892E3D">
        <w:rPr>
          <w:sz w:val="32"/>
          <w:szCs w:val="32"/>
        </w:rPr>
        <w:t xml:space="preserve">in cases of </w:t>
      </w:r>
      <w:r w:rsidR="00450EC7">
        <w:rPr>
          <w:sz w:val="32"/>
          <w:szCs w:val="32"/>
        </w:rPr>
        <w:t>Mistaken</w:t>
      </w:r>
      <w:r w:rsidR="00496F5F" w:rsidRPr="00892E3D">
        <w:rPr>
          <w:sz w:val="32"/>
          <w:szCs w:val="32"/>
        </w:rPr>
        <w:t xml:space="preserve"> </w:t>
      </w:r>
      <w:r w:rsidR="00B635F5">
        <w:rPr>
          <w:sz w:val="32"/>
          <w:szCs w:val="32"/>
        </w:rPr>
        <w:t>Payments</w:t>
      </w:r>
    </w:p>
    <w:p w:rsidR="00850BCC" w:rsidRDefault="00850BCC" w:rsidP="00850BCC">
      <w:pPr>
        <w:autoSpaceDE w:val="0"/>
        <w:autoSpaceDN w:val="0"/>
        <w:adjustRightInd w:val="0"/>
        <w:spacing w:line="360" w:lineRule="auto"/>
        <w:jc w:val="center"/>
      </w:pPr>
      <w:r>
        <w:t>DAVID SALMONS</w:t>
      </w:r>
      <w:r>
        <w:rPr>
          <w:rStyle w:val="FootnoteReference"/>
        </w:rPr>
        <w:footnoteReference w:customMarkFollows="1" w:id="1"/>
        <w:t>*</w:t>
      </w:r>
    </w:p>
    <w:p w:rsidR="003F7CDB" w:rsidRPr="00BF28ED" w:rsidRDefault="003F7CDB" w:rsidP="0087733A">
      <w:pPr>
        <w:autoSpaceDE w:val="0"/>
        <w:autoSpaceDN w:val="0"/>
        <w:adjustRightInd w:val="0"/>
        <w:spacing w:line="360" w:lineRule="auto"/>
        <w:jc w:val="both"/>
      </w:pPr>
    </w:p>
    <w:p w:rsidR="009612C5" w:rsidRPr="00D36F0D" w:rsidRDefault="00850BCC" w:rsidP="00C937DB">
      <w:pPr>
        <w:autoSpaceDE w:val="0"/>
        <w:autoSpaceDN w:val="0"/>
        <w:adjustRightInd w:val="0"/>
        <w:spacing w:line="360" w:lineRule="auto"/>
        <w:jc w:val="both"/>
        <w:rPr>
          <w:rFonts w:eastAsia="Calibri"/>
          <w:i/>
        </w:rPr>
      </w:pPr>
      <w:r>
        <w:t xml:space="preserve">ABSTRACT: </w:t>
      </w:r>
      <w:r w:rsidR="00325E03" w:rsidRPr="00D36F0D">
        <w:rPr>
          <w:i/>
        </w:rPr>
        <w:t xml:space="preserve">This </w:t>
      </w:r>
      <w:r w:rsidR="00937AF4">
        <w:rPr>
          <w:i/>
        </w:rPr>
        <w:t xml:space="preserve">article </w:t>
      </w:r>
      <w:r w:rsidR="00325E03" w:rsidRPr="00D36F0D">
        <w:rPr>
          <w:rFonts w:eastAsia="Calibri"/>
          <w:i/>
        </w:rPr>
        <w:t xml:space="preserve">is concerned with the availability of </w:t>
      </w:r>
      <w:r w:rsidR="00F86873">
        <w:rPr>
          <w:rFonts w:eastAsia="Calibri"/>
          <w:i/>
        </w:rPr>
        <w:t>“</w:t>
      </w:r>
      <w:r w:rsidR="00283E18">
        <w:rPr>
          <w:rFonts w:eastAsia="Calibri"/>
          <w:i/>
        </w:rPr>
        <w:t xml:space="preserve">proprietary </w:t>
      </w:r>
      <w:r w:rsidR="00D804CD">
        <w:rPr>
          <w:rFonts w:eastAsia="Calibri"/>
          <w:i/>
        </w:rPr>
        <w:t>restitution</w:t>
      </w:r>
      <w:r w:rsidR="00F86873">
        <w:rPr>
          <w:rFonts w:eastAsia="Calibri"/>
          <w:i/>
        </w:rPr>
        <w:t>”</w:t>
      </w:r>
      <w:r w:rsidR="00283E18">
        <w:rPr>
          <w:rFonts w:eastAsia="Calibri"/>
          <w:i/>
        </w:rPr>
        <w:t xml:space="preserve"> </w:t>
      </w:r>
      <w:r w:rsidR="00325E03" w:rsidRPr="00D36F0D">
        <w:rPr>
          <w:rFonts w:eastAsia="Calibri"/>
          <w:i/>
        </w:rPr>
        <w:t xml:space="preserve">in cases of </w:t>
      </w:r>
      <w:r w:rsidR="002049D7">
        <w:rPr>
          <w:rFonts w:eastAsia="Calibri"/>
          <w:i/>
        </w:rPr>
        <w:t>mistaken payments. I</w:t>
      </w:r>
      <w:r w:rsidR="00325E03" w:rsidRPr="00D36F0D">
        <w:rPr>
          <w:rFonts w:eastAsia="Calibri"/>
          <w:i/>
        </w:rPr>
        <w:t xml:space="preserve">t is argued </w:t>
      </w:r>
      <w:r w:rsidR="002049D7">
        <w:rPr>
          <w:rFonts w:eastAsia="Calibri"/>
          <w:i/>
        </w:rPr>
        <w:t xml:space="preserve">that </w:t>
      </w:r>
      <w:r w:rsidR="003424F5">
        <w:rPr>
          <w:rFonts w:eastAsia="Calibri"/>
          <w:i/>
        </w:rPr>
        <w:t xml:space="preserve">the </w:t>
      </w:r>
      <w:r w:rsidR="00450EC7">
        <w:rPr>
          <w:rFonts w:eastAsia="Calibri"/>
          <w:i/>
        </w:rPr>
        <w:t xml:space="preserve">mistake of the claimant </w:t>
      </w:r>
      <w:r w:rsidR="002049D7">
        <w:rPr>
          <w:rFonts w:eastAsia="Calibri"/>
          <w:i/>
        </w:rPr>
        <w:t xml:space="preserve">is an insufficient justification for </w:t>
      </w:r>
      <w:r w:rsidR="00D804CD" w:rsidRPr="00D804CD">
        <w:rPr>
          <w:rStyle w:val="hit"/>
          <w:i/>
        </w:rPr>
        <w:t>proprietary restitution</w:t>
      </w:r>
      <w:r w:rsidR="00204119">
        <w:rPr>
          <w:rStyle w:val="hit"/>
          <w:i/>
        </w:rPr>
        <w:t>,</w:t>
      </w:r>
      <w:r w:rsidR="002049D7">
        <w:rPr>
          <w:rFonts w:eastAsia="Calibri"/>
          <w:i/>
        </w:rPr>
        <w:t xml:space="preserve"> however a close analysis of the case law demonstrates </w:t>
      </w:r>
      <w:r w:rsidR="00325E03" w:rsidRPr="00D36F0D">
        <w:rPr>
          <w:rFonts w:eastAsia="Calibri"/>
          <w:i/>
        </w:rPr>
        <w:t xml:space="preserve">that </w:t>
      </w:r>
      <w:r w:rsidR="00861FAE">
        <w:rPr>
          <w:rFonts w:eastAsia="Calibri"/>
          <w:i/>
        </w:rPr>
        <w:t>th</w:t>
      </w:r>
      <w:r w:rsidR="009612C5">
        <w:rPr>
          <w:rFonts w:eastAsia="Calibri"/>
          <w:i/>
        </w:rPr>
        <w:t xml:space="preserve">e presence of additional factors can justify the availability of </w:t>
      </w:r>
      <w:r w:rsidR="00861FAE">
        <w:rPr>
          <w:rFonts w:eastAsia="Calibri"/>
          <w:i/>
        </w:rPr>
        <w:t>proprietary res</w:t>
      </w:r>
      <w:r w:rsidR="00D804CD">
        <w:rPr>
          <w:rFonts w:eastAsia="Calibri"/>
          <w:i/>
        </w:rPr>
        <w:t>titution</w:t>
      </w:r>
      <w:r w:rsidR="00861FAE">
        <w:rPr>
          <w:rFonts w:eastAsia="Calibri"/>
          <w:i/>
        </w:rPr>
        <w:t xml:space="preserve"> in </w:t>
      </w:r>
      <w:r w:rsidR="0099002B">
        <w:rPr>
          <w:rFonts w:eastAsia="Calibri"/>
          <w:i/>
        </w:rPr>
        <w:t xml:space="preserve">specific </w:t>
      </w:r>
      <w:r w:rsidR="00540C43">
        <w:rPr>
          <w:rFonts w:eastAsia="Calibri"/>
          <w:i/>
        </w:rPr>
        <w:t>circumstances</w:t>
      </w:r>
      <w:r w:rsidR="00861FAE">
        <w:rPr>
          <w:rFonts w:eastAsia="Calibri"/>
          <w:i/>
        </w:rPr>
        <w:t xml:space="preserve">. </w:t>
      </w:r>
      <w:r w:rsidR="003C61E9">
        <w:rPr>
          <w:rFonts w:eastAsia="Calibri"/>
          <w:i/>
        </w:rPr>
        <w:t>The basis of</w:t>
      </w:r>
      <w:r w:rsidR="009612C5">
        <w:rPr>
          <w:rFonts w:eastAsia="Calibri"/>
          <w:i/>
        </w:rPr>
        <w:t xml:space="preserve"> proprietary res</w:t>
      </w:r>
      <w:r w:rsidR="00D804CD">
        <w:rPr>
          <w:rFonts w:eastAsia="Calibri"/>
          <w:i/>
        </w:rPr>
        <w:t>titution</w:t>
      </w:r>
      <w:r w:rsidR="009612C5">
        <w:rPr>
          <w:rFonts w:eastAsia="Calibri"/>
          <w:i/>
        </w:rPr>
        <w:t xml:space="preserve"> is to be found in the breach of a duty which</w:t>
      </w:r>
      <w:r w:rsidR="008E5787">
        <w:rPr>
          <w:rFonts w:eastAsia="Calibri"/>
          <w:i/>
        </w:rPr>
        <w:t xml:space="preserve"> arises</w:t>
      </w:r>
      <w:r w:rsidR="009612C5">
        <w:rPr>
          <w:rFonts w:eastAsia="Calibri"/>
          <w:i/>
        </w:rPr>
        <w:t xml:space="preserve"> separate</w:t>
      </w:r>
      <w:r w:rsidR="008E5787">
        <w:rPr>
          <w:rFonts w:eastAsia="Calibri"/>
          <w:i/>
        </w:rPr>
        <w:t>ly</w:t>
      </w:r>
      <w:r w:rsidR="009612C5">
        <w:rPr>
          <w:rFonts w:eastAsia="Calibri"/>
          <w:i/>
        </w:rPr>
        <w:t xml:space="preserve"> from the claim for unjust enrichment. The significant contribution of this article is the analysis that knowledge merely creates </w:t>
      </w:r>
      <w:r w:rsidR="003F17A3">
        <w:rPr>
          <w:rFonts w:eastAsia="Calibri"/>
          <w:i/>
        </w:rPr>
        <w:t>a</w:t>
      </w:r>
      <w:r w:rsidR="009612C5">
        <w:rPr>
          <w:rFonts w:eastAsia="Calibri"/>
          <w:i/>
        </w:rPr>
        <w:t xml:space="preserve"> duty</w:t>
      </w:r>
      <w:r w:rsidR="003F17A3">
        <w:rPr>
          <w:rFonts w:eastAsia="Calibri"/>
          <w:i/>
        </w:rPr>
        <w:t xml:space="preserve"> to maintain the fund until restitution is made</w:t>
      </w:r>
      <w:r w:rsidR="009612C5">
        <w:rPr>
          <w:rFonts w:eastAsia="Calibri"/>
          <w:i/>
        </w:rPr>
        <w:t>, and</w:t>
      </w:r>
      <w:r w:rsidR="008E5787">
        <w:rPr>
          <w:rFonts w:eastAsia="Calibri"/>
          <w:i/>
        </w:rPr>
        <w:t xml:space="preserve"> that </w:t>
      </w:r>
      <w:r w:rsidR="009612C5">
        <w:rPr>
          <w:rFonts w:eastAsia="Calibri"/>
          <w:i/>
        </w:rPr>
        <w:t>knowledge cannot establish the breach of th</w:t>
      </w:r>
      <w:r w:rsidR="003F17A3">
        <w:rPr>
          <w:rFonts w:eastAsia="Calibri"/>
          <w:i/>
        </w:rPr>
        <w:t>is</w:t>
      </w:r>
      <w:r w:rsidR="009612C5">
        <w:rPr>
          <w:rFonts w:eastAsia="Calibri"/>
          <w:i/>
        </w:rPr>
        <w:t xml:space="preserve"> duty. Importantly, breach of this duty is es</w:t>
      </w:r>
      <w:r w:rsidR="00540C43">
        <w:rPr>
          <w:rFonts w:eastAsia="Calibri"/>
          <w:i/>
        </w:rPr>
        <w:t>tablished by a second condition</w:t>
      </w:r>
      <w:r w:rsidR="009612C5">
        <w:rPr>
          <w:rFonts w:eastAsia="Calibri"/>
          <w:i/>
        </w:rPr>
        <w:t xml:space="preserve"> which</w:t>
      </w:r>
      <w:r w:rsidR="00980987">
        <w:rPr>
          <w:rFonts w:eastAsia="Calibri"/>
          <w:i/>
        </w:rPr>
        <w:t xml:space="preserve"> is demonstrated by the wilful misconduct of the recipient</w:t>
      </w:r>
      <w:r w:rsidR="009612C5" w:rsidRPr="00D36F0D">
        <w:rPr>
          <w:rFonts w:eastAsia="Calibri"/>
          <w:i/>
        </w:rPr>
        <w:t>.</w:t>
      </w:r>
      <w:r w:rsidR="009612C5" w:rsidRPr="00D36F0D">
        <w:rPr>
          <w:i/>
        </w:rPr>
        <w:t xml:space="preserve"> </w:t>
      </w:r>
      <w:r w:rsidR="00980987">
        <w:rPr>
          <w:i/>
        </w:rPr>
        <w:t>It is this co</w:t>
      </w:r>
      <w:r w:rsidR="00692885">
        <w:rPr>
          <w:i/>
        </w:rPr>
        <w:t>n</w:t>
      </w:r>
      <w:r w:rsidR="00980987">
        <w:rPr>
          <w:i/>
        </w:rPr>
        <w:t xml:space="preserve">duct which justifies the imposition of the constructive trust. </w:t>
      </w:r>
      <w:r w:rsidR="009612C5">
        <w:rPr>
          <w:i/>
        </w:rPr>
        <w:t xml:space="preserve">By adopting this analysis, the </w:t>
      </w:r>
      <w:r w:rsidR="00283E18">
        <w:rPr>
          <w:i/>
        </w:rPr>
        <w:t xml:space="preserve">proprietary claim </w:t>
      </w:r>
      <w:r w:rsidR="009612C5">
        <w:rPr>
          <w:i/>
        </w:rPr>
        <w:t xml:space="preserve">in the context of </w:t>
      </w:r>
      <w:r w:rsidR="003424F5">
        <w:rPr>
          <w:i/>
        </w:rPr>
        <w:t>mistaken</w:t>
      </w:r>
      <w:r w:rsidR="009612C5">
        <w:rPr>
          <w:i/>
        </w:rPr>
        <w:t xml:space="preserve"> transfers can be classified as forming part of the law of wrongs, rather than the law of unjust enrichment.</w:t>
      </w:r>
    </w:p>
    <w:p w:rsidR="00850BCC" w:rsidRPr="00104C95" w:rsidRDefault="00850BCC" w:rsidP="00850BCC">
      <w:pPr>
        <w:autoSpaceDE w:val="0"/>
        <w:autoSpaceDN w:val="0"/>
        <w:adjustRightInd w:val="0"/>
        <w:spacing w:line="360" w:lineRule="auto"/>
        <w:jc w:val="both"/>
        <w:rPr>
          <w:rFonts w:eastAsia="Calibri"/>
        </w:rPr>
      </w:pPr>
      <w:r w:rsidRPr="00104C95">
        <w:t>KEYWORDS</w:t>
      </w:r>
      <w:r>
        <w:t xml:space="preserve">: </w:t>
      </w:r>
      <w:r w:rsidRPr="00104C95">
        <w:rPr>
          <w:i/>
        </w:rPr>
        <w:t>Restitution, mistaken payment, proprietary claim</w:t>
      </w:r>
    </w:p>
    <w:p w:rsidR="00F84807" w:rsidRPr="00892E3D" w:rsidRDefault="00F84807" w:rsidP="00C937DB">
      <w:pPr>
        <w:pStyle w:val="Header1"/>
        <w:spacing w:line="360" w:lineRule="auto"/>
        <w:jc w:val="left"/>
      </w:pPr>
    </w:p>
    <w:p w:rsidR="00E026D4" w:rsidRPr="00D95E00" w:rsidRDefault="00AC23D5" w:rsidP="00C937DB">
      <w:pPr>
        <w:pStyle w:val="Header1"/>
        <w:spacing w:line="360" w:lineRule="auto"/>
        <w:rPr>
          <w:b/>
        </w:rPr>
      </w:pPr>
      <w:r>
        <w:t>I</w:t>
      </w:r>
      <w:r w:rsidR="00D95E00" w:rsidRPr="006972B5">
        <w:t>.</w:t>
      </w:r>
      <w:r w:rsidR="00D95E00" w:rsidRPr="00D95E00">
        <w:rPr>
          <w:i/>
        </w:rPr>
        <w:t xml:space="preserve"> </w:t>
      </w:r>
      <w:r w:rsidR="00BC13F4" w:rsidRPr="00D95E00">
        <w:t>Introduction</w:t>
      </w:r>
    </w:p>
    <w:p w:rsidR="00F84807" w:rsidRDefault="00F84807" w:rsidP="00C937DB">
      <w:pPr>
        <w:spacing w:line="360" w:lineRule="auto"/>
        <w:jc w:val="both"/>
      </w:pPr>
    </w:p>
    <w:p w:rsidR="00E61104" w:rsidRDefault="00C23D00" w:rsidP="00F54C8E">
      <w:pPr>
        <w:spacing w:line="360" w:lineRule="auto"/>
        <w:jc w:val="both"/>
      </w:pPr>
      <w:r>
        <w:t xml:space="preserve">One of the </w:t>
      </w:r>
      <w:r w:rsidR="002C09C4">
        <w:t>unsettled</w:t>
      </w:r>
      <w:r>
        <w:t xml:space="preserve"> questions</w:t>
      </w:r>
      <w:r w:rsidR="005219E1">
        <w:t xml:space="preserve"> in the law of restitution is whe</w:t>
      </w:r>
      <w:r w:rsidR="00224ACD">
        <w:t>ther</w:t>
      </w:r>
      <w:r w:rsidR="005219E1">
        <w:t xml:space="preserve"> </w:t>
      </w:r>
      <w:r w:rsidR="00D804CD">
        <w:t>proprietary restitution</w:t>
      </w:r>
      <w:r w:rsidR="002D43DE">
        <w:t xml:space="preserve"> will be available </w:t>
      </w:r>
      <w:r w:rsidR="00224ACD">
        <w:t>as a response to a claim for</w:t>
      </w:r>
      <w:r w:rsidR="0064368C">
        <w:t xml:space="preserve"> unjust enrichment</w:t>
      </w:r>
      <w:r w:rsidR="00F84807">
        <w:t xml:space="preserve"> in cases of mistaken payments</w:t>
      </w:r>
      <w:r w:rsidR="0064368C">
        <w:t>.</w:t>
      </w:r>
      <w:r w:rsidR="009D44ED">
        <w:rPr>
          <w:rStyle w:val="FootnoteReference"/>
        </w:rPr>
        <w:footnoteReference w:id="2"/>
      </w:r>
      <w:r w:rsidR="0064368C">
        <w:t xml:space="preserve"> </w:t>
      </w:r>
      <w:r w:rsidR="00D804CD">
        <w:t>The importance of</w:t>
      </w:r>
      <w:r w:rsidR="00283E18">
        <w:t xml:space="preserve"> </w:t>
      </w:r>
      <w:r w:rsidR="0064368C">
        <w:t xml:space="preserve">proprietary </w:t>
      </w:r>
      <w:r w:rsidR="00D804CD">
        <w:t>restitution</w:t>
      </w:r>
      <w:r w:rsidR="002D43DE">
        <w:t xml:space="preserve"> </w:t>
      </w:r>
      <w:r w:rsidR="002D43DE" w:rsidRPr="00DA67AC">
        <w:t xml:space="preserve">is that it enables a </w:t>
      </w:r>
      <w:r w:rsidR="005219E1" w:rsidRPr="00DA67AC">
        <w:t xml:space="preserve">claimant </w:t>
      </w:r>
      <w:r w:rsidR="0054480C" w:rsidRPr="00DA67AC">
        <w:t xml:space="preserve">to </w:t>
      </w:r>
      <w:r w:rsidR="0059506B" w:rsidRPr="00DA67AC">
        <w:t>assert rights</w:t>
      </w:r>
      <w:r w:rsidR="003A0752" w:rsidRPr="00DA67AC">
        <w:t xml:space="preserve"> </w:t>
      </w:r>
      <w:r w:rsidR="0059506B" w:rsidRPr="00DA67AC">
        <w:t xml:space="preserve">over </w:t>
      </w:r>
      <w:r w:rsidR="003A0752" w:rsidRPr="00DA67AC">
        <w:t xml:space="preserve">substitute assets and importantly </w:t>
      </w:r>
      <w:r w:rsidR="00C05D14" w:rsidRPr="00DA67AC">
        <w:t xml:space="preserve">to </w:t>
      </w:r>
      <w:r w:rsidR="00A93B01" w:rsidRPr="00DA67AC">
        <w:t xml:space="preserve">gain </w:t>
      </w:r>
      <w:r w:rsidR="003A0752" w:rsidRPr="00DA67AC">
        <w:t>priority in insolvency</w:t>
      </w:r>
      <w:r w:rsidR="005637B8" w:rsidRPr="00DA67AC">
        <w:t>.</w:t>
      </w:r>
      <w:r w:rsidR="005637B8">
        <w:t xml:space="preserve"> </w:t>
      </w:r>
      <w:r w:rsidR="0085752D">
        <w:t>A</w:t>
      </w:r>
      <w:r w:rsidR="005018FB">
        <w:t xml:space="preserve"> maj</w:t>
      </w:r>
      <w:r w:rsidR="00BB399D">
        <w:t>or difference between this article</w:t>
      </w:r>
      <w:r w:rsidR="005018FB">
        <w:t xml:space="preserve"> and the current literature is that t</w:t>
      </w:r>
      <w:r w:rsidR="00BB399D">
        <w:t>he article</w:t>
      </w:r>
      <w:r w:rsidR="00E61104">
        <w:t xml:space="preserve"> does not argue that the answer to this question necessarily lies in unjust enrichment</w:t>
      </w:r>
      <w:r w:rsidR="005018FB">
        <w:t xml:space="preserve"> or </w:t>
      </w:r>
      <w:r w:rsidR="00E026D4">
        <w:t xml:space="preserve">even </w:t>
      </w:r>
      <w:r w:rsidR="005018FB">
        <w:t>unconscionability</w:t>
      </w:r>
      <w:r w:rsidR="00FF00D6">
        <w:t xml:space="preserve"> (although</w:t>
      </w:r>
      <w:r w:rsidR="00054599">
        <w:t>,</w:t>
      </w:r>
      <w:r w:rsidR="00FF00D6">
        <w:t xml:space="preserve"> </w:t>
      </w:r>
      <w:r w:rsidR="00FF00D6">
        <w:lastRenderedPageBreak/>
        <w:t>admittedly</w:t>
      </w:r>
      <w:r w:rsidR="00054599">
        <w:t>,</w:t>
      </w:r>
      <w:r w:rsidR="00FF00D6">
        <w:t xml:space="preserve"> it could be classified as falling within the latter)</w:t>
      </w:r>
      <w:r w:rsidR="00E61104">
        <w:t xml:space="preserve">. </w:t>
      </w:r>
      <w:r w:rsidR="00695252" w:rsidRPr="00AC7B85">
        <w:t xml:space="preserve">Instead, </w:t>
      </w:r>
      <w:r w:rsidR="00F627C6" w:rsidRPr="00AC7B85">
        <w:t>it is argued that</w:t>
      </w:r>
      <w:r w:rsidR="00C05D14" w:rsidRPr="00AC7B85">
        <w:t xml:space="preserve"> </w:t>
      </w:r>
      <w:r w:rsidR="00604275">
        <w:t xml:space="preserve">a recipient’s </w:t>
      </w:r>
      <w:r w:rsidR="00C05D14" w:rsidRPr="00AC7B85">
        <w:t xml:space="preserve">knowledge of the claimant’s </w:t>
      </w:r>
      <w:r w:rsidR="003424F5">
        <w:t>mistake</w:t>
      </w:r>
      <w:r w:rsidR="00C05D14" w:rsidRPr="00AC7B85">
        <w:t xml:space="preserve"> gives rise to a duty to </w:t>
      </w:r>
      <w:r w:rsidR="003056A4" w:rsidRPr="00AC7B85">
        <w:t>maintain the fund in favour of the claimant</w:t>
      </w:r>
      <w:r w:rsidR="00C97692" w:rsidRPr="00AC7B85">
        <w:t>.</w:t>
      </w:r>
      <w:r w:rsidR="00C97692">
        <w:t xml:space="preserve"> </w:t>
      </w:r>
      <w:r w:rsidR="005F504F">
        <w:t>That duty supplements</w:t>
      </w:r>
      <w:r w:rsidR="003C61E9">
        <w:t xml:space="preserve"> (but does not replace)</w:t>
      </w:r>
      <w:r w:rsidR="005F504F">
        <w:t xml:space="preserve"> the </w:t>
      </w:r>
      <w:r w:rsidR="0036090C">
        <w:t xml:space="preserve">pre-existing and separate </w:t>
      </w:r>
      <w:r w:rsidR="005F504F">
        <w:t>personal claim of re</w:t>
      </w:r>
      <w:r w:rsidR="00016D30">
        <w:t>stitution for unjust enrichment</w:t>
      </w:r>
      <w:r w:rsidR="002D2A27">
        <w:t xml:space="preserve">. </w:t>
      </w:r>
      <w:r w:rsidR="003056A4">
        <w:t xml:space="preserve">This duty </w:t>
      </w:r>
      <w:r w:rsidR="003C61E9">
        <w:t>will be</w:t>
      </w:r>
      <w:r w:rsidR="003056A4">
        <w:t xml:space="preserve"> broken when</w:t>
      </w:r>
      <w:r w:rsidR="00C05D14">
        <w:t xml:space="preserve"> the recipient</w:t>
      </w:r>
      <w:r w:rsidR="00980987">
        <w:t xml:space="preserve"> has acted in a way that c</w:t>
      </w:r>
      <w:r w:rsidR="00F06D0F">
        <w:t>an be described as wilful</w:t>
      </w:r>
      <w:r w:rsidR="00980987">
        <w:t xml:space="preserve"> misconduct</w:t>
      </w:r>
      <w:r w:rsidR="00E011A7">
        <w:t xml:space="preserve"> </w:t>
      </w:r>
      <w:r w:rsidR="00980987">
        <w:t>i.e. a deliberate</w:t>
      </w:r>
      <w:r w:rsidR="00E011A7">
        <w:t xml:space="preserve"> breach or acting with </w:t>
      </w:r>
      <w:r w:rsidR="00980987">
        <w:t>reckless indifference</w:t>
      </w:r>
      <w:r w:rsidR="003056A4">
        <w:t>.</w:t>
      </w:r>
      <w:r w:rsidR="00065A01">
        <w:rPr>
          <w:rStyle w:val="FootnoteReference"/>
        </w:rPr>
        <w:footnoteReference w:id="3"/>
      </w:r>
      <w:r w:rsidR="003056A4">
        <w:t xml:space="preserve"> </w:t>
      </w:r>
      <w:r w:rsidR="009E5526">
        <w:t>T</w:t>
      </w:r>
      <w:r w:rsidR="000F5577">
        <w:t xml:space="preserve">he </w:t>
      </w:r>
      <w:r w:rsidR="00AF2281">
        <w:t>relevant</w:t>
      </w:r>
      <w:r w:rsidR="000F5577">
        <w:t xml:space="preserve"> response </w:t>
      </w:r>
      <w:r w:rsidR="009E5526">
        <w:t xml:space="preserve">to a breach of this duty </w:t>
      </w:r>
      <w:r w:rsidR="000F5577">
        <w:t xml:space="preserve">is </w:t>
      </w:r>
      <w:r w:rsidR="009E5526">
        <w:t xml:space="preserve">a </w:t>
      </w:r>
      <w:r w:rsidR="00283E18">
        <w:t>proprietary claim</w:t>
      </w:r>
      <w:r w:rsidR="000F5577">
        <w:t xml:space="preserve"> </w:t>
      </w:r>
      <w:r w:rsidR="00283E18">
        <w:t>over</w:t>
      </w:r>
      <w:r w:rsidR="000F5577">
        <w:t xml:space="preserve"> any of the traceable proceeds of the original payment. </w:t>
      </w:r>
      <w:r w:rsidR="003056A4">
        <w:t xml:space="preserve">In this way, </w:t>
      </w:r>
      <w:r w:rsidR="00D804CD" w:rsidRPr="00DA67AC">
        <w:t xml:space="preserve">proprietary restitution </w:t>
      </w:r>
      <w:r w:rsidR="003056A4" w:rsidRPr="00DA67AC">
        <w:t>would fall into the classification of restitution for wrongs</w:t>
      </w:r>
      <w:r w:rsidR="003056A4">
        <w:t>.</w:t>
      </w:r>
      <w:bookmarkStart w:id="1" w:name="_Ref417218245"/>
      <w:r w:rsidR="00CD305E">
        <w:rPr>
          <w:rStyle w:val="FootnoteReference"/>
        </w:rPr>
        <w:footnoteReference w:id="4"/>
      </w:r>
      <w:bookmarkEnd w:id="1"/>
      <w:r w:rsidR="00C05D14">
        <w:t xml:space="preserve"> </w:t>
      </w:r>
      <w:r w:rsidR="00C97692">
        <w:t>The</w:t>
      </w:r>
      <w:r w:rsidR="003056A4">
        <w:t xml:space="preserve">refore, in the context of </w:t>
      </w:r>
      <w:r w:rsidR="003424F5">
        <w:t>mistaken</w:t>
      </w:r>
      <w:r w:rsidR="00727729">
        <w:t xml:space="preserve"> transfer</w:t>
      </w:r>
      <w:r w:rsidR="003056A4">
        <w:t>s</w:t>
      </w:r>
      <w:r w:rsidR="005637B8">
        <w:t>,</w:t>
      </w:r>
      <w:r w:rsidR="003056A4">
        <w:t xml:space="preserve"> a </w:t>
      </w:r>
      <w:r w:rsidR="00283E18">
        <w:t>proprietary claim</w:t>
      </w:r>
      <w:r w:rsidR="003056A4">
        <w:t xml:space="preserve"> </w:t>
      </w:r>
      <w:r w:rsidR="00C97692">
        <w:t xml:space="preserve">requires, </w:t>
      </w:r>
      <w:r w:rsidR="00835D3E">
        <w:t xml:space="preserve">firstly, </w:t>
      </w:r>
      <w:r w:rsidR="005219E1" w:rsidRPr="00753A3B">
        <w:t xml:space="preserve">knowledge </w:t>
      </w:r>
      <w:r w:rsidR="005219E1" w:rsidRPr="00E026D4">
        <w:rPr>
          <w:i/>
        </w:rPr>
        <w:t>and</w:t>
      </w:r>
      <w:r w:rsidR="00835D3E">
        <w:t>,</w:t>
      </w:r>
      <w:r w:rsidR="005219E1" w:rsidRPr="00753A3B">
        <w:t xml:space="preserve"> </w:t>
      </w:r>
      <w:r w:rsidR="00835D3E">
        <w:t xml:space="preserve">secondly, </w:t>
      </w:r>
      <w:r w:rsidR="001460E2">
        <w:t>the wilful misconduct of the recipient</w:t>
      </w:r>
      <w:r w:rsidR="005219E1" w:rsidRPr="00753A3B">
        <w:t>.</w:t>
      </w:r>
      <w:bookmarkStart w:id="2" w:name="_Ref334204633"/>
      <w:r w:rsidR="005219E1" w:rsidRPr="00753A3B">
        <w:rPr>
          <w:rStyle w:val="FootnoteReference"/>
        </w:rPr>
        <w:footnoteReference w:id="5"/>
      </w:r>
      <w:bookmarkEnd w:id="2"/>
      <w:r w:rsidR="005219E1" w:rsidRPr="00753A3B">
        <w:t xml:space="preserve"> </w:t>
      </w:r>
      <w:r w:rsidR="00D84363">
        <w:t>Admittedly,</w:t>
      </w:r>
      <w:r w:rsidR="008B0333">
        <w:t xml:space="preserve"> other writers have </w:t>
      </w:r>
      <w:r w:rsidR="00CD4B67">
        <w:t xml:space="preserve">previously </w:t>
      </w:r>
      <w:r w:rsidR="008B0333">
        <w:t>argued that knowledge can be sufficient</w:t>
      </w:r>
      <w:r w:rsidR="00D84363">
        <w:t>.</w:t>
      </w:r>
      <w:bookmarkStart w:id="3" w:name="_Ref358546963"/>
      <w:r w:rsidR="00EF3573">
        <w:rPr>
          <w:rStyle w:val="FootnoteReference"/>
        </w:rPr>
        <w:footnoteReference w:id="6"/>
      </w:r>
      <w:bookmarkEnd w:id="3"/>
      <w:r w:rsidR="008B0333">
        <w:t xml:space="preserve"> </w:t>
      </w:r>
      <w:r w:rsidR="00D84363">
        <w:t xml:space="preserve">However, </w:t>
      </w:r>
      <w:r w:rsidR="0085752D">
        <w:t>the difficult</w:t>
      </w:r>
      <w:r w:rsidR="00D84363">
        <w:t>y</w:t>
      </w:r>
      <w:r w:rsidR="0085752D">
        <w:t xml:space="preserve"> of identifying knowledge as the sole criteria is that in </w:t>
      </w:r>
      <w:r w:rsidR="00F951A2">
        <w:t>some</w:t>
      </w:r>
      <w:r w:rsidR="000E4DFA">
        <w:t xml:space="preserve"> cases</w:t>
      </w:r>
      <w:r w:rsidR="0085752D" w:rsidRPr="00CD4B67">
        <w:t xml:space="preserve"> </w:t>
      </w:r>
      <w:r w:rsidR="0085752D">
        <w:t>the recipient has knowledge</w:t>
      </w:r>
      <w:r w:rsidR="00D84363">
        <w:t>,</w:t>
      </w:r>
      <w:r w:rsidR="00932EBB">
        <w:t xml:space="preserve"> but </w:t>
      </w:r>
      <w:r w:rsidR="00104A0C">
        <w:t>proprietary restitution is</w:t>
      </w:r>
      <w:r w:rsidR="00644033">
        <w:t xml:space="preserve"> </w:t>
      </w:r>
      <w:r w:rsidR="0085752D">
        <w:t>nevertheless unavailable.</w:t>
      </w:r>
      <w:bookmarkStart w:id="4" w:name="_Ref334177062"/>
      <w:r w:rsidR="00835D3E" w:rsidRPr="00CD4B67">
        <w:rPr>
          <w:rStyle w:val="FootnoteReference"/>
        </w:rPr>
        <w:footnoteReference w:id="7"/>
      </w:r>
      <w:bookmarkEnd w:id="4"/>
      <w:r w:rsidR="0085752D" w:rsidRPr="00F951A2">
        <w:t xml:space="preserve"> </w:t>
      </w:r>
      <w:r w:rsidR="0085752D">
        <w:t>By adding the requirement that the</w:t>
      </w:r>
      <w:r w:rsidR="000F5577">
        <w:t xml:space="preserve"> </w:t>
      </w:r>
      <w:r w:rsidR="0085752D">
        <w:t xml:space="preserve">recipient must </w:t>
      </w:r>
      <w:r w:rsidR="001460E2">
        <w:t>act with wilful misconduct</w:t>
      </w:r>
      <w:r w:rsidR="00540C43">
        <w:t>,</w:t>
      </w:r>
      <w:r w:rsidR="0085752D">
        <w:t xml:space="preserve"> </w:t>
      </w:r>
      <w:r w:rsidR="003C61E9">
        <w:t>it will</w:t>
      </w:r>
      <w:r w:rsidR="00835D3E">
        <w:t xml:space="preserve"> </w:t>
      </w:r>
      <w:r w:rsidR="003C61E9">
        <w:t xml:space="preserve">be </w:t>
      </w:r>
      <w:r w:rsidR="00835D3E">
        <w:t>demonstrate</w:t>
      </w:r>
      <w:r w:rsidR="003C61E9">
        <w:t>d</w:t>
      </w:r>
      <w:r w:rsidR="00835D3E">
        <w:t xml:space="preserve"> that the existing </w:t>
      </w:r>
      <w:r w:rsidR="0085752D">
        <w:t>case law can be properly reconciled</w:t>
      </w:r>
      <w:r w:rsidR="00D84363">
        <w:t xml:space="preserve"> and that</w:t>
      </w:r>
      <w:r w:rsidR="00644033">
        <w:t>,</w:t>
      </w:r>
      <w:r w:rsidR="00D84363">
        <w:t xml:space="preserve"> finally</w:t>
      </w:r>
      <w:r w:rsidR="00644033">
        <w:t>,</w:t>
      </w:r>
      <w:r w:rsidR="00D84363">
        <w:t xml:space="preserve"> a predictable pattern </w:t>
      </w:r>
      <w:r w:rsidR="003F1B44">
        <w:t>emerges</w:t>
      </w:r>
      <w:r w:rsidR="00D84363">
        <w:t xml:space="preserve"> in the case law</w:t>
      </w:r>
      <w:r w:rsidR="008B0333">
        <w:t xml:space="preserve">. </w:t>
      </w:r>
      <w:r w:rsidR="009D7B25">
        <w:t>More importantly, it provides a more balanced approach to the avai</w:t>
      </w:r>
      <w:r w:rsidR="00AD3450">
        <w:t>lability of constructive trusts</w:t>
      </w:r>
      <w:r w:rsidR="009D7B25">
        <w:t xml:space="preserve"> </w:t>
      </w:r>
      <w:r w:rsidR="005637B8">
        <w:t xml:space="preserve">by </w:t>
      </w:r>
      <w:r w:rsidR="005F504F">
        <w:t xml:space="preserve">precluding their availability </w:t>
      </w:r>
      <w:r w:rsidR="00540C43">
        <w:t xml:space="preserve">by default </w:t>
      </w:r>
      <w:r w:rsidR="005F504F">
        <w:t xml:space="preserve">in all instances of </w:t>
      </w:r>
      <w:r w:rsidR="003424F5">
        <w:t>mistaken</w:t>
      </w:r>
      <w:r w:rsidR="005F504F">
        <w:t xml:space="preserve"> transfers</w:t>
      </w:r>
      <w:r w:rsidR="0004046A">
        <w:t>,</w:t>
      </w:r>
      <w:r w:rsidR="00AD3450">
        <w:t xml:space="preserve"> while </w:t>
      </w:r>
      <w:r w:rsidR="0004046A">
        <w:t>at the same time</w:t>
      </w:r>
      <w:r w:rsidR="00AD3450">
        <w:t xml:space="preserve"> recognising</w:t>
      </w:r>
      <w:r w:rsidR="009D7B25">
        <w:t xml:space="preserve"> that the constructive trust s</w:t>
      </w:r>
      <w:r w:rsidR="00AD3450">
        <w:t>hould still be available</w:t>
      </w:r>
      <w:r w:rsidR="009A6A5B">
        <w:t xml:space="preserve"> where the behaviour of the recipient calls for the court’s intervention.</w:t>
      </w:r>
      <w:r w:rsidR="0004046A">
        <w:t xml:space="preserve"> </w:t>
      </w:r>
    </w:p>
    <w:p w:rsidR="00421736" w:rsidRDefault="00421736" w:rsidP="00C937DB">
      <w:pPr>
        <w:pStyle w:val="Header1"/>
        <w:spacing w:line="360" w:lineRule="auto"/>
      </w:pPr>
    </w:p>
    <w:p w:rsidR="00DA341C" w:rsidRPr="00D95E00" w:rsidRDefault="00AC23D5" w:rsidP="00C937DB">
      <w:pPr>
        <w:pStyle w:val="Header1"/>
        <w:spacing w:line="360" w:lineRule="auto"/>
      </w:pPr>
      <w:r>
        <w:t>II</w:t>
      </w:r>
      <w:r w:rsidR="00DA341C" w:rsidRPr="006972B5">
        <w:t>.</w:t>
      </w:r>
      <w:r w:rsidR="00DA341C" w:rsidRPr="00476BB9">
        <w:rPr>
          <w:i/>
        </w:rPr>
        <w:t xml:space="preserve"> </w:t>
      </w:r>
      <w:r w:rsidR="000F29D2">
        <w:t>The Need For a New Analysis</w:t>
      </w:r>
    </w:p>
    <w:p w:rsidR="0019503A" w:rsidRDefault="0019503A" w:rsidP="00C937DB">
      <w:pPr>
        <w:spacing w:line="360" w:lineRule="auto"/>
      </w:pPr>
    </w:p>
    <w:p w:rsidR="00F54C8E" w:rsidRDefault="00F54C8E" w:rsidP="00C937DB">
      <w:pPr>
        <w:spacing w:line="360" w:lineRule="auto"/>
        <w:jc w:val="both"/>
      </w:pPr>
      <w:r>
        <w:t>There are two points to address at this stage; firstly, the scope of the issues which are addressed in this article and, secondly, the need for this analysis. The focus of this article is on the availability of proprietary restitution, in the form of a constructive trust, in response to claims arising from mistaken payments</w:t>
      </w:r>
      <w:r w:rsidR="00992631">
        <w:t>. This</w:t>
      </w:r>
      <w:r>
        <w:t xml:space="preserve"> includ</w:t>
      </w:r>
      <w:r w:rsidR="00992631">
        <w:t xml:space="preserve">es </w:t>
      </w:r>
      <w:r>
        <w:t xml:space="preserve">cases of </w:t>
      </w:r>
      <w:r w:rsidR="00F84807">
        <w:t xml:space="preserve">non-induced </w:t>
      </w:r>
      <w:r>
        <w:t>mistakes</w:t>
      </w:r>
      <w:bookmarkStart w:id="5" w:name="_Ref334202969"/>
      <w:r>
        <w:t>,</w:t>
      </w:r>
      <w:r w:rsidRPr="00753A3B">
        <w:rPr>
          <w:rStyle w:val="FootnoteReference"/>
          <w:iCs/>
        </w:rPr>
        <w:footnoteReference w:id="8"/>
      </w:r>
      <w:bookmarkEnd w:id="5"/>
      <w:r>
        <w:t xml:space="preserve"> as </w:t>
      </w:r>
      <w:r>
        <w:lastRenderedPageBreak/>
        <w:t>well as fraudulently induced transfers</w:t>
      </w:r>
      <w:bookmarkStart w:id="6" w:name="_Ref358473620"/>
      <w:r>
        <w:t>.</w:t>
      </w:r>
      <w:r w:rsidRPr="00753A3B">
        <w:rPr>
          <w:rStyle w:val="FootnoteReference"/>
        </w:rPr>
        <w:footnoteReference w:id="9"/>
      </w:r>
      <w:bookmarkEnd w:id="6"/>
      <w:r>
        <w:t xml:space="preserve"> Although Birks argued that there existed a wider category of vitiated consent transfers which would include cases of “ignorance” (in essence referring to cases of unauthorised transfers), these cases do not form the focus of the analysis in this article.</w:t>
      </w:r>
      <w:r>
        <w:rPr>
          <w:rStyle w:val="FootnoteReference"/>
        </w:rPr>
        <w:footnoteReference w:id="10"/>
      </w:r>
      <w:r>
        <w:t xml:space="preserve"> It will be further explained that the key issue in cases of mistaken</w:t>
      </w:r>
      <w:r w:rsidR="000E2AEE">
        <w:t xml:space="preserve"> transfers</w:t>
      </w:r>
      <w:r>
        <w:t xml:space="preserve"> is that the claimant has made a conscious decision to transfer the money to the recipient, an element which is absent in cases of “ignorance</w:t>
      </w:r>
      <w:bookmarkStart w:id="7" w:name="_Ref358573868"/>
      <w:r>
        <w:t>”.</w:t>
      </w:r>
      <w:r w:rsidRPr="00FA0E47">
        <w:rPr>
          <w:rStyle w:val="FootnoteReference"/>
        </w:rPr>
        <w:footnoteReference w:id="11"/>
      </w:r>
      <w:bookmarkEnd w:id="7"/>
      <w:r>
        <w:t xml:space="preserve"> It is also worth noting that there is some authority to support the proposition that some mistakes are so fundamental that they prevent legal title from passing to the recipient.</w:t>
      </w:r>
      <w:r>
        <w:rPr>
          <w:rStyle w:val="FootnoteReference"/>
        </w:rPr>
        <w:footnoteReference w:id="12"/>
      </w:r>
      <w:r>
        <w:t xml:space="preserve"> Examples are mistakes of identity, where property is transferred to the wrong person,</w:t>
      </w:r>
      <w:r>
        <w:rPr>
          <w:rStyle w:val="FootnoteReference"/>
        </w:rPr>
        <w:footnoteReference w:id="13"/>
      </w:r>
      <w:r>
        <w:t xml:space="preserve"> or mistakes of the property itself, where the wrong form of property is transferred.</w:t>
      </w:r>
      <w:r>
        <w:rPr>
          <w:rStyle w:val="FootnoteReference"/>
        </w:rPr>
        <w:footnoteReference w:id="14"/>
      </w:r>
      <w:r>
        <w:t xml:space="preserve"> </w:t>
      </w:r>
      <w:r w:rsidR="00992631">
        <w:t xml:space="preserve">These situations are also outside of the scope of this article, for two reasons. Firstly, </w:t>
      </w:r>
      <w:r>
        <w:t xml:space="preserve">Swadling has effectively demonstrated that the authority for mistakes of identity, </w:t>
      </w:r>
      <w:r>
        <w:rPr>
          <w:i/>
        </w:rPr>
        <w:t>R v Middleton</w:t>
      </w:r>
      <w:r>
        <w:t>,</w:t>
      </w:r>
      <w:r>
        <w:rPr>
          <w:rStyle w:val="FootnoteReference"/>
        </w:rPr>
        <w:footnoteReference w:id="15"/>
      </w:r>
      <w:r>
        <w:t xml:space="preserve"> cannot stand in light of other authorities.</w:t>
      </w:r>
      <w:r>
        <w:rPr>
          <w:rStyle w:val="FootnoteReference"/>
        </w:rPr>
        <w:footnoteReference w:id="16"/>
      </w:r>
      <w:r>
        <w:t xml:space="preserve"> </w:t>
      </w:r>
      <w:r w:rsidR="00992631">
        <w:t>Secondly</w:t>
      </w:r>
      <w:r>
        <w:t>, mistakes relating to</w:t>
      </w:r>
      <w:r w:rsidR="000E2AEE">
        <w:t xml:space="preserve"> the</w:t>
      </w:r>
      <w:r>
        <w:t xml:space="preserve"> identity of the property itself will rarely have relevance in cases of mistaken payments, as the </w:t>
      </w:r>
      <w:r w:rsidR="00A8422C" w:rsidRPr="00A8422C">
        <w:t>principle would only apply where the transferor intended to transfer something other than money.</w:t>
      </w:r>
      <w:r w:rsidR="00A8422C" w:rsidRPr="00A8422C">
        <w:rPr>
          <w:rStyle w:val="FootnoteReference"/>
        </w:rPr>
        <w:footnoteReference w:id="17"/>
      </w:r>
      <w:r w:rsidR="00A8422C" w:rsidRPr="00A8422C">
        <w:t xml:space="preserve"> </w:t>
      </w:r>
      <w:r w:rsidR="004A6C64">
        <w:t xml:space="preserve">For these reasons, proprietary restitution for mistaken payments </w:t>
      </w:r>
      <w:r w:rsidR="00D74B12">
        <w:t xml:space="preserve">will nearly always </w:t>
      </w:r>
      <w:r w:rsidR="004A6C64">
        <w:t xml:space="preserve">require the availability of a beneficial interest under a trust. </w:t>
      </w:r>
    </w:p>
    <w:p w:rsidR="00DA341C" w:rsidRDefault="00DA341C" w:rsidP="00F54C8E">
      <w:pPr>
        <w:spacing w:line="360" w:lineRule="auto"/>
        <w:ind w:firstLine="720"/>
        <w:jc w:val="both"/>
      </w:pPr>
      <w:r>
        <w:t xml:space="preserve">The </w:t>
      </w:r>
      <w:r w:rsidR="00F54C8E">
        <w:t>second</w:t>
      </w:r>
      <w:r>
        <w:t xml:space="preserve"> issue to address is why there is a need for a new approach to the question of proprietary restitution in the context of </w:t>
      </w:r>
      <w:r w:rsidR="003424F5">
        <w:t>mistaken</w:t>
      </w:r>
      <w:r w:rsidR="00727729">
        <w:t xml:space="preserve"> transfer</w:t>
      </w:r>
      <w:r>
        <w:t>s.</w:t>
      </w:r>
      <w:r w:rsidR="0019503A">
        <w:t xml:space="preserve"> A</w:t>
      </w:r>
      <w:r w:rsidR="005637B8">
        <w:t>s Sherwin has argued, a</w:t>
      </w:r>
      <w:r w:rsidR="0019503A">
        <w:t>ny theory of the law, unless it is presented as a purely normative account, should ‘fit’ with the decisions of the courts.</w:t>
      </w:r>
      <w:r w:rsidR="007528B0">
        <w:rPr>
          <w:rStyle w:val="FootnoteReference"/>
        </w:rPr>
        <w:footnoteReference w:id="18"/>
      </w:r>
      <w:r w:rsidR="0019503A">
        <w:t xml:space="preserve"> It is argued in this article that none of the current theories of proprietary restitution </w:t>
      </w:r>
      <w:r w:rsidR="005A6158">
        <w:t>provide a satisfactory ‘fit’</w:t>
      </w:r>
      <w:r w:rsidR="0019503A">
        <w:t xml:space="preserve"> with the decisions of the courts, whereas the approach presented in this article has the benefit of reconciling the case law in this area.</w:t>
      </w:r>
      <w:r>
        <w:t xml:space="preserve"> </w:t>
      </w:r>
      <w:r w:rsidR="00972B38">
        <w:t>As will be seen, th</w:t>
      </w:r>
      <w:r w:rsidR="00FD1FB8">
        <w:t>ree of the</w:t>
      </w:r>
      <w:r w:rsidR="00972B38">
        <w:t xml:space="preserve"> main theories </w:t>
      </w:r>
      <w:r w:rsidR="003C61E9">
        <w:t xml:space="preserve">of proprietary restitution for mistaken payments </w:t>
      </w:r>
      <w:r w:rsidR="00972B38">
        <w:t xml:space="preserve">focus on the intentions of the transferor. </w:t>
      </w:r>
      <w:r w:rsidR="00282069">
        <w:rPr>
          <w:rStyle w:val="hit"/>
        </w:rPr>
        <w:t xml:space="preserve">This means that, for these writers, the relevant element is the intent of the claimant at the moment of the transfer. Yet, if this was the case, the </w:t>
      </w:r>
      <w:r w:rsidR="00282069">
        <w:rPr>
          <w:rStyle w:val="hit"/>
        </w:rPr>
        <w:lastRenderedPageBreak/>
        <w:t>mechanism through which proprietary restitution would be effected would be via a</w:t>
      </w:r>
      <w:r w:rsidR="00282069" w:rsidRPr="001D62C8">
        <w:rPr>
          <w:rStyle w:val="Heading1Char"/>
        </w:rPr>
        <w:t xml:space="preserve"> </w:t>
      </w:r>
      <w:r w:rsidR="00282069">
        <w:rPr>
          <w:rStyle w:val="hit"/>
        </w:rPr>
        <w:t>resulting trust, rather than via a constructive trust.</w:t>
      </w:r>
      <w:r w:rsidR="00B00F0D">
        <w:rPr>
          <w:rStyle w:val="hit"/>
        </w:rPr>
        <w:t xml:space="preserve"> </w:t>
      </w:r>
      <w:r w:rsidR="00282069">
        <w:rPr>
          <w:rStyle w:val="hit"/>
        </w:rPr>
        <w:t>Constructive trusts, generally, focus on the position of the constructive trustee, hence the judicial references to the ‘conscience’ of the constructive trustee.</w:t>
      </w:r>
      <w:r w:rsidR="00282069">
        <w:rPr>
          <w:rStyle w:val="FootnoteReference"/>
        </w:rPr>
        <w:footnoteReference w:id="19"/>
      </w:r>
      <w:r w:rsidR="00282069">
        <w:rPr>
          <w:rStyle w:val="hit"/>
        </w:rPr>
        <w:t xml:space="preserve"> In contrast, resulting trusts generally respond to the state of mind of the transferor.</w:t>
      </w:r>
      <w:r w:rsidR="00282069">
        <w:rPr>
          <w:rStyle w:val="FootnoteReference"/>
        </w:rPr>
        <w:footnoteReference w:id="20"/>
      </w:r>
      <w:r w:rsidR="00282069">
        <w:rPr>
          <w:rStyle w:val="hit"/>
        </w:rPr>
        <w:t xml:space="preserve"> </w:t>
      </w:r>
      <w:r w:rsidR="00B00F0D">
        <w:rPr>
          <w:rStyle w:val="hit"/>
        </w:rPr>
        <w:t>Chambers has indeed argued that proprietary restitution in response to mistaken payments is effected through resulting trusts.</w:t>
      </w:r>
      <w:r w:rsidR="00B00F0D">
        <w:rPr>
          <w:rStyle w:val="FootnoteReference"/>
        </w:rPr>
        <w:footnoteReference w:id="21"/>
      </w:r>
      <w:r w:rsidR="000E4590" w:rsidRPr="000E4590">
        <w:t xml:space="preserve"> </w:t>
      </w:r>
      <w:r w:rsidR="000E4590">
        <w:t xml:space="preserve">In this section, it will be demonstrated that it is important to move past this claimant-centred view of the creation of property rights and to take a wider perspective that recognises the role of the defendant’s knowledge and their </w:t>
      </w:r>
      <w:r w:rsidR="003751E6">
        <w:t>behaviour</w:t>
      </w:r>
      <w:r w:rsidR="000E4590">
        <w:t xml:space="preserve">. </w:t>
      </w:r>
      <w:r w:rsidR="000E4590">
        <w:rPr>
          <w:rStyle w:val="hit"/>
        </w:rPr>
        <w:t>O</w:t>
      </w:r>
      <w:r w:rsidR="00282069">
        <w:rPr>
          <w:rStyle w:val="hit"/>
        </w:rPr>
        <w:t xml:space="preserve">nce it is accepted that </w:t>
      </w:r>
      <w:r w:rsidR="000E4590">
        <w:rPr>
          <w:rStyle w:val="hit"/>
        </w:rPr>
        <w:t xml:space="preserve">proprietary restitution for mistaken payments operates under </w:t>
      </w:r>
      <w:r w:rsidR="00282069">
        <w:rPr>
          <w:rStyle w:val="hit"/>
        </w:rPr>
        <w:t xml:space="preserve">a constructive </w:t>
      </w:r>
      <w:r w:rsidR="003C61E9">
        <w:rPr>
          <w:rStyle w:val="hit"/>
        </w:rPr>
        <w:t>trust</w:t>
      </w:r>
      <w:r w:rsidR="00282069">
        <w:rPr>
          <w:rStyle w:val="hit"/>
        </w:rPr>
        <w:t xml:space="preserve">, it should also be possible to accept a constructive trust that responds to the state of mind and the actions of the recipient. </w:t>
      </w:r>
    </w:p>
    <w:p w:rsidR="0019503A" w:rsidRDefault="0019503A" w:rsidP="00C937DB">
      <w:pPr>
        <w:spacing w:line="360" w:lineRule="auto"/>
        <w:jc w:val="both"/>
      </w:pPr>
    </w:p>
    <w:p w:rsidR="00FA0E47" w:rsidRPr="00AC23D5" w:rsidRDefault="00FA0E47" w:rsidP="00FA0E47">
      <w:pPr>
        <w:pStyle w:val="header2"/>
        <w:spacing w:line="360" w:lineRule="auto"/>
        <w:jc w:val="center"/>
        <w:rPr>
          <w:b w:val="0"/>
          <w:i/>
        </w:rPr>
      </w:pPr>
      <w:r>
        <w:rPr>
          <w:b w:val="0"/>
          <w:i/>
        </w:rPr>
        <w:t>A</w:t>
      </w:r>
      <w:r w:rsidRPr="00AC23D5">
        <w:rPr>
          <w:b w:val="0"/>
          <w:i/>
        </w:rPr>
        <w:t>. The view that Unjust Enrichment can never lead to proprietary restitution</w:t>
      </w:r>
    </w:p>
    <w:p w:rsidR="00FA0E47" w:rsidRDefault="00FA0E47" w:rsidP="00FA0E47">
      <w:pPr>
        <w:spacing w:line="360" w:lineRule="auto"/>
        <w:jc w:val="both"/>
      </w:pPr>
    </w:p>
    <w:p w:rsidR="00FA0E47" w:rsidRPr="00F568FD" w:rsidRDefault="003424F5" w:rsidP="00FA0E47">
      <w:pPr>
        <w:spacing w:line="360" w:lineRule="auto"/>
        <w:jc w:val="both"/>
      </w:pPr>
      <w:r>
        <w:t xml:space="preserve">It </w:t>
      </w:r>
      <w:r w:rsidR="004354FA">
        <w:t xml:space="preserve">is </w:t>
      </w:r>
      <w:r>
        <w:t xml:space="preserve">first necessary to consider the arguments made by those who propose that the question of proprietary restitution depends on whether or not the transferor intended to transfer title to the recipient. </w:t>
      </w:r>
      <w:r w:rsidR="00FA0E47">
        <w:t>For the most part, these writers take the view that a claim for unjust enrichment will normally result in an action for personal restitution, and that a constructive trust is only available where the claimant bases their claim on a ‘want of title’</w:t>
      </w:r>
      <w:r w:rsidR="007B4BE0">
        <w:t xml:space="preserve"> </w:t>
      </w:r>
      <w:r w:rsidR="00FA0E47">
        <w:t>which is seen as a separate action.</w:t>
      </w:r>
      <w:r w:rsidR="00FA0E47">
        <w:rPr>
          <w:rStyle w:val="FootnoteReference"/>
        </w:rPr>
        <w:footnoteReference w:id="22"/>
      </w:r>
      <w:r w:rsidR="00FA0E47">
        <w:t xml:space="preserve"> </w:t>
      </w:r>
      <w:r>
        <w:t xml:space="preserve">These writers generally accept that proprietary restitution </w:t>
      </w:r>
      <w:r w:rsidR="00992631">
        <w:t xml:space="preserve">will be available for cases of </w:t>
      </w:r>
      <w:r>
        <w:t>unauthorised transfers, although they would distinguish an unauthorised transfer from cases of mistake where the claimant has made a conscious decision to make the transfer.</w:t>
      </w:r>
      <w:r>
        <w:rPr>
          <w:rStyle w:val="FootnoteReference"/>
        </w:rPr>
        <w:footnoteReference w:id="23"/>
      </w:r>
      <w:r>
        <w:t xml:space="preserve"> </w:t>
      </w:r>
      <w:r w:rsidR="00FA0E47">
        <w:t>The significance of this is that those who have adopted this approach have generally argued that constructive trusts will rarely, if ever, be available for mistaken transfers.</w:t>
      </w:r>
      <w:bookmarkStart w:id="8" w:name="_Ref334193617"/>
      <w:r w:rsidR="00FA0E47">
        <w:rPr>
          <w:rStyle w:val="FootnoteReference"/>
        </w:rPr>
        <w:footnoteReference w:id="24"/>
      </w:r>
      <w:bookmarkEnd w:id="8"/>
      <w:r w:rsidR="00FA0E47">
        <w:t xml:space="preserve"> A number of these writers accept that a </w:t>
      </w:r>
      <w:r w:rsidR="0042029D">
        <w:t xml:space="preserve">proprietary interest may arise as a result of rescinding a fraudulently induced transfer, although even then it is apparent that these writers are </w:t>
      </w:r>
      <w:r w:rsidR="000A4031">
        <w:t>not entirely convinced</w:t>
      </w:r>
      <w:r w:rsidR="0042029D">
        <w:t xml:space="preserve"> by this possibility</w:t>
      </w:r>
      <w:r w:rsidR="00FA0E47">
        <w:t>.</w:t>
      </w:r>
      <w:r w:rsidR="00FA0E47">
        <w:rPr>
          <w:rStyle w:val="FootnoteReference"/>
        </w:rPr>
        <w:footnoteReference w:id="25"/>
      </w:r>
      <w:r w:rsidR="00FA0E47">
        <w:t xml:space="preserve"> </w:t>
      </w:r>
      <w:r w:rsidR="000A4031">
        <w:t xml:space="preserve">This rescission analysis is considered further on in </w:t>
      </w:r>
      <w:r w:rsidR="000A4031">
        <w:lastRenderedPageBreak/>
        <w:t>th</w:t>
      </w:r>
      <w:r w:rsidR="001C6AF5">
        <w:t>is</w:t>
      </w:r>
      <w:r w:rsidR="000A4031">
        <w:t xml:space="preserve"> article.</w:t>
      </w:r>
      <w:r w:rsidR="000A4031">
        <w:rPr>
          <w:rStyle w:val="FootnoteReference"/>
        </w:rPr>
        <w:footnoteReference w:id="26"/>
      </w:r>
      <w:r w:rsidR="000A4031">
        <w:t xml:space="preserve"> </w:t>
      </w:r>
      <w:r w:rsidR="0042029D">
        <w:t xml:space="preserve">For present purposes </w:t>
      </w:r>
      <w:r w:rsidR="000A4031">
        <w:t>this section will focus on the views of</w:t>
      </w:r>
      <w:r w:rsidR="0042029D">
        <w:t xml:space="preserve"> </w:t>
      </w:r>
      <w:r w:rsidR="00FA0E47">
        <w:t xml:space="preserve">Swadling </w:t>
      </w:r>
      <w:r w:rsidR="000A4031">
        <w:t>who would</w:t>
      </w:r>
      <w:r w:rsidR="00FA0E47">
        <w:t xml:space="preserve"> restrict proprietary restitution to cases of unauthorised transfers, leaving the deceived or mistaken transferor with merely a personal claim for restitution.</w:t>
      </w:r>
      <w:r w:rsidR="00FA0E47">
        <w:rPr>
          <w:rStyle w:val="FootnoteReference"/>
        </w:rPr>
        <w:footnoteReference w:id="27"/>
      </w:r>
      <w:r w:rsidR="00FA0E47">
        <w:t xml:space="preserve"> Swadling’s approach rests on the premise that unjust enrichment and property are discrete and exclusive categories, without any overlap. Importantly, Swadling argues that where the claimant has authorised a transfer, title to the money will pass to the recipient regardless of whether</w:t>
      </w:r>
      <w:r w:rsidR="00FA0E47" w:rsidRPr="00F568FD">
        <w:t xml:space="preserve"> the transfer was made under a mistake or was induced by deception. </w:t>
      </w:r>
    </w:p>
    <w:p w:rsidR="00FA0E47" w:rsidRDefault="00FA0E47" w:rsidP="00FA0E47">
      <w:pPr>
        <w:spacing w:line="360" w:lineRule="auto"/>
        <w:ind w:firstLine="720"/>
        <w:jc w:val="both"/>
        <w:rPr>
          <w:rStyle w:val="hit"/>
        </w:rPr>
      </w:pPr>
      <w:r>
        <w:t xml:space="preserve">There are two reasons for departing from Swadling’s </w:t>
      </w:r>
      <w:r w:rsidR="00E062D4">
        <w:t>refusal to accept the possibility of proprietary restitution in cases of mistake</w:t>
      </w:r>
      <w:r>
        <w:t>.</w:t>
      </w:r>
      <w:r w:rsidRPr="00F568FD">
        <w:t xml:space="preserve"> </w:t>
      </w:r>
      <w:r>
        <w:t>The first reason relates to the question of how the views of Swadling ‘fit’ with the ca</w:t>
      </w:r>
      <w:r w:rsidR="00E062D4">
        <w:t xml:space="preserve">se law. </w:t>
      </w:r>
      <w:r w:rsidRPr="00F568FD">
        <w:t>Swadling</w:t>
      </w:r>
      <w:r>
        <w:t xml:space="preserve"> concede</w:t>
      </w:r>
      <w:r w:rsidR="00016547">
        <w:t>s</w:t>
      </w:r>
      <w:r>
        <w:t xml:space="preserve"> </w:t>
      </w:r>
      <w:r w:rsidR="00016547">
        <w:t xml:space="preserve">that </w:t>
      </w:r>
      <w:r>
        <w:t>this position is one that would involve regarding some of the existing case law as wrongly decided.</w:t>
      </w:r>
      <w:r>
        <w:rPr>
          <w:rStyle w:val="FootnoteReference"/>
        </w:rPr>
        <w:footnoteReference w:id="28"/>
      </w:r>
      <w:r>
        <w:t xml:space="preserve"> </w:t>
      </w:r>
      <w:r>
        <w:rPr>
          <w:iCs/>
        </w:rPr>
        <w:t xml:space="preserve">This can be demonstrated by considering how </w:t>
      </w:r>
      <w:r w:rsidRPr="00753A3B">
        <w:rPr>
          <w:iCs/>
        </w:rPr>
        <w:t xml:space="preserve">the courts have actually been applying </w:t>
      </w:r>
      <w:r>
        <w:rPr>
          <w:iCs/>
        </w:rPr>
        <w:t>proprietary</w:t>
      </w:r>
      <w:r w:rsidRPr="00753A3B">
        <w:rPr>
          <w:iCs/>
        </w:rPr>
        <w:t xml:space="preserve"> restitution in </w:t>
      </w:r>
      <w:r>
        <w:rPr>
          <w:iCs/>
        </w:rPr>
        <w:t>cases of fraudulently induc</w:t>
      </w:r>
      <w:r w:rsidRPr="00753A3B">
        <w:rPr>
          <w:iCs/>
        </w:rPr>
        <w:t xml:space="preserve">ed </w:t>
      </w:r>
      <w:r>
        <w:rPr>
          <w:iCs/>
        </w:rPr>
        <w:t>transfers.</w:t>
      </w:r>
      <w:r w:rsidRPr="00753A3B">
        <w:rPr>
          <w:iCs/>
        </w:rPr>
        <w:t xml:space="preserve"> </w:t>
      </w:r>
      <w:r w:rsidR="00382563">
        <w:t xml:space="preserve">For example, it is evident that the claim would provide priority in insolvency as demonstrated by </w:t>
      </w:r>
      <w:r w:rsidR="00382563">
        <w:rPr>
          <w:rStyle w:val="hit"/>
          <w:i/>
        </w:rPr>
        <w:t>Commerzbank Aktiengesellschaft v IMB Morgan plc</w:t>
      </w:r>
      <w:r w:rsidR="00382563">
        <w:rPr>
          <w:rStyle w:val="hit"/>
        </w:rPr>
        <w:t>, where many of the claimants had apparently been unaware that they had been the victims of fraud.</w:t>
      </w:r>
      <w:bookmarkStart w:id="9" w:name="_Ref376625518"/>
      <w:r w:rsidR="00382563">
        <w:rPr>
          <w:rStyle w:val="FootnoteReference"/>
        </w:rPr>
        <w:footnoteReference w:id="29"/>
      </w:r>
      <w:bookmarkEnd w:id="9"/>
      <w:r w:rsidR="00382563">
        <w:rPr>
          <w:rStyle w:val="hit"/>
        </w:rPr>
        <w:t xml:space="preserve"> Despite the fact that there were insufficient funds to repay all of the creditors, the claimants who could show that they were victims of fraud were awarded proprietary claims.</w:t>
      </w:r>
      <w:r w:rsidRPr="00753A3B">
        <w:rPr>
          <w:rStyle w:val="hit"/>
        </w:rPr>
        <w:t xml:space="preserve"> </w:t>
      </w:r>
    </w:p>
    <w:p w:rsidR="00FA0E47" w:rsidRDefault="00FA0E47" w:rsidP="00FA0E47">
      <w:pPr>
        <w:spacing w:line="360" w:lineRule="auto"/>
        <w:ind w:firstLine="720"/>
        <w:jc w:val="both"/>
      </w:pPr>
      <w:r>
        <w:rPr>
          <w:rStyle w:val="hit"/>
        </w:rPr>
        <w:t xml:space="preserve">The second reason for departing from Swadling’s general proposition that proprietary </w:t>
      </w:r>
      <w:r w:rsidR="00283E18">
        <w:rPr>
          <w:rStyle w:val="hit"/>
        </w:rPr>
        <w:t>claims are</w:t>
      </w:r>
      <w:r>
        <w:rPr>
          <w:rStyle w:val="hit"/>
        </w:rPr>
        <w:t xml:space="preserve"> not available for mistaken payments or fraudulently induced transfers is that the passing of title </w:t>
      </w:r>
      <w:r w:rsidR="00DB7253">
        <w:rPr>
          <w:rStyle w:val="hit"/>
        </w:rPr>
        <w:t>does not preclude</w:t>
      </w:r>
      <w:r>
        <w:rPr>
          <w:rStyle w:val="hit"/>
        </w:rPr>
        <w:t xml:space="preserve"> a new equitable title from coming into existence</w:t>
      </w:r>
      <w:r w:rsidR="001C6AF5">
        <w:rPr>
          <w:rStyle w:val="hit"/>
        </w:rPr>
        <w:t xml:space="preserve"> in response to other factors</w:t>
      </w:r>
      <w:r>
        <w:rPr>
          <w:rStyle w:val="hit"/>
        </w:rPr>
        <w:t xml:space="preserve">. For Swadling, the focus is solely on the actions of the claimant as under his approach it is only where the claimant has not intended to transfer the money to the recipient that </w:t>
      </w:r>
      <w:r w:rsidR="00D804CD">
        <w:rPr>
          <w:rStyle w:val="hit"/>
        </w:rPr>
        <w:t>proprietary restitution</w:t>
      </w:r>
      <w:r>
        <w:rPr>
          <w:rStyle w:val="hit"/>
        </w:rPr>
        <w:t xml:space="preserve"> will be available to protect the title of the claimant.</w:t>
      </w:r>
      <w:r>
        <w:rPr>
          <w:rStyle w:val="FootnoteReference"/>
        </w:rPr>
        <w:footnoteReference w:id="30"/>
      </w:r>
      <w:r>
        <w:rPr>
          <w:rStyle w:val="hit"/>
        </w:rPr>
        <w:t xml:space="preserve"> In other words, </w:t>
      </w:r>
      <w:r w:rsidR="00E062D4">
        <w:rPr>
          <w:rStyle w:val="hit"/>
        </w:rPr>
        <w:t xml:space="preserve">by </w:t>
      </w:r>
      <w:r w:rsidR="00283E18">
        <w:rPr>
          <w:rStyle w:val="hit"/>
        </w:rPr>
        <w:t>focusing</w:t>
      </w:r>
      <w:r w:rsidR="00E062D4">
        <w:rPr>
          <w:rStyle w:val="hit"/>
        </w:rPr>
        <w:t xml:space="preserve"> purely on </w:t>
      </w:r>
      <w:r>
        <w:rPr>
          <w:rStyle w:val="hit"/>
        </w:rPr>
        <w:t xml:space="preserve">the </w:t>
      </w:r>
      <w:r w:rsidR="00E062D4">
        <w:rPr>
          <w:rStyle w:val="hit"/>
        </w:rPr>
        <w:t xml:space="preserve">intention of the claimant it precludes any </w:t>
      </w:r>
      <w:r>
        <w:rPr>
          <w:rStyle w:val="hit"/>
        </w:rPr>
        <w:t xml:space="preserve">consideration of the behaviour of the recipient in the establishment of a proprietary interest. One can agree with Swadling’s argument that a mistake or a fraudulently induced transfer will normally be effective to defeat the original title of the transferor, but that does not need to lead to the </w:t>
      </w:r>
      <w:r>
        <w:rPr>
          <w:rStyle w:val="hit"/>
        </w:rPr>
        <w:lastRenderedPageBreak/>
        <w:t>conclusion that a new title for the transferor cannot be created in the appropriate circumstances.</w:t>
      </w:r>
    </w:p>
    <w:p w:rsidR="00FA0E47" w:rsidRDefault="00FA0E47" w:rsidP="00FA0E47">
      <w:pPr>
        <w:spacing w:line="360" w:lineRule="auto"/>
        <w:ind w:firstLine="720"/>
        <w:jc w:val="both"/>
      </w:pPr>
    </w:p>
    <w:p w:rsidR="0019503A" w:rsidRPr="00AC23D5" w:rsidRDefault="00FA0E47" w:rsidP="00C937DB">
      <w:pPr>
        <w:pStyle w:val="header2"/>
        <w:spacing w:line="360" w:lineRule="auto"/>
        <w:jc w:val="center"/>
        <w:rPr>
          <w:b w:val="0"/>
          <w:i/>
        </w:rPr>
      </w:pPr>
      <w:r>
        <w:rPr>
          <w:b w:val="0"/>
          <w:i/>
        </w:rPr>
        <w:t>B</w:t>
      </w:r>
      <w:r w:rsidR="0019503A" w:rsidRPr="00AC23D5">
        <w:rPr>
          <w:b w:val="0"/>
          <w:i/>
        </w:rPr>
        <w:t>. Unjust Enrichment</w:t>
      </w:r>
      <w:r w:rsidR="009904CB" w:rsidRPr="00AC23D5">
        <w:rPr>
          <w:b w:val="0"/>
          <w:i/>
        </w:rPr>
        <w:t xml:space="preserve"> theorists</w:t>
      </w:r>
    </w:p>
    <w:p w:rsidR="0019503A" w:rsidRDefault="0019503A" w:rsidP="00C937DB">
      <w:pPr>
        <w:spacing w:line="360" w:lineRule="auto"/>
        <w:jc w:val="both"/>
      </w:pPr>
    </w:p>
    <w:p w:rsidR="0019503A" w:rsidRDefault="00E062D4" w:rsidP="00C937DB">
      <w:pPr>
        <w:spacing w:line="360" w:lineRule="auto"/>
        <w:jc w:val="both"/>
      </w:pPr>
      <w:r>
        <w:t>In sharp contrast to the position taken by Swadling, a</w:t>
      </w:r>
      <w:r w:rsidR="0019503A">
        <w:t xml:space="preserve"> number of unjust enrichment scholars have argued that </w:t>
      </w:r>
      <w:r w:rsidR="00D804CD">
        <w:rPr>
          <w:rStyle w:val="hit"/>
        </w:rPr>
        <w:t>proprietary restitution</w:t>
      </w:r>
      <w:r w:rsidR="00D804CD">
        <w:t xml:space="preserve"> is</w:t>
      </w:r>
      <w:r w:rsidR="0019503A">
        <w:t>, or at least should be, available for claims arising from unjust enrichment.</w:t>
      </w:r>
      <w:r w:rsidR="002431C4">
        <w:rPr>
          <w:rStyle w:val="FootnoteReference"/>
        </w:rPr>
        <w:footnoteReference w:id="31"/>
      </w:r>
      <w:r w:rsidR="00560BE1">
        <w:t xml:space="preserve"> Notably, </w:t>
      </w:r>
      <w:r w:rsidR="00FA0E47">
        <w:t>in the context of mistaken payments,</w:t>
      </w:r>
      <w:r w:rsidR="006344B7">
        <w:t xml:space="preserve"> </w:t>
      </w:r>
      <w:r w:rsidR="00560BE1">
        <w:t xml:space="preserve">the question of </w:t>
      </w:r>
      <w:r w:rsidR="00D804CD">
        <w:rPr>
          <w:rStyle w:val="hit"/>
        </w:rPr>
        <w:t>proprietary restitution</w:t>
      </w:r>
      <w:r w:rsidR="00560BE1">
        <w:t xml:space="preserve"> under the unjust enrichment approach is claimant-orientated as it focuses on the absence of the claimant’s fully informed consent.</w:t>
      </w:r>
      <w:r w:rsidR="004B4C7D">
        <w:rPr>
          <w:rStyle w:val="FootnoteReference"/>
        </w:rPr>
        <w:footnoteReference w:id="32"/>
      </w:r>
      <w:r w:rsidR="0019503A">
        <w:t xml:space="preserve"> The oft-cited decision in </w:t>
      </w:r>
      <w:r w:rsidR="0019503A" w:rsidRPr="00F42685">
        <w:rPr>
          <w:i/>
          <w:iCs/>
        </w:rPr>
        <w:t xml:space="preserve">Chase Manhattan </w:t>
      </w:r>
      <w:r w:rsidR="0019503A" w:rsidRPr="00F42685">
        <w:t xml:space="preserve">is purportedly an example of </w:t>
      </w:r>
      <w:r w:rsidR="00CC1560">
        <w:t>proprietary</w:t>
      </w:r>
      <w:r w:rsidR="0019503A" w:rsidRPr="00F42685">
        <w:t xml:space="preserve"> restitution for unjust enrichment.</w:t>
      </w:r>
      <w:r w:rsidR="0019503A" w:rsidRPr="00F42685">
        <w:rPr>
          <w:rStyle w:val="FootnoteReference"/>
          <w:iCs/>
        </w:rPr>
        <w:footnoteReference w:id="33"/>
      </w:r>
      <w:r w:rsidR="0019503A" w:rsidRPr="00F42685">
        <w:t xml:space="preserve"> The facts are well known; the </w:t>
      </w:r>
      <w:r w:rsidR="00A70B10">
        <w:t xml:space="preserve">claimant bank mistakenly paid </w:t>
      </w:r>
      <w:r w:rsidR="00A70B10" w:rsidRPr="002E26BE">
        <w:t>$2</w:t>
      </w:r>
      <w:r w:rsidR="0019503A" w:rsidRPr="002E26BE">
        <w:t xml:space="preserve"> million</w:t>
      </w:r>
      <w:r w:rsidR="0019503A" w:rsidRPr="00F42685">
        <w:t xml:space="preserve"> to the defendant bank, which then entered </w:t>
      </w:r>
      <w:r w:rsidR="0019503A" w:rsidRPr="00E77A44">
        <w:t>liquidation</w:t>
      </w:r>
      <w:r w:rsidR="0019503A" w:rsidRPr="00F42685">
        <w:t xml:space="preserve"> before the money was repaid.</w:t>
      </w:r>
      <w:r w:rsidR="0019503A">
        <w:t xml:space="preserve"> Goulding J</w:t>
      </w:r>
      <w:r w:rsidR="00DB7253">
        <w:t>.</w:t>
      </w:r>
      <w:r w:rsidR="0019503A">
        <w:t xml:space="preserve"> </w:t>
      </w:r>
      <w:r w:rsidR="00DB7253">
        <w:t>concluded</w:t>
      </w:r>
      <w:r w:rsidR="0019503A">
        <w:t xml:space="preserve"> that the money was held under a trust as the transferor retained an equitable interest in the money. As mistake is a recognised ‘unjust factor’, </w:t>
      </w:r>
      <w:r w:rsidR="00DB7253">
        <w:t xml:space="preserve">this decision has been used to support the proposition </w:t>
      </w:r>
      <w:r w:rsidR="0019503A">
        <w:t xml:space="preserve">that </w:t>
      </w:r>
      <w:r w:rsidR="00CC1560">
        <w:t>proprietary</w:t>
      </w:r>
      <w:r w:rsidR="0019503A">
        <w:t xml:space="preserve"> restitution is generally available for other unjust factors</w:t>
      </w:r>
      <w:r w:rsidR="005D6776">
        <w:t xml:space="preserve">, except in cases where the unjust factor is </w:t>
      </w:r>
      <w:r w:rsidR="005A6158">
        <w:t xml:space="preserve">a subsequent </w:t>
      </w:r>
      <w:r w:rsidR="005D6776">
        <w:t>failure of consideration</w:t>
      </w:r>
      <w:r w:rsidR="0019503A">
        <w:t>.</w:t>
      </w:r>
      <w:bookmarkStart w:id="10" w:name="_Ref333497744"/>
      <w:r w:rsidR="0019503A">
        <w:rPr>
          <w:rStyle w:val="FootnoteReference"/>
        </w:rPr>
        <w:footnoteReference w:id="34"/>
      </w:r>
      <w:bookmarkEnd w:id="10"/>
      <w:r w:rsidR="0019503A">
        <w:t xml:space="preserve"> </w:t>
      </w:r>
    </w:p>
    <w:p w:rsidR="0019503A" w:rsidRDefault="0019503A" w:rsidP="00C937DB">
      <w:pPr>
        <w:spacing w:line="360" w:lineRule="auto"/>
        <w:ind w:firstLine="720"/>
        <w:jc w:val="both"/>
      </w:pPr>
      <w:r>
        <w:t xml:space="preserve">The problem with arguing that </w:t>
      </w:r>
      <w:r>
        <w:rPr>
          <w:i/>
        </w:rPr>
        <w:t xml:space="preserve">Chase Manhattan </w:t>
      </w:r>
      <w:r>
        <w:t>establishes the general availability of proprietary restitution for</w:t>
      </w:r>
      <w:r w:rsidR="00E062D4">
        <w:t xml:space="preserve"> mistaken</w:t>
      </w:r>
      <w:r w:rsidR="004B4C7D">
        <w:t xml:space="preserve"> transfers</w:t>
      </w:r>
      <w:r>
        <w:t xml:space="preserve"> is that it is not reflected in the case law.</w:t>
      </w:r>
      <w:bookmarkStart w:id="11" w:name="_Ref359275501"/>
      <w:r>
        <w:rPr>
          <w:rStyle w:val="FootnoteReference"/>
        </w:rPr>
        <w:footnoteReference w:id="35"/>
      </w:r>
      <w:bookmarkEnd w:id="11"/>
      <w:r>
        <w:t xml:space="preserve"> One such example is </w:t>
      </w:r>
      <w:r w:rsidRPr="001F12FE">
        <w:rPr>
          <w:i/>
        </w:rPr>
        <w:t>Fitzalan-Howard (Norfolk) v Hibbert</w:t>
      </w:r>
      <w:r w:rsidR="004B4C7D">
        <w:t>,</w:t>
      </w:r>
      <w:r w:rsidRPr="001F12FE">
        <w:t xml:space="preserve"> </w:t>
      </w:r>
      <w:r>
        <w:t xml:space="preserve">where </w:t>
      </w:r>
      <w:r w:rsidR="004B4C7D">
        <w:t xml:space="preserve">the recipient entered administration before there was an opportunity to repay </w:t>
      </w:r>
      <w:r>
        <w:t>a mistaken payment.</w:t>
      </w:r>
      <w:bookmarkStart w:id="12" w:name="_Ref334205214"/>
      <w:r w:rsidRPr="001F12FE">
        <w:rPr>
          <w:rStyle w:val="FootnoteReference"/>
        </w:rPr>
        <w:footnoteReference w:id="36"/>
      </w:r>
      <w:bookmarkEnd w:id="12"/>
      <w:r>
        <w:t xml:space="preserve"> In other words, this case appears to be </w:t>
      </w:r>
      <w:r>
        <w:rPr>
          <w:i/>
        </w:rPr>
        <w:t xml:space="preserve">very </w:t>
      </w:r>
      <w:r>
        <w:t xml:space="preserve">similar to </w:t>
      </w:r>
      <w:r>
        <w:rPr>
          <w:i/>
        </w:rPr>
        <w:t>Chase Manhattan</w:t>
      </w:r>
      <w:r>
        <w:t>. Tomlinson J</w:t>
      </w:r>
      <w:r w:rsidR="003F6B2E">
        <w:t>.</w:t>
      </w:r>
      <w:r>
        <w:t xml:space="preserve"> explained that the issue of whether </w:t>
      </w:r>
      <w:r w:rsidR="00CC1560">
        <w:t>proprietary</w:t>
      </w:r>
      <w:r>
        <w:t xml:space="preserve"> restitution was ava</w:t>
      </w:r>
      <w:r w:rsidR="00B866CD">
        <w:t>ilable was a “difficult” one</w:t>
      </w:r>
      <w:r w:rsidR="004B4C7D">
        <w:t>,</w:t>
      </w:r>
      <w:r w:rsidR="00B866CD">
        <w:t xml:space="preserve"> but</w:t>
      </w:r>
      <w:r>
        <w:t xml:space="preserve"> </w:t>
      </w:r>
      <w:r w:rsidR="00B866CD">
        <w:t xml:space="preserve">that </w:t>
      </w:r>
      <w:r>
        <w:t xml:space="preserve">it was not necessary to </w:t>
      </w:r>
      <w:r w:rsidR="00B866CD">
        <w:t xml:space="preserve">conclusively </w:t>
      </w:r>
      <w:r>
        <w:t>deal with the issue as it had not been argued by the claimant.</w:t>
      </w:r>
      <w:r>
        <w:rPr>
          <w:rStyle w:val="FootnoteReference"/>
        </w:rPr>
        <w:footnoteReference w:id="37"/>
      </w:r>
      <w:r>
        <w:t xml:space="preserve"> Nonetheless, Tomlinson J</w:t>
      </w:r>
      <w:r w:rsidR="000E2AEE">
        <w:t>.</w:t>
      </w:r>
      <w:r>
        <w:t>’s judgment indicated that proprietary restitution would not be available from the outset, and</w:t>
      </w:r>
      <w:r w:rsidR="005C790E">
        <w:t xml:space="preserve"> moreover</w:t>
      </w:r>
      <w:r w:rsidR="00594590">
        <w:t xml:space="preserve"> that </w:t>
      </w:r>
      <w:r>
        <w:t xml:space="preserve">the success of such a claim would depend on </w:t>
      </w:r>
      <w:r w:rsidR="00B866CD">
        <w:t xml:space="preserve">the </w:t>
      </w:r>
      <w:r w:rsidR="0065151B">
        <w:lastRenderedPageBreak/>
        <w:t xml:space="preserve">state of mind and the </w:t>
      </w:r>
      <w:r w:rsidR="00B866CD">
        <w:t>actions of</w:t>
      </w:r>
      <w:r>
        <w:t xml:space="preserve"> the defendant after the payment was received.</w:t>
      </w:r>
      <w:r>
        <w:rPr>
          <w:rStyle w:val="FootnoteReference"/>
        </w:rPr>
        <w:footnoteReference w:id="38"/>
      </w:r>
      <w:r>
        <w:t xml:space="preserve"> In another recent decision, </w:t>
      </w:r>
      <w:r w:rsidRPr="00EC3A59">
        <w:rPr>
          <w:i/>
        </w:rPr>
        <w:t>Pertemps Recruitment Partnership Ltd v HMRC</w:t>
      </w:r>
      <w:bookmarkStart w:id="13" w:name="_Ref334200020"/>
      <w:r w:rsidRPr="00140A49">
        <w:t>,</w:t>
      </w:r>
      <w:bookmarkStart w:id="14" w:name="_Ref358478507"/>
      <w:r w:rsidRPr="00EC3A59">
        <w:rPr>
          <w:rStyle w:val="FootnoteReference"/>
        </w:rPr>
        <w:footnoteReference w:id="39"/>
      </w:r>
      <w:bookmarkEnd w:id="13"/>
      <w:bookmarkEnd w:id="14"/>
      <w:r>
        <w:t xml:space="preserve"> Arnold J</w:t>
      </w:r>
      <w:r w:rsidR="003F6B2E">
        <w:t>.</w:t>
      </w:r>
      <w:r>
        <w:t xml:space="preserve"> concluded that mistaken payments</w:t>
      </w:r>
      <w:r w:rsidR="004D2478">
        <w:t>,</w:t>
      </w:r>
      <w:r>
        <w:t xml:space="preserve"> which were received by a recruitment agency</w:t>
      </w:r>
      <w:r w:rsidR="004D2478">
        <w:t>,</w:t>
      </w:r>
      <w:r>
        <w:t xml:space="preserve"> formed part of the assets of the recipient company. The clients who had made these payments did not have any </w:t>
      </w:r>
      <w:r w:rsidR="001D62C8">
        <w:t xml:space="preserve">proprietary </w:t>
      </w:r>
      <w:r>
        <w:t>interest in the mistaken payments, and would only</w:t>
      </w:r>
      <w:r w:rsidR="005C790E">
        <w:t xml:space="preserve"> have</w:t>
      </w:r>
      <w:r>
        <w:t xml:space="preserve"> be</w:t>
      </w:r>
      <w:r w:rsidR="005C790E">
        <w:t>en</w:t>
      </w:r>
      <w:r>
        <w:t xml:space="preserve"> entitled to a personal claim for restitution.</w:t>
      </w:r>
    </w:p>
    <w:p w:rsidR="005A6158" w:rsidRDefault="0019503A" w:rsidP="00C937DB">
      <w:pPr>
        <w:spacing w:line="360" w:lineRule="auto"/>
        <w:ind w:firstLine="720"/>
        <w:jc w:val="both"/>
      </w:pPr>
      <w:r>
        <w:t xml:space="preserve">Admittedly, one may take the view that the more recent case law is wrong. Nevertheless, if the </w:t>
      </w:r>
      <w:r>
        <w:rPr>
          <w:i/>
        </w:rPr>
        <w:t xml:space="preserve">Chase Manhattan </w:t>
      </w:r>
      <w:r>
        <w:t>decision does stand for the general availability of proprietary restitution in cases of unjust enrichment, a workable model needs to be developed to explain when it is and is not available. In Birks’ earlier writings, he conceded that the availabilit</w:t>
      </w:r>
      <w:r w:rsidR="00DB7253">
        <w:t>y of proprietary restitution had</w:t>
      </w:r>
      <w:r>
        <w:t xml:space="preserve"> “never been clearly stated”.</w:t>
      </w:r>
      <w:r>
        <w:rPr>
          <w:rStyle w:val="FootnoteReference"/>
        </w:rPr>
        <w:footnoteReference w:id="40"/>
      </w:r>
      <w:r>
        <w:t xml:space="preserve"> </w:t>
      </w:r>
      <w:r w:rsidR="001D62C8">
        <w:t>Even today, the issue remains unsettled.</w:t>
      </w:r>
      <w:r w:rsidR="004D2478">
        <w:rPr>
          <w:rStyle w:val="FootnoteReference"/>
        </w:rPr>
        <w:footnoteReference w:id="41"/>
      </w:r>
      <w:r w:rsidR="005C790E">
        <w:t xml:space="preserve"> </w:t>
      </w:r>
      <w:r>
        <w:t xml:space="preserve">Birks, for example, advocated what he referred to as the “pro-proprietary future” whereby </w:t>
      </w:r>
      <w:r w:rsidR="00CC1560">
        <w:t>proprietary</w:t>
      </w:r>
      <w:r>
        <w:t xml:space="preserve"> restitution would be available for all cases of vitiated </w:t>
      </w:r>
      <w:r w:rsidR="00945F54">
        <w:t>transfers</w:t>
      </w:r>
      <w:r>
        <w:t>.</w:t>
      </w:r>
      <w:bookmarkStart w:id="15" w:name="_Ref334171634"/>
      <w:r>
        <w:rPr>
          <w:rStyle w:val="FootnoteReference"/>
        </w:rPr>
        <w:footnoteReference w:id="42"/>
      </w:r>
      <w:bookmarkEnd w:id="15"/>
      <w:r>
        <w:t xml:space="preserve"> This would arguably be a case of “proprietary overkill”, particularly when commentators such as Swadling and Calnan have objected to the availability of proprietary restitution </w:t>
      </w:r>
      <w:r w:rsidR="00DB7253">
        <w:t xml:space="preserve">even in cases of fraudulently induced </w:t>
      </w:r>
      <w:r w:rsidR="00E062D4" w:rsidRPr="00E062D4">
        <w:t>payments</w:t>
      </w:r>
      <w:r>
        <w:t>.</w:t>
      </w:r>
      <w:r w:rsidR="00AB5D6A">
        <w:rPr>
          <w:rStyle w:val="FootnoteReference"/>
        </w:rPr>
        <w:footnoteReference w:id="43"/>
      </w:r>
      <w:r>
        <w:t xml:space="preserve"> Another leading unjust enri</w:t>
      </w:r>
      <w:r w:rsidR="004D2478">
        <w:t xml:space="preserve">chment lawyer, Burrows, </w:t>
      </w:r>
      <w:r w:rsidR="00DB7253">
        <w:t>has presented</w:t>
      </w:r>
      <w:r>
        <w:t xml:space="preserve"> a more restrained approach that would allow </w:t>
      </w:r>
      <w:r w:rsidR="00CC1560">
        <w:t>proprietary</w:t>
      </w:r>
      <w:r>
        <w:t xml:space="preserve"> restitution where the claimant has not “taken the risk of insolvency”, which would operate in cases such as mistaken payments or fraudulent transfers but not in others such as </w:t>
      </w:r>
      <w:r w:rsidRPr="00892E3D">
        <w:t>failure of consideration.</w:t>
      </w:r>
      <w:r w:rsidRPr="00892E3D">
        <w:rPr>
          <w:rStyle w:val="FootnoteReference"/>
        </w:rPr>
        <w:footnoteReference w:id="44"/>
      </w:r>
      <w:r>
        <w:t xml:space="preserve"> However, as a test for determining when proprietary restitution would be available, it does not seem to provide sufficiently clear guidance. One could argue that someone takes the risk of insolvency the second that they pay their money over to another individual, even if the transfer was induced by a fraudster. As Duggan explains, “</w:t>
      </w:r>
      <w:r w:rsidRPr="006C38C5">
        <w:t>it could just as plausibly be argued that the risk of fraud is an incident of contracting</w:t>
      </w:r>
      <w:r>
        <w:t>.”</w:t>
      </w:r>
      <w:r>
        <w:rPr>
          <w:rStyle w:val="FootnoteReference"/>
        </w:rPr>
        <w:footnoteReference w:id="45"/>
      </w:r>
      <w:r>
        <w:t xml:space="preserve"> A transferor </w:t>
      </w:r>
      <w:r w:rsidR="003A43AC">
        <w:lastRenderedPageBreak/>
        <w:t xml:space="preserve">whose consent is vitiated </w:t>
      </w:r>
      <w:r w:rsidR="00462E4D">
        <w:t xml:space="preserve">because they were operating under a mistaken belief </w:t>
      </w:r>
      <w:r>
        <w:t>always takes at least some risk</w:t>
      </w:r>
      <w:r w:rsidR="00DB7253">
        <w:t>,</w:t>
      </w:r>
      <w:r>
        <w:t xml:space="preserve"> even where proprietary restitution will be available, as the money might not be recoverable if, for example, it has been transferred into an overdrawn account.</w:t>
      </w:r>
      <w:r>
        <w:rPr>
          <w:rStyle w:val="FootnoteReference"/>
        </w:rPr>
        <w:footnoteReference w:id="46"/>
      </w:r>
      <w:r>
        <w:t xml:space="preserve"> </w:t>
      </w:r>
    </w:p>
    <w:p w:rsidR="009136BA" w:rsidRDefault="0019503A" w:rsidP="00C937DB">
      <w:pPr>
        <w:spacing w:line="360" w:lineRule="auto"/>
        <w:ind w:firstLine="720"/>
        <w:jc w:val="both"/>
        <w:rPr>
          <w:rFonts w:eastAsia="Calibri"/>
        </w:rPr>
      </w:pPr>
      <w:r>
        <w:t>Moreover, there are cases of failure of consideration where one could argue that the claimants did not consciously take the risk of insolvency. In particular, in cases involving consumer purchases, there is very little room for a consumer to negotiate a contract whereby they will stand as a secured rather than an unsecured creditor.</w:t>
      </w:r>
      <w:r>
        <w:rPr>
          <w:rStyle w:val="FootnoteReference"/>
        </w:rPr>
        <w:footnoteReference w:id="47"/>
      </w:r>
      <w:r>
        <w:t xml:space="preserve"> According</w:t>
      </w:r>
      <w:r w:rsidR="00DB7253">
        <w:t>ly, Chambers has stated that</w:t>
      </w:r>
      <w:r>
        <w:t xml:space="preserve"> “[i]t is not obvious why a provider who believes ‘that the recipient will perform his part of the bargain’ is any more of a risk-taker than a mistaken payer.”</w:t>
      </w:r>
      <w:r>
        <w:rPr>
          <w:rStyle w:val="FootnoteReference"/>
        </w:rPr>
        <w:footnoteReference w:id="48"/>
      </w:r>
      <w:r>
        <w:t xml:space="preserve"> </w:t>
      </w:r>
      <w:r w:rsidR="00246D9F">
        <w:t xml:space="preserve">As a justification for providing proprietary restitution, this would imply that </w:t>
      </w:r>
      <w:r w:rsidR="005C790E">
        <w:t>a proprietary claim</w:t>
      </w:r>
      <w:r w:rsidR="00246D9F">
        <w:t xml:space="preserve"> could be </w:t>
      </w:r>
      <w:r w:rsidR="005C790E">
        <w:t>available in other claims of unjust enrichment</w:t>
      </w:r>
      <w:r w:rsidR="00246D9F" w:rsidRPr="00C54D81">
        <w:t>, which is not supported by the current case law</w:t>
      </w:r>
      <w:r w:rsidR="00246D9F">
        <w:t xml:space="preserve"> and could also operate to the detriment of others whose claims may be just as deserving as the mistaken payer</w:t>
      </w:r>
      <w:r w:rsidR="00246D9F" w:rsidRPr="00C54D81">
        <w:t>.</w:t>
      </w:r>
      <w:r w:rsidR="00246D9F" w:rsidRPr="00560BE1">
        <w:t xml:space="preserve"> </w:t>
      </w:r>
      <w:r w:rsidR="00246D9F">
        <w:rPr>
          <w:rFonts w:eastAsia="Calibri"/>
        </w:rPr>
        <w:t>Obviously, it would be impractical and would fundamentally change th</w:t>
      </w:r>
      <w:r w:rsidR="001D62C8">
        <w:rPr>
          <w:rFonts w:eastAsia="Calibri"/>
        </w:rPr>
        <w:t xml:space="preserve">e nature of insolvency law if </w:t>
      </w:r>
      <w:r w:rsidR="00246D9F">
        <w:rPr>
          <w:rFonts w:eastAsia="Calibri"/>
        </w:rPr>
        <w:t>claimant</w:t>
      </w:r>
      <w:r w:rsidR="001D62C8">
        <w:rPr>
          <w:rFonts w:eastAsia="Calibri"/>
        </w:rPr>
        <w:t>s were</w:t>
      </w:r>
      <w:r w:rsidR="00246D9F">
        <w:rPr>
          <w:rFonts w:eastAsia="Calibri"/>
        </w:rPr>
        <w:t xml:space="preserve"> afforded proprietary </w:t>
      </w:r>
      <w:r w:rsidR="001D62C8">
        <w:rPr>
          <w:rFonts w:eastAsia="Calibri"/>
        </w:rPr>
        <w:t xml:space="preserve">restitution for </w:t>
      </w:r>
      <w:r w:rsidR="009136BA">
        <w:rPr>
          <w:rFonts w:eastAsia="Calibri"/>
        </w:rPr>
        <w:t xml:space="preserve">subsequent </w:t>
      </w:r>
      <w:r w:rsidR="00246D9F">
        <w:rPr>
          <w:rFonts w:eastAsia="Calibri"/>
        </w:rPr>
        <w:t>failure</w:t>
      </w:r>
      <w:r w:rsidR="001D62C8">
        <w:rPr>
          <w:rFonts w:eastAsia="Calibri"/>
        </w:rPr>
        <w:t>s</w:t>
      </w:r>
      <w:r w:rsidR="00246D9F">
        <w:rPr>
          <w:rFonts w:eastAsia="Calibri"/>
        </w:rPr>
        <w:t xml:space="preserve"> of consideration.</w:t>
      </w:r>
      <w:r w:rsidR="00246D9F">
        <w:rPr>
          <w:rStyle w:val="FootnoteReference"/>
          <w:rFonts w:eastAsia="Calibri"/>
        </w:rPr>
        <w:footnoteReference w:id="49"/>
      </w:r>
      <w:r w:rsidR="009136BA">
        <w:rPr>
          <w:rFonts w:eastAsia="Calibri"/>
        </w:rPr>
        <w:t xml:space="preserve"> </w:t>
      </w:r>
      <w:r w:rsidR="001D62C8">
        <w:rPr>
          <w:rFonts w:eastAsia="Calibri"/>
        </w:rPr>
        <w:t>However, i</w:t>
      </w:r>
      <w:r w:rsidR="00246D9F">
        <w:rPr>
          <w:rFonts w:eastAsia="Calibri"/>
        </w:rPr>
        <w:t>t is hard to see how the mistaken payer has any more justification to</w:t>
      </w:r>
      <w:r w:rsidR="001D62C8">
        <w:rPr>
          <w:rFonts w:eastAsia="Calibri"/>
        </w:rPr>
        <w:t xml:space="preserve"> have the benefit of</w:t>
      </w:r>
      <w:r w:rsidR="00246D9F">
        <w:rPr>
          <w:rFonts w:eastAsia="Calibri"/>
        </w:rPr>
        <w:t xml:space="preserve"> proprietary restitution except for the elementary fact that there are likely to be many less mistaken payers than those who would seek restitution on other grounds.</w:t>
      </w:r>
      <w:r w:rsidR="00A00A00">
        <w:rPr>
          <w:rStyle w:val="FootnoteReference"/>
          <w:rFonts w:eastAsia="Calibri"/>
        </w:rPr>
        <w:footnoteReference w:id="50"/>
      </w:r>
      <w:r w:rsidR="00246D9F">
        <w:rPr>
          <w:rFonts w:eastAsia="Calibri"/>
        </w:rPr>
        <w:t xml:space="preserve"> </w:t>
      </w:r>
    </w:p>
    <w:p w:rsidR="004D4B43" w:rsidRPr="00BD7E95" w:rsidRDefault="00B66C13" w:rsidP="00C937DB">
      <w:pPr>
        <w:spacing w:line="360" w:lineRule="auto"/>
        <w:ind w:firstLine="720"/>
        <w:jc w:val="both"/>
      </w:pPr>
      <w:r>
        <w:t xml:space="preserve">An additional problem with the unjust enrichment approach is that the principle of ‘taking the risk of insolvency’ could just as easily be reinterpreted as a justification for </w:t>
      </w:r>
      <w:r>
        <w:rPr>
          <w:i/>
        </w:rPr>
        <w:t xml:space="preserve">not </w:t>
      </w:r>
      <w:r>
        <w:t>providing proprietary restitution in cas</w:t>
      </w:r>
      <w:r w:rsidR="00392FDB">
        <w:t>es involving mistaken payments.</w:t>
      </w:r>
      <w:r w:rsidR="00C54D81">
        <w:t xml:space="preserve"> </w:t>
      </w:r>
      <w:r>
        <w:t>This is demonstrated by</w:t>
      </w:r>
      <w:r w:rsidR="00C54D81">
        <w:t xml:space="preserve"> S</w:t>
      </w:r>
      <w:r w:rsidR="004361C0">
        <w:t xml:space="preserve">herwin, who states that </w:t>
      </w:r>
      <w:r w:rsidR="00C54D81">
        <w:t xml:space="preserve">removing the proceeds of a mistaken payment from the assets of the defendant could impact on others who have </w:t>
      </w:r>
      <w:r w:rsidR="00F050C5">
        <w:t xml:space="preserve">certainly </w:t>
      </w:r>
      <w:r w:rsidR="00C54D81">
        <w:t>not taken the risk of insolvency.</w:t>
      </w:r>
      <w:r w:rsidR="00CC2F3E">
        <w:rPr>
          <w:rStyle w:val="FootnoteReference"/>
        </w:rPr>
        <w:footnoteReference w:id="51"/>
      </w:r>
      <w:r w:rsidR="00C54D81">
        <w:t xml:space="preserve"> For example, </w:t>
      </w:r>
      <w:r w:rsidR="001D62C8">
        <w:t>“</w:t>
      </w:r>
      <w:r w:rsidR="00C54D81">
        <w:t>[i]</w:t>
      </w:r>
      <w:r w:rsidR="00C54D81" w:rsidRPr="00C54D81">
        <w:t>f C is a tort creditor, C has taken only the risks inherent in interacting with other human beings.</w:t>
      </w:r>
      <w:r w:rsidR="001D62C8">
        <w:t>”</w:t>
      </w:r>
      <w:r w:rsidR="00C54D81">
        <w:rPr>
          <w:rStyle w:val="FootnoteReference"/>
        </w:rPr>
        <w:footnoteReference w:id="52"/>
      </w:r>
      <w:r w:rsidR="00C54D81">
        <w:t xml:space="preserve"> </w:t>
      </w:r>
      <w:r>
        <w:t xml:space="preserve">Since there may very well be other creditors who have not taken the risk of insolvency, this undermines the preference given to the mistaken payer by the unjust enrichment approach. </w:t>
      </w:r>
      <w:r w:rsidR="001617EC">
        <w:rPr>
          <w:rFonts w:eastAsia="Calibri"/>
        </w:rPr>
        <w:t xml:space="preserve">Burrows has </w:t>
      </w:r>
      <w:r w:rsidR="00910AFE">
        <w:rPr>
          <w:rFonts w:eastAsia="Calibri"/>
        </w:rPr>
        <w:t xml:space="preserve">previously </w:t>
      </w:r>
      <w:r w:rsidR="00DB7253">
        <w:rPr>
          <w:rFonts w:eastAsia="Calibri"/>
        </w:rPr>
        <w:t>referred to the “</w:t>
      </w:r>
      <w:r w:rsidR="00B64E78">
        <w:t xml:space="preserve">the somewhat tangled English </w:t>
      </w:r>
      <w:r w:rsidR="00B64E78">
        <w:lastRenderedPageBreak/>
        <w:t>position on proprietary restitution for mistake</w:t>
      </w:r>
      <w:r w:rsidR="00DB7253">
        <w:t>”</w:t>
      </w:r>
      <w:r w:rsidR="001617EC">
        <w:rPr>
          <w:rStyle w:val="FootnoteReference"/>
          <w:rFonts w:eastAsia="Calibri"/>
        </w:rPr>
        <w:footnoteReference w:id="53"/>
      </w:r>
      <w:r w:rsidR="001617EC">
        <w:rPr>
          <w:rFonts w:eastAsia="Calibri"/>
        </w:rPr>
        <w:t xml:space="preserve"> and, given the </w:t>
      </w:r>
      <w:r w:rsidR="00E81877">
        <w:rPr>
          <w:rFonts w:eastAsia="Calibri"/>
        </w:rPr>
        <w:t xml:space="preserve">issues created under </w:t>
      </w:r>
      <w:r w:rsidR="001617EC">
        <w:rPr>
          <w:rFonts w:eastAsia="Calibri"/>
        </w:rPr>
        <w:t>the ‘taking the risk of insolvency’ approach, a</w:t>
      </w:r>
      <w:r w:rsidR="004D4B43">
        <w:rPr>
          <w:rFonts w:eastAsia="Calibri"/>
        </w:rPr>
        <w:t xml:space="preserve"> clearer justification needs to be found before one can explain wh</w:t>
      </w:r>
      <w:r w:rsidR="00DB09FA">
        <w:rPr>
          <w:rFonts w:eastAsia="Calibri"/>
        </w:rPr>
        <w:t>en</w:t>
      </w:r>
      <w:r w:rsidR="004D4B43">
        <w:rPr>
          <w:rFonts w:eastAsia="Calibri"/>
        </w:rPr>
        <w:t xml:space="preserve"> proprietary restitution sh</w:t>
      </w:r>
      <w:r w:rsidR="001D62C8">
        <w:rPr>
          <w:rFonts w:eastAsia="Calibri"/>
        </w:rPr>
        <w:t xml:space="preserve">ould be available for </w:t>
      </w:r>
      <w:r w:rsidR="00F050C5">
        <w:rPr>
          <w:rFonts w:eastAsia="Calibri"/>
        </w:rPr>
        <w:t>mistaken payments</w:t>
      </w:r>
      <w:r w:rsidR="004D4B43">
        <w:rPr>
          <w:rFonts w:eastAsia="Calibri"/>
        </w:rPr>
        <w:t>.</w:t>
      </w:r>
    </w:p>
    <w:p w:rsidR="0019503A" w:rsidRDefault="0019503A" w:rsidP="00C937DB">
      <w:pPr>
        <w:spacing w:line="360" w:lineRule="auto"/>
        <w:jc w:val="both"/>
      </w:pPr>
    </w:p>
    <w:p w:rsidR="0019503A" w:rsidRPr="00AC23D5" w:rsidRDefault="00D21266" w:rsidP="00C937DB">
      <w:pPr>
        <w:pStyle w:val="header2"/>
        <w:spacing w:line="360" w:lineRule="auto"/>
        <w:jc w:val="center"/>
        <w:rPr>
          <w:b w:val="0"/>
          <w:i/>
        </w:rPr>
      </w:pPr>
      <w:bookmarkStart w:id="16" w:name="_Toc300168447"/>
      <w:r>
        <w:rPr>
          <w:b w:val="0"/>
          <w:i/>
        </w:rPr>
        <w:t>C</w:t>
      </w:r>
      <w:r w:rsidR="0019503A" w:rsidRPr="00AC23D5">
        <w:rPr>
          <w:b w:val="0"/>
          <w:i/>
        </w:rPr>
        <w:t>. The ‘Rescission’ Analysis</w:t>
      </w:r>
      <w:bookmarkEnd w:id="16"/>
    </w:p>
    <w:p w:rsidR="0019503A" w:rsidRPr="00753A3B" w:rsidRDefault="0019503A" w:rsidP="00C937DB">
      <w:pPr>
        <w:spacing w:line="360" w:lineRule="auto"/>
      </w:pPr>
    </w:p>
    <w:p w:rsidR="0019503A" w:rsidRDefault="0019503A" w:rsidP="00C937DB">
      <w:pPr>
        <w:spacing w:line="360" w:lineRule="auto"/>
        <w:jc w:val="both"/>
      </w:pPr>
      <w:r>
        <w:t>A</w:t>
      </w:r>
      <w:r w:rsidR="003A43AC">
        <w:t xml:space="preserve">n alternative approach </w:t>
      </w:r>
      <w:r>
        <w:t>which seeks to explain the availabi</w:t>
      </w:r>
      <w:r w:rsidR="00B64E78">
        <w:t>lity of proprietary restitution</w:t>
      </w:r>
      <w:r>
        <w:t xml:space="preserve"> is the rescission analysis. This approach was first adopted </w:t>
      </w:r>
      <w:r w:rsidRPr="00753A3B">
        <w:t xml:space="preserve">by </w:t>
      </w:r>
      <w:r>
        <w:t>Millett J</w:t>
      </w:r>
      <w:r w:rsidR="003F6B2E">
        <w:t>.</w:t>
      </w:r>
      <w:r>
        <w:t xml:space="preserve"> in </w:t>
      </w:r>
      <w:r w:rsidRPr="0002209A">
        <w:rPr>
          <w:i/>
        </w:rPr>
        <w:t>El Ajou v Dollar Land Holdings plc</w:t>
      </w:r>
      <w:bookmarkStart w:id="17" w:name="_Ref358560946"/>
      <w:r w:rsidRPr="0002209A">
        <w:rPr>
          <w:rStyle w:val="FootnoteReference"/>
        </w:rPr>
        <w:footnoteReference w:id="54"/>
      </w:r>
      <w:bookmarkEnd w:id="17"/>
      <w:r>
        <w:rPr>
          <w:i/>
        </w:rPr>
        <w:t xml:space="preserve"> </w:t>
      </w:r>
      <w:r>
        <w:t xml:space="preserve">and more recently by </w:t>
      </w:r>
      <w:r w:rsidRPr="00753A3B">
        <w:t>Rimer J</w:t>
      </w:r>
      <w:r w:rsidR="003F6B2E">
        <w:t>.</w:t>
      </w:r>
      <w:r w:rsidRPr="00753A3B">
        <w:t xml:space="preserve"> in</w:t>
      </w:r>
      <w:r w:rsidRPr="00753A3B">
        <w:rPr>
          <w:i/>
          <w:iCs/>
        </w:rPr>
        <w:t xml:space="preserve"> Shalson v Russo</w:t>
      </w:r>
      <w:r w:rsidR="00A82354" w:rsidRPr="00A54554">
        <w:fldChar w:fldCharType="begin"/>
      </w:r>
      <w:r w:rsidRPr="00A54554">
        <w:instrText xml:space="preserve"> TA \s "[2003] EWHC 1637" </w:instrText>
      </w:r>
      <w:r w:rsidR="00A82354" w:rsidRPr="00A54554">
        <w:fldChar w:fldCharType="end"/>
      </w:r>
      <w:r w:rsidRPr="00753A3B">
        <w:rPr>
          <w:rStyle w:val="FootnoteReference"/>
          <w:iCs/>
        </w:rPr>
        <w:footnoteReference w:id="55"/>
      </w:r>
      <w:r w:rsidRPr="00753A3B">
        <w:rPr>
          <w:i/>
          <w:iCs/>
        </w:rPr>
        <w:t xml:space="preserve"> </w:t>
      </w:r>
      <w:r w:rsidRPr="00753A3B">
        <w:rPr>
          <w:iCs/>
        </w:rPr>
        <w:t>and</w:t>
      </w:r>
      <w:r w:rsidRPr="00753A3B">
        <w:t xml:space="preserve"> Etherton J</w:t>
      </w:r>
      <w:r w:rsidR="003F6B2E">
        <w:t>.</w:t>
      </w:r>
      <w:r w:rsidRPr="00753A3B">
        <w:t xml:space="preserve"> in </w:t>
      </w:r>
      <w:r w:rsidRPr="00753A3B">
        <w:rPr>
          <w:i/>
          <w:iCs/>
        </w:rPr>
        <w:t>London Allied Holdings Limited v Lee</w:t>
      </w:r>
      <w:r w:rsidRPr="00753A3B">
        <w:rPr>
          <w:iCs/>
        </w:rPr>
        <w:t>.</w:t>
      </w:r>
      <w:r w:rsidRPr="00753A3B">
        <w:rPr>
          <w:rStyle w:val="FootnoteReference"/>
        </w:rPr>
        <w:footnoteReference w:id="56"/>
      </w:r>
      <w:r w:rsidRPr="00753A3B">
        <w:rPr>
          <w:iCs/>
        </w:rPr>
        <w:t xml:space="preserve"> </w:t>
      </w:r>
      <w:r>
        <w:rPr>
          <w:iCs/>
        </w:rPr>
        <w:t xml:space="preserve">The rescission approach has found academic support </w:t>
      </w:r>
      <w:r w:rsidR="00DB09FA">
        <w:rPr>
          <w:iCs/>
        </w:rPr>
        <w:t>from</w:t>
      </w:r>
      <w:r>
        <w:rPr>
          <w:iCs/>
        </w:rPr>
        <w:t xml:space="preserve"> </w:t>
      </w:r>
      <w:r w:rsidR="00DB7253">
        <w:t>Häcker</w:t>
      </w:r>
      <w:r>
        <w:t>.</w:t>
      </w:r>
      <w:bookmarkStart w:id="18" w:name="_Ref334199075"/>
      <w:r>
        <w:rPr>
          <w:rStyle w:val="FootnoteReference"/>
        </w:rPr>
        <w:footnoteReference w:id="57"/>
      </w:r>
      <w:bookmarkEnd w:id="18"/>
      <w:r>
        <w:t xml:space="preserve"> Häcker </w:t>
      </w:r>
      <w:r w:rsidRPr="00753A3B">
        <w:t xml:space="preserve">describes this as the power-model of </w:t>
      </w:r>
      <w:r>
        <w:t>“</w:t>
      </w:r>
      <w:r w:rsidRPr="00753A3B">
        <w:t>proprietary restitution</w:t>
      </w:r>
      <w:r>
        <w:t>”</w:t>
      </w:r>
      <w:r w:rsidRPr="00753A3B">
        <w:t xml:space="preserve">, where the order for </w:t>
      </w:r>
      <w:r w:rsidR="00CC1560">
        <w:t>proprietary</w:t>
      </w:r>
      <w:r w:rsidRPr="00753A3B">
        <w:t xml:space="preserve"> restitution originates from the claimant’s decision to rescind the </w:t>
      </w:r>
      <w:r>
        <w:t xml:space="preserve">original </w:t>
      </w:r>
      <w:r w:rsidRPr="00753A3B">
        <w:t>transfer.</w:t>
      </w:r>
      <w:r w:rsidRPr="00753A3B">
        <w:rPr>
          <w:rStyle w:val="FootnoteReference"/>
        </w:rPr>
        <w:footnoteReference w:id="58"/>
      </w:r>
      <w:r w:rsidRPr="00753A3B">
        <w:t xml:space="preserve"> </w:t>
      </w:r>
      <w:r>
        <w:t>As with the proprietary analysis favoured by Swadling, and also the unjust enrichment analysis, the rescission approach</w:t>
      </w:r>
      <w:r w:rsidRPr="00753A3B">
        <w:t xml:space="preserve"> seeks to justify an order for </w:t>
      </w:r>
      <w:r>
        <w:t>proprietary</w:t>
      </w:r>
      <w:r w:rsidRPr="00753A3B">
        <w:t xml:space="preserve"> restitution by </w:t>
      </w:r>
      <w:r>
        <w:t>focusing on the</w:t>
      </w:r>
      <w:r w:rsidRPr="00753A3B">
        <w:t xml:space="preserve"> </w:t>
      </w:r>
      <w:r w:rsidR="00B66C13">
        <w:t>position</w:t>
      </w:r>
      <w:r w:rsidRPr="00753A3B">
        <w:t xml:space="preserve"> of the claimant. </w:t>
      </w:r>
      <w:r>
        <w:t>The idea behind rescission is that title to the money passes to the recipient, but the transferor has a power to ask for the return of the mo</w:t>
      </w:r>
      <w:r w:rsidR="00B66C13">
        <w:t>ney. According to Häcker, u</w:t>
      </w:r>
      <w:r>
        <w:t>p until the transfer is rescinded, the transferor enjoys a ‘mere equity’ in the asset, meaning that the title can be defeated by any subsequent equitable interests. Once rescission is made, the effect of rescinding the transfer is that it permits the claimant to trace their interest into substitute assets and provides priority in insolvency</w:t>
      </w:r>
      <w:r w:rsidR="002A03EC">
        <w:t xml:space="preserve"> (</w:t>
      </w:r>
      <w:r w:rsidR="00907487">
        <w:t xml:space="preserve">supposedly </w:t>
      </w:r>
      <w:r w:rsidR="002A03EC">
        <w:t>even where rescission occurs after insolvency)</w:t>
      </w:r>
      <w:r>
        <w:t>.</w:t>
      </w:r>
      <w:r>
        <w:rPr>
          <w:rStyle w:val="FootnoteReference"/>
        </w:rPr>
        <w:footnoteReference w:id="59"/>
      </w:r>
      <w:r>
        <w:t xml:space="preserve"> </w:t>
      </w:r>
    </w:p>
    <w:p w:rsidR="003935A6" w:rsidRDefault="0019503A" w:rsidP="00C937DB">
      <w:pPr>
        <w:spacing w:line="360" w:lineRule="auto"/>
        <w:ind w:firstLine="720"/>
        <w:jc w:val="both"/>
      </w:pPr>
      <w:r>
        <w:t>The first concern that can be raised against this rescission</w:t>
      </w:r>
      <w:r w:rsidR="005C790E">
        <w:t xml:space="preserve"> analysis is that it provides an apparently </w:t>
      </w:r>
      <w:r>
        <w:t xml:space="preserve">simple answer to the question of </w:t>
      </w:r>
      <w:r w:rsidR="00CC1560">
        <w:t>proprietary</w:t>
      </w:r>
      <w:r>
        <w:t xml:space="preserve"> restitution, but one which may ultimately create more uncertainty in this area of law. As Worthington has noted; “[a]lmost every aspect of rescission is now contentious.</w:t>
      </w:r>
      <w:bookmarkStart w:id="19" w:name="_Ref358560674"/>
      <w:r>
        <w:t>”</w:t>
      </w:r>
      <w:r>
        <w:rPr>
          <w:rStyle w:val="FootnoteReference"/>
        </w:rPr>
        <w:footnoteReference w:id="60"/>
      </w:r>
      <w:bookmarkEnd w:id="19"/>
      <w:r>
        <w:t xml:space="preserve"> For example, it has been questioned whether </w:t>
      </w:r>
      <w:r>
        <w:lastRenderedPageBreak/>
        <w:t>rescission responds to the choice of the claimant or to the order of the court.</w:t>
      </w:r>
      <w:r>
        <w:rPr>
          <w:rStyle w:val="FootnoteReference"/>
        </w:rPr>
        <w:footnoteReference w:id="61"/>
      </w:r>
      <w:r>
        <w:t xml:space="preserve"> </w:t>
      </w:r>
      <w:r w:rsidR="002A03EC">
        <w:t>Another issue of uncertainty concerns the nature of the claimant’s interest. Whereas Häcker contends that rescission gives rise to a ‘mere equity’ before rescission,</w:t>
      </w:r>
      <w:r w:rsidR="002A03EC">
        <w:rPr>
          <w:rStyle w:val="FootnoteReference"/>
        </w:rPr>
        <w:footnoteReference w:id="62"/>
      </w:r>
      <w:r w:rsidR="002A03EC">
        <w:t xml:space="preserve"> others have taken the view that a ‘trust’ is imposed from the outset.</w:t>
      </w:r>
      <w:r w:rsidR="002A03EC">
        <w:rPr>
          <w:rStyle w:val="FootnoteReference"/>
        </w:rPr>
        <w:footnoteReference w:id="63"/>
      </w:r>
      <w:r w:rsidR="002A03EC">
        <w:rPr>
          <w:rFonts w:eastAsia="Calibri"/>
        </w:rPr>
        <w:t xml:space="preserve"> </w:t>
      </w:r>
      <w:r>
        <w:t xml:space="preserve">Furthermore, the adoption of the rescission analysis does not provide </w:t>
      </w:r>
      <w:r w:rsidR="005C790E">
        <w:t xml:space="preserve">a concrete answer </w:t>
      </w:r>
      <w:r>
        <w:t xml:space="preserve">to one of the key issues in this area of law. Notably, Häcker’s model does not provide any clear solution to the vexing question of whether or not </w:t>
      </w:r>
      <w:r w:rsidR="00CC1560">
        <w:t>proprietary</w:t>
      </w:r>
      <w:r>
        <w:t xml:space="preserve"> restitution is available for </w:t>
      </w:r>
      <w:r w:rsidR="00604FCE">
        <w:t xml:space="preserve">non-induced </w:t>
      </w:r>
      <w:r>
        <w:t>mistaken payments. In fact</w:t>
      </w:r>
      <w:r w:rsidR="00162960">
        <w:t>,</w:t>
      </w:r>
      <w:r>
        <w:t xml:space="preserve"> Häcker has contended that this is one of the benefits of the power-model.</w:t>
      </w:r>
      <w:r>
        <w:rPr>
          <w:rStyle w:val="FootnoteReference"/>
        </w:rPr>
        <w:footnoteReference w:id="64"/>
      </w:r>
      <w:r>
        <w:t xml:space="preserve"> Given </w:t>
      </w:r>
      <w:r w:rsidR="00F946D5">
        <w:t>the importance of establishing a clear set of rules for the availability of proprietary restitution in cases of mistaken transfers</w:t>
      </w:r>
      <w:r>
        <w:t>, it is questionable whether the lack of a clear answer to the main issue where there continues to be disagreement can</w:t>
      </w:r>
      <w:r w:rsidR="00437B85">
        <w:t>,</w:t>
      </w:r>
      <w:r>
        <w:t xml:space="preserve"> in fact</w:t>
      </w:r>
      <w:r w:rsidR="00437B85">
        <w:t>,</w:t>
      </w:r>
      <w:r>
        <w:t xml:space="preserve"> be regarded as beneficial. </w:t>
      </w:r>
    </w:p>
    <w:p w:rsidR="0019503A" w:rsidRPr="001919A0" w:rsidRDefault="0019503A" w:rsidP="00C937DB">
      <w:pPr>
        <w:spacing w:line="360" w:lineRule="auto"/>
        <w:ind w:firstLine="720"/>
        <w:jc w:val="both"/>
        <w:rPr>
          <w:iCs/>
        </w:rPr>
      </w:pPr>
      <w:r>
        <w:t xml:space="preserve">The rescission analysis is also likely to create unnecessary uncertainty in the identification of title to money. It has already been explained that the case law does not support proprietary restitution in all instances of </w:t>
      </w:r>
      <w:r w:rsidR="00E062D4">
        <w:t>mistake</w:t>
      </w:r>
      <w:r>
        <w:t>,</w:t>
      </w:r>
      <w:r>
        <w:rPr>
          <w:rStyle w:val="FootnoteReference"/>
        </w:rPr>
        <w:footnoteReference w:id="65"/>
      </w:r>
      <w:r>
        <w:t xml:space="preserve"> however</w:t>
      </w:r>
      <w:r w:rsidR="00162960">
        <w:t>,</w:t>
      </w:r>
      <w:r>
        <w:t xml:space="preserve"> there is also a significant problem in treating the transferor’s interest as a ‘mere equity’ from the outset.</w:t>
      </w:r>
      <w:r w:rsidR="00462E4D" w:rsidRPr="00462E4D">
        <w:t xml:space="preserve"> </w:t>
      </w:r>
      <w:r>
        <w:t>As noted above,</w:t>
      </w:r>
      <w:r>
        <w:rPr>
          <w:rStyle w:val="FootnoteReference"/>
        </w:rPr>
        <w:footnoteReference w:id="66"/>
      </w:r>
      <w:r>
        <w:t xml:space="preserve"> in a recent tax dispute, it was held that mistaken payments are to be regarded as belonging to the recipient.</w:t>
      </w:r>
      <w:r>
        <w:rPr>
          <w:rStyle w:val="FootnoteReference"/>
        </w:rPr>
        <w:footnoteReference w:id="67"/>
      </w:r>
      <w:r>
        <w:t xml:space="preserve"> The transferors of the overpayments merely would have had a general claim for personal restitution. This might seem to accord with the rescission analysis, as it suggests that the </w:t>
      </w:r>
      <w:r w:rsidR="0005310B">
        <w:t xml:space="preserve">transferor’s </w:t>
      </w:r>
      <w:r>
        <w:t xml:space="preserve">interest is a ‘mere equity’, </w:t>
      </w:r>
      <w:r w:rsidR="0005310B">
        <w:t xml:space="preserve">and therefore title to the </w:t>
      </w:r>
      <w:r>
        <w:t xml:space="preserve">transferred money does not </w:t>
      </w:r>
      <w:r w:rsidR="0005310B">
        <w:t>fall back into the</w:t>
      </w:r>
      <w:r>
        <w:t xml:space="preserve"> transferor’s assets until rescission. However, it is arguable that, for tax purposes, a ‘mere equity’ would appear to be regarded as forming part of the assets of the transferor. Worthington takes this view of </w:t>
      </w:r>
      <w:r>
        <w:rPr>
          <w:i/>
        </w:rPr>
        <w:t>Vandervell v IRC</w:t>
      </w:r>
      <w:r>
        <w:t xml:space="preserve">, and </w:t>
      </w:r>
      <w:r w:rsidR="000168A5">
        <w:t>would seem</w:t>
      </w:r>
      <w:r w:rsidR="002A03EC">
        <w:t xml:space="preserve"> to </w:t>
      </w:r>
      <w:r w:rsidR="000168A5">
        <w:t>regard</w:t>
      </w:r>
      <w:r>
        <w:t xml:space="preserve"> the interest in the transferor’s option to repurchase those shares as constituting a ‘mere equity’.</w:t>
      </w:r>
      <w:r>
        <w:rPr>
          <w:rStyle w:val="FootnoteReference"/>
        </w:rPr>
        <w:footnoteReference w:id="68"/>
      </w:r>
      <w:r>
        <w:t xml:space="preserve"> In </w:t>
      </w:r>
      <w:r>
        <w:rPr>
          <w:i/>
        </w:rPr>
        <w:t>Vandervell</w:t>
      </w:r>
      <w:r>
        <w:t>,</w:t>
      </w:r>
      <w:r>
        <w:rPr>
          <w:i/>
        </w:rPr>
        <w:t xml:space="preserve"> </w:t>
      </w:r>
      <w:r>
        <w:t>the House of Lords held that the transferor had not fully divested himself of his beneficial interest in the shares</w:t>
      </w:r>
      <w:r w:rsidR="002A03EC">
        <w:t xml:space="preserve"> as the trustees enjoyed an option to repurchase the shares</w:t>
      </w:r>
      <w:r>
        <w:t>.</w:t>
      </w:r>
      <w:r>
        <w:rPr>
          <w:i/>
        </w:rPr>
        <w:t xml:space="preserve"> </w:t>
      </w:r>
      <w:r w:rsidR="002A03EC">
        <w:t>This</w:t>
      </w:r>
      <w:r>
        <w:t xml:space="preserve"> option simply represented the ability to enforce the </w:t>
      </w:r>
      <w:r>
        <w:lastRenderedPageBreak/>
        <w:t xml:space="preserve">return of the shares, in essence operating no differently from the ‘mere equity’ advocated by </w:t>
      </w:r>
      <w:r>
        <w:rPr>
          <w:iCs/>
        </w:rPr>
        <w:t>Häcker. This conclusion is</w:t>
      </w:r>
      <w:r w:rsidR="005C790E">
        <w:rPr>
          <w:iCs/>
        </w:rPr>
        <w:t xml:space="preserve"> also</w:t>
      </w:r>
      <w:r>
        <w:rPr>
          <w:iCs/>
        </w:rPr>
        <w:t xml:space="preserve"> supported by </w:t>
      </w:r>
      <w:r>
        <w:rPr>
          <w:i/>
          <w:iCs/>
        </w:rPr>
        <w:t>Jerome v Kelly</w:t>
      </w:r>
      <w:r>
        <w:rPr>
          <w:iCs/>
        </w:rPr>
        <w:t>, where the House of Lords concluded that, for tax purposes, the vendors of a piece of land had not fully disposed of their interests until the completion of the contract as the contract could have been rescinded before completion.</w:t>
      </w:r>
      <w:bookmarkStart w:id="20" w:name="_Ref417543785"/>
      <w:r>
        <w:rPr>
          <w:rStyle w:val="FootnoteReference"/>
          <w:iCs/>
        </w:rPr>
        <w:footnoteReference w:id="69"/>
      </w:r>
      <w:bookmarkEnd w:id="20"/>
      <w:r>
        <w:rPr>
          <w:i/>
          <w:iCs/>
        </w:rPr>
        <w:t xml:space="preserve"> </w:t>
      </w:r>
      <w:r>
        <w:rPr>
          <w:iCs/>
        </w:rPr>
        <w:t xml:space="preserve">If that is the case, the rescission analysis results in a legal paradox. For example, a fraudulent payment would be regarded as forming part of the assets of the recipient, as well as </w:t>
      </w:r>
      <w:r w:rsidR="0005310B">
        <w:rPr>
          <w:iCs/>
        </w:rPr>
        <w:t xml:space="preserve">at the same time </w:t>
      </w:r>
      <w:r>
        <w:rPr>
          <w:iCs/>
        </w:rPr>
        <w:t xml:space="preserve">forming part of the transferor’s assets. This is why the rescission analysis is problematic, as in many cases it is important to determine at any given point of time which party has the best ‘title’ to money. </w:t>
      </w:r>
      <w:r>
        <w:t xml:space="preserve">In short, </w:t>
      </w:r>
      <w:r>
        <w:rPr>
          <w:iCs/>
        </w:rPr>
        <w:t>the rescission analysis is likely to cause more complications than solutions in this area.</w:t>
      </w:r>
    </w:p>
    <w:p w:rsidR="0019503A" w:rsidRDefault="0019503A" w:rsidP="00C937DB">
      <w:pPr>
        <w:spacing w:line="360" w:lineRule="auto"/>
        <w:ind w:firstLine="720"/>
        <w:jc w:val="both"/>
      </w:pPr>
      <w:r>
        <w:t>The second concern is whether the authorities support the proposition that rescission for mistaken or fraudulently induced transfers w</w:t>
      </w:r>
      <w:r w:rsidR="00CB608A">
        <w:t>ill always</w:t>
      </w:r>
      <w:r>
        <w:t xml:space="preserve"> provid</w:t>
      </w:r>
      <w:r w:rsidR="008D4E70">
        <w:t>e the claimant with priority in cases where rescission occurs after insolvency</w:t>
      </w:r>
      <w:r>
        <w:t>.</w:t>
      </w:r>
      <w:r>
        <w:rPr>
          <w:rStyle w:val="FootnoteReference"/>
        </w:rPr>
        <w:footnoteReference w:id="70"/>
      </w:r>
      <w:r>
        <w:t xml:space="preserve"> This is due to the simple fact that most of the cases which </w:t>
      </w:r>
      <w:r w:rsidR="002A03EC">
        <w:t>have supported the proprietary effect of rescission in cases of insolvency have</w:t>
      </w:r>
      <w:r>
        <w:t xml:space="preserve"> involved either land or chattels, not money.</w:t>
      </w:r>
      <w:bookmarkStart w:id="21" w:name="_Ref358475131"/>
      <w:r w:rsidRPr="00D87AF9">
        <w:rPr>
          <w:rStyle w:val="FootnoteReference"/>
        </w:rPr>
        <w:footnoteReference w:id="71"/>
      </w:r>
      <w:r w:rsidR="008D4E70">
        <w:t xml:space="preserve"> </w:t>
      </w:r>
      <w:r w:rsidR="00D83954">
        <w:t xml:space="preserve">There are two possible explanations for the </w:t>
      </w:r>
      <w:r w:rsidR="005559FB">
        <w:t>lack of proprietary restitution in cases of rescinded money transfers</w:t>
      </w:r>
      <w:r w:rsidR="002A03EC">
        <w:t>. Calnan has commented that “</w:t>
      </w:r>
      <w:r w:rsidR="00D83954">
        <w:t>rescission can only have a personal, and not a proprietary, effect in the case of payments of money.</w:t>
      </w:r>
      <w:r w:rsidR="002A03EC">
        <w:t>”</w:t>
      </w:r>
      <w:r w:rsidR="00D83954">
        <w:rPr>
          <w:rStyle w:val="FootnoteReference"/>
        </w:rPr>
        <w:footnoteReference w:id="72"/>
      </w:r>
      <w:r w:rsidR="00D83954">
        <w:t xml:space="preserve"> Calnan’s reasoning is that</w:t>
      </w:r>
      <w:r w:rsidR="005559FB">
        <w:t>,</w:t>
      </w:r>
      <w:r w:rsidR="00D83954">
        <w:t xml:space="preserve"> in bank transfers</w:t>
      </w:r>
      <w:r w:rsidR="005559FB">
        <w:t>,</w:t>
      </w:r>
      <w:r w:rsidR="00D83954">
        <w:t xml:space="preserve"> the debiting and crediting of accounts means that the recipient does not receive the same thing that was transferred from the claimant. </w:t>
      </w:r>
      <w:r w:rsidR="007233A2">
        <w:t>If rescission is concerned with returning the parties to their original position, then it will be impossible whe</w:t>
      </w:r>
      <w:r w:rsidR="008569DB">
        <w:t xml:space="preserve">n money is substituted or mixed, a view which was shared by Lord Mustill in </w:t>
      </w:r>
      <w:r w:rsidR="008569DB">
        <w:rPr>
          <w:i/>
        </w:rPr>
        <w:t>Re Goldcorp</w:t>
      </w:r>
      <w:r w:rsidR="008569DB">
        <w:t>.</w:t>
      </w:r>
      <w:r w:rsidR="008569DB">
        <w:rPr>
          <w:rStyle w:val="FootnoteReference"/>
        </w:rPr>
        <w:footnoteReference w:id="73"/>
      </w:r>
      <w:r w:rsidR="007233A2">
        <w:t xml:space="preserve"> </w:t>
      </w:r>
      <w:r w:rsidR="00D83954">
        <w:t>The second explanation comes from Millett L</w:t>
      </w:r>
      <w:r w:rsidR="002A03EC">
        <w:t>.</w:t>
      </w:r>
      <w:r w:rsidR="00D83954">
        <w:t>J</w:t>
      </w:r>
      <w:r w:rsidR="002A03EC">
        <w:t>.</w:t>
      </w:r>
      <w:r w:rsidR="00BD0847">
        <w:t>, writing extra-judicially</w:t>
      </w:r>
      <w:r w:rsidR="00D83954">
        <w:t>.</w:t>
      </w:r>
      <w:r w:rsidR="00BD0847">
        <w:rPr>
          <w:rStyle w:val="FootnoteReference"/>
        </w:rPr>
        <w:footnoteReference w:id="74"/>
      </w:r>
      <w:r w:rsidR="00D83954">
        <w:t xml:space="preserve"> </w:t>
      </w:r>
      <w:r w:rsidR="007233A2">
        <w:t xml:space="preserve">According to Millett, it </w:t>
      </w:r>
      <w:r>
        <w:t>may be the case that the rules on rescission are subject to the same restriction that applies to other equitable doctrines such as specific performance</w:t>
      </w:r>
      <w:r w:rsidR="008D4E70">
        <w:t>,</w:t>
      </w:r>
      <w:r>
        <w:t xml:space="preserve"> </w:t>
      </w:r>
      <w:r w:rsidR="002E6C16">
        <w:t>which would only operate where the subject matter of rescission consists of unique property</w:t>
      </w:r>
      <w:r>
        <w:t xml:space="preserve">. If so, that would preclude rescission from having any </w:t>
      </w:r>
      <w:r w:rsidR="00AA76F1">
        <w:t>proprietary effect</w:t>
      </w:r>
      <w:r>
        <w:t xml:space="preserve"> in cases involving money transfers.</w:t>
      </w:r>
      <w:bookmarkEnd w:id="21"/>
      <w:r>
        <w:t xml:space="preserve"> </w:t>
      </w:r>
      <w:r w:rsidR="002E6C16">
        <w:t>Th</w:t>
      </w:r>
      <w:r w:rsidR="002A03EC">
        <w:t>is restriction</w:t>
      </w:r>
      <w:r w:rsidR="002E6C16">
        <w:t xml:space="preserve"> </w:t>
      </w:r>
      <w:r w:rsidR="007233A2">
        <w:t xml:space="preserve">would provide </w:t>
      </w:r>
      <w:r w:rsidR="002E6C16">
        <w:t xml:space="preserve">a serious defect in the rescission analysis, particularly as </w:t>
      </w:r>
      <w:r w:rsidR="005559FB">
        <w:t>Millett L</w:t>
      </w:r>
      <w:r w:rsidR="00437B85">
        <w:t>.</w:t>
      </w:r>
      <w:r w:rsidR="005559FB">
        <w:t>J</w:t>
      </w:r>
      <w:r w:rsidR="00437B85">
        <w:t>.</w:t>
      </w:r>
      <w:r w:rsidR="005559FB">
        <w:t xml:space="preserve"> is</w:t>
      </w:r>
      <w:r w:rsidR="002E6C16">
        <w:t xml:space="preserve"> th</w:t>
      </w:r>
      <w:r w:rsidR="005559FB">
        <w:t xml:space="preserve">e same judge who introduced the </w:t>
      </w:r>
      <w:r w:rsidR="005559FB">
        <w:lastRenderedPageBreak/>
        <w:t>rescission</w:t>
      </w:r>
      <w:r w:rsidR="002E6C16">
        <w:t xml:space="preserve"> analysis in the earlier case of </w:t>
      </w:r>
      <w:r w:rsidR="00D32818">
        <w:rPr>
          <w:i/>
        </w:rPr>
        <w:t xml:space="preserve">El </w:t>
      </w:r>
      <w:r w:rsidR="002E6C16">
        <w:rPr>
          <w:i/>
        </w:rPr>
        <w:t>Ajou</w:t>
      </w:r>
      <w:r w:rsidR="002E6C16">
        <w:t>.</w:t>
      </w:r>
      <w:r w:rsidR="002E6C16">
        <w:rPr>
          <w:rStyle w:val="FootnoteReference"/>
        </w:rPr>
        <w:footnoteReference w:id="75"/>
      </w:r>
      <w:r w:rsidR="002E6C16">
        <w:rPr>
          <w:i/>
        </w:rPr>
        <w:t xml:space="preserve"> </w:t>
      </w:r>
      <w:r w:rsidR="008D4E70">
        <w:t xml:space="preserve">Indeed, </w:t>
      </w:r>
      <w:r w:rsidR="005559FB">
        <w:t>except for recent case</w:t>
      </w:r>
      <w:r w:rsidR="00E735B6">
        <w:t>s</w:t>
      </w:r>
      <w:r w:rsidR="005559FB">
        <w:t xml:space="preserve"> that would have been decided in the same way under the approach presented in this article, </w:t>
      </w:r>
      <w:r w:rsidR="00AA76F1">
        <w:t xml:space="preserve">rescission </w:t>
      </w:r>
      <w:r w:rsidR="00CD66FC">
        <w:t xml:space="preserve">after insolvency </w:t>
      </w:r>
      <w:r w:rsidR="00AA76F1">
        <w:t xml:space="preserve">does not appear to have a proprietary effect </w:t>
      </w:r>
      <w:r w:rsidR="00E735B6">
        <w:t>in cases involving money transfers. Importantly, w</w:t>
      </w:r>
      <w:r>
        <w:t xml:space="preserve">here the subject matter of rescission has been in the form of a money transfer, the authorities suggest that the claimant will not enjoy priority </w:t>
      </w:r>
      <w:r w:rsidR="00461195">
        <w:t>where rescission is made after insolvency</w:t>
      </w:r>
      <w:r>
        <w:t xml:space="preserve">. For example, this was one of the arguments made by the claimants in </w:t>
      </w:r>
      <w:r>
        <w:rPr>
          <w:i/>
        </w:rPr>
        <w:t>Re Goldcorp</w:t>
      </w:r>
      <w:r>
        <w:t>.</w:t>
      </w:r>
      <w:bookmarkStart w:id="22" w:name="_Ref358580600"/>
      <w:r>
        <w:rPr>
          <w:rStyle w:val="FootnoteReference"/>
        </w:rPr>
        <w:footnoteReference w:id="76"/>
      </w:r>
      <w:bookmarkEnd w:id="22"/>
      <w:r>
        <w:t xml:space="preserve"> In </w:t>
      </w:r>
      <w:r>
        <w:rPr>
          <w:i/>
        </w:rPr>
        <w:t>Goldcorp</w:t>
      </w:r>
      <w:r>
        <w:t>,</w:t>
      </w:r>
      <w:r>
        <w:rPr>
          <w:i/>
        </w:rPr>
        <w:t xml:space="preserve"> </w:t>
      </w:r>
      <w:r>
        <w:t xml:space="preserve">the Privy Council rejected the possibility that rescission </w:t>
      </w:r>
      <w:r w:rsidR="0020560D">
        <w:t>c</w:t>
      </w:r>
      <w:r>
        <w:t xml:space="preserve">ould provide the transferor with an interest which </w:t>
      </w:r>
      <w:r w:rsidR="00AA76F1">
        <w:t>c</w:t>
      </w:r>
      <w:r>
        <w:t>ould take priority in insolvency.</w:t>
      </w:r>
      <w:r>
        <w:rPr>
          <w:rStyle w:val="FootnoteReference"/>
        </w:rPr>
        <w:footnoteReference w:id="77"/>
      </w:r>
      <w:r>
        <w:rPr>
          <w:i/>
        </w:rPr>
        <w:t xml:space="preserve"> </w:t>
      </w:r>
      <w:r>
        <w:t xml:space="preserve">Furthermore, if we turn our attention to the impact of rescission in the context of money </w:t>
      </w:r>
      <w:r w:rsidR="00F1364F">
        <w:t xml:space="preserve">paid </w:t>
      </w:r>
      <w:r>
        <w:t xml:space="preserve">in return for shareholdings, cases such as </w:t>
      </w:r>
      <w:r w:rsidRPr="00324D42">
        <w:rPr>
          <w:i/>
        </w:rPr>
        <w:t>Tennent v City of Glasgow Bank</w:t>
      </w:r>
      <w:r>
        <w:t xml:space="preserve"> further demonstrate that the claimant certainly does </w:t>
      </w:r>
      <w:r>
        <w:rPr>
          <w:i/>
        </w:rPr>
        <w:t xml:space="preserve">not </w:t>
      </w:r>
      <w:r>
        <w:t>gain priority unless rescission precedes the act of insolvency.</w:t>
      </w:r>
      <w:bookmarkStart w:id="23" w:name="_Ref358580606"/>
      <w:r>
        <w:rPr>
          <w:rStyle w:val="FootnoteReference"/>
        </w:rPr>
        <w:footnoteReference w:id="78"/>
      </w:r>
      <w:bookmarkEnd w:id="23"/>
      <w:r>
        <w:t xml:space="preserve"> </w:t>
      </w:r>
      <w:r w:rsidRPr="00266675">
        <w:t>S</w:t>
      </w:r>
      <w:r w:rsidR="002E6C16">
        <w:t>ince there are clear examples of</w:t>
      </w:r>
      <w:r w:rsidRPr="00266675">
        <w:t xml:space="preserve"> </w:t>
      </w:r>
      <w:r>
        <w:t>proprietary</w:t>
      </w:r>
      <w:r w:rsidRPr="00266675">
        <w:t xml:space="preserve"> restitutio</w:t>
      </w:r>
      <w:r w:rsidR="002E6C16">
        <w:t xml:space="preserve">n in the context of </w:t>
      </w:r>
      <w:r w:rsidR="00462E4D">
        <w:t>mistaken</w:t>
      </w:r>
      <w:r w:rsidR="00727729">
        <w:t xml:space="preserve"> transfer</w:t>
      </w:r>
      <w:r w:rsidR="002E6C16">
        <w:t>s providing</w:t>
      </w:r>
      <w:r w:rsidRPr="00266675">
        <w:t xml:space="preserve"> priority in insolvency </w:t>
      </w:r>
      <w:r w:rsidR="002E6C16">
        <w:t>before the claimants have had an opportunity to</w:t>
      </w:r>
      <w:r w:rsidRPr="00266675">
        <w:t xml:space="preserve"> rescind</w:t>
      </w:r>
      <w:r>
        <w:t>, this would highlight</w:t>
      </w:r>
      <w:r w:rsidRPr="00266675">
        <w:t xml:space="preserve"> a serious limitation of the rescission analysis.</w:t>
      </w:r>
      <w:r w:rsidRPr="00266675">
        <w:rPr>
          <w:rStyle w:val="FootnoteReference"/>
        </w:rPr>
        <w:footnoteReference w:id="79"/>
      </w:r>
      <w:r>
        <w:t xml:space="preserve"> </w:t>
      </w:r>
    </w:p>
    <w:p w:rsidR="00126600" w:rsidRDefault="00126600" w:rsidP="00C937DB">
      <w:pPr>
        <w:spacing w:line="360" w:lineRule="auto"/>
        <w:ind w:firstLine="720"/>
        <w:jc w:val="both"/>
      </w:pPr>
      <w:r>
        <w:t xml:space="preserve">It should be noted that, just as cases such as </w:t>
      </w:r>
      <w:r>
        <w:rPr>
          <w:i/>
        </w:rPr>
        <w:t>Re Goldcorp</w:t>
      </w:r>
      <w:r>
        <w:t xml:space="preserve"> and </w:t>
      </w:r>
      <w:r>
        <w:rPr>
          <w:i/>
        </w:rPr>
        <w:t xml:space="preserve">Tennent </w:t>
      </w:r>
      <w:r>
        <w:t>are problematic for the rescission analysis,</w:t>
      </w:r>
      <w:bookmarkStart w:id="24" w:name="_Ref358902155"/>
      <w:r>
        <w:rPr>
          <w:rStyle w:val="FootnoteReference"/>
        </w:rPr>
        <w:footnoteReference w:id="80"/>
      </w:r>
      <w:bookmarkEnd w:id="24"/>
      <w:r>
        <w:t xml:space="preserve"> they may appear to be problematic for the proprietary restitution analysis in this article.</w:t>
      </w:r>
      <w:r>
        <w:rPr>
          <w:rStyle w:val="FootnoteReference"/>
        </w:rPr>
        <w:footnoteReference w:id="81"/>
      </w:r>
      <w:r>
        <w:t xml:space="preserve"> If one party misleads the transferor into believing that a contract will be performed in a way that will provide a secured investment, but fails to take the necessary steps to do this, then it would appear to fulfil the requirements of a </w:t>
      </w:r>
      <w:r w:rsidR="00462E4D">
        <w:t>mistaken</w:t>
      </w:r>
      <w:r>
        <w:t xml:space="preserve"> transfer coupled with the inevitable knowledge and </w:t>
      </w:r>
      <w:r w:rsidR="001460E2">
        <w:t>wilful misconduct of</w:t>
      </w:r>
      <w:r>
        <w:t xml:space="preserve"> the recipient.</w:t>
      </w:r>
      <w:r w:rsidR="006F75F1">
        <w:rPr>
          <w:rStyle w:val="FootnoteReference"/>
        </w:rPr>
        <w:footnoteReference w:id="82"/>
      </w:r>
      <w:r>
        <w:t xml:space="preserve"> This is arguably what happened in </w:t>
      </w:r>
      <w:r>
        <w:rPr>
          <w:i/>
        </w:rPr>
        <w:t>Re Goldcorp</w:t>
      </w:r>
      <w:r>
        <w:t xml:space="preserve"> and proprietary restitution was not available. The appropriate </w:t>
      </w:r>
      <w:r>
        <w:lastRenderedPageBreak/>
        <w:t>solution to this issue can be found in the significance of the contract and the circumstances surrounding the transfer. Whilst the contract is capable of being performed, there is no possibility of proprietary restitution.</w:t>
      </w:r>
      <w:r>
        <w:rPr>
          <w:rStyle w:val="FootnoteReference"/>
        </w:rPr>
        <w:footnoteReference w:id="83"/>
      </w:r>
      <w:r>
        <w:t xml:space="preserve"> This reflects what could be labelled the “subsidiarity” of claims for restitution,</w:t>
      </w:r>
      <w:r>
        <w:rPr>
          <w:rStyle w:val="FootnoteReference"/>
        </w:rPr>
        <w:footnoteReference w:id="84"/>
      </w:r>
      <w:r>
        <w:t xml:space="preserve"> by preventing a claim of proprietary restitution from arising whilst the contract is still capable of being performed.</w:t>
      </w:r>
      <w:r w:rsidR="000A4031">
        <w:rPr>
          <w:rStyle w:val="FootnoteReference"/>
        </w:rPr>
        <w:footnoteReference w:id="85"/>
      </w:r>
      <w:r>
        <w:t xml:space="preserve"> This does not mean that a claimant cannot bring the contract to an end and then make a claim for proprietary restitution, but it does preclude proprietary restitution until the contract has in fact been rescinded.</w:t>
      </w:r>
      <w:r>
        <w:rPr>
          <w:rStyle w:val="FootnoteReference"/>
        </w:rPr>
        <w:footnoteReference w:id="86"/>
      </w:r>
      <w:r>
        <w:t xml:space="preserve"> One can demonstrate this by comparing </w:t>
      </w:r>
      <w:r>
        <w:rPr>
          <w:i/>
        </w:rPr>
        <w:t>Re Goldcorp</w:t>
      </w:r>
      <w:r>
        <w:t xml:space="preserve"> to cases such as </w:t>
      </w:r>
      <w:r>
        <w:rPr>
          <w:i/>
        </w:rPr>
        <w:t xml:space="preserve">Halley v Law Society </w:t>
      </w:r>
      <w:r>
        <w:t xml:space="preserve">and </w:t>
      </w:r>
      <w:r w:rsidRPr="00704FA9">
        <w:rPr>
          <w:i/>
        </w:rPr>
        <w:t>Campden Hill Ltd v Chakrani</w:t>
      </w:r>
      <w:r>
        <w:t>, where the contracts were never capable of being performed.</w:t>
      </w:r>
      <w:r>
        <w:rPr>
          <w:rStyle w:val="FootnoteReference"/>
        </w:rPr>
        <w:footnoteReference w:id="87"/>
      </w:r>
      <w:r>
        <w:t xml:space="preserve"> In the latter two cases, proprietary restitution was available before the claimants attempted to terminate the contracts. Although this may appear to be the same reasoning as used in the rescission analysis, it should be noted that the still performable contract is the reason why proprietary restitution is not available. Importantly, the analysis presented here provides an explanation of why, in cases where the contract can still be </w:t>
      </w:r>
      <w:r w:rsidR="0064272E">
        <w:t>performed, the act of rescinding the contract</w:t>
      </w:r>
      <w:r>
        <w:t xml:space="preserve"> must occur before the recipient becomes insolvent.</w:t>
      </w:r>
      <w:r>
        <w:rPr>
          <w:rStyle w:val="FootnoteReference"/>
        </w:rPr>
        <w:footnoteReference w:id="88"/>
      </w:r>
      <w:r>
        <w:t xml:space="preserve"> Thus, the live contract is a bar to proprietary restitution and an act of rescission merely removes the limitation provided by a contract that can still be performed. </w:t>
      </w:r>
    </w:p>
    <w:p w:rsidR="0019503A" w:rsidRDefault="0019503A" w:rsidP="00C937DB">
      <w:pPr>
        <w:spacing w:line="360" w:lineRule="auto"/>
        <w:jc w:val="both"/>
      </w:pPr>
    </w:p>
    <w:p w:rsidR="0019503A" w:rsidRPr="00AC23D5" w:rsidRDefault="00D21266" w:rsidP="00C937DB">
      <w:pPr>
        <w:pStyle w:val="header2"/>
        <w:spacing w:line="360" w:lineRule="auto"/>
        <w:jc w:val="center"/>
        <w:rPr>
          <w:b w:val="0"/>
          <w:i/>
        </w:rPr>
      </w:pPr>
      <w:r>
        <w:rPr>
          <w:b w:val="0"/>
          <w:i/>
        </w:rPr>
        <w:t>D</w:t>
      </w:r>
      <w:r w:rsidR="0019503A" w:rsidRPr="00AC23D5">
        <w:rPr>
          <w:b w:val="0"/>
          <w:i/>
        </w:rPr>
        <w:t xml:space="preserve">. </w:t>
      </w:r>
      <w:r w:rsidR="00F83293" w:rsidRPr="00AC23D5">
        <w:rPr>
          <w:b w:val="0"/>
          <w:i/>
        </w:rPr>
        <w:t xml:space="preserve">The views of Lord Browne-Wilkinson </w:t>
      </w:r>
      <w:r w:rsidR="0019503A" w:rsidRPr="00AC23D5">
        <w:rPr>
          <w:b w:val="0"/>
          <w:i/>
        </w:rPr>
        <w:t>and McFarlane</w:t>
      </w:r>
    </w:p>
    <w:p w:rsidR="0019503A" w:rsidRDefault="0019503A" w:rsidP="00C937DB">
      <w:pPr>
        <w:spacing w:line="360" w:lineRule="auto"/>
        <w:jc w:val="both"/>
      </w:pPr>
    </w:p>
    <w:p w:rsidR="00837437" w:rsidRDefault="0019503A" w:rsidP="00C937DB">
      <w:pPr>
        <w:spacing w:line="360" w:lineRule="auto"/>
        <w:jc w:val="both"/>
      </w:pPr>
      <w:r>
        <w:t xml:space="preserve">Finally, it is necessary to discuss Lord Browne-Wilkinson’s dicta in </w:t>
      </w:r>
      <w:r w:rsidR="0020560D">
        <w:rPr>
          <w:i/>
        </w:rPr>
        <w:t xml:space="preserve">Westdeutsche </w:t>
      </w:r>
      <w:r w:rsidR="0020560D" w:rsidRPr="00804EA1">
        <w:rPr>
          <w:i/>
        </w:rPr>
        <w:t xml:space="preserve">Landesbank Girozentrale </w:t>
      </w:r>
      <w:r w:rsidR="0020560D">
        <w:rPr>
          <w:i/>
        </w:rPr>
        <w:t>v London Islington Borough Council</w:t>
      </w:r>
      <w:r>
        <w:t>, which has more recently found support from</w:t>
      </w:r>
      <w:r>
        <w:rPr>
          <w:i/>
        </w:rPr>
        <w:t xml:space="preserve"> </w:t>
      </w:r>
      <w:r>
        <w:t>McFarlane.</w:t>
      </w:r>
      <w:bookmarkStart w:id="25" w:name="_Ref334108820"/>
      <w:r>
        <w:rPr>
          <w:rStyle w:val="FootnoteReference"/>
        </w:rPr>
        <w:footnoteReference w:id="89"/>
      </w:r>
      <w:bookmarkEnd w:id="25"/>
      <w:r>
        <w:t xml:space="preserve"> </w:t>
      </w:r>
      <w:r w:rsidR="00B268FF">
        <w:t xml:space="preserve">This provides a significant departure from the above approaches to proprietary restitution by focusing on the defendant’s </w:t>
      </w:r>
      <w:r w:rsidR="00F83293">
        <w:t>position</w:t>
      </w:r>
      <w:r w:rsidR="0020560D">
        <w:t>,</w:t>
      </w:r>
      <w:r w:rsidR="00F83293">
        <w:t xml:space="preserve"> rather than the </w:t>
      </w:r>
      <w:r w:rsidR="00B37EC9">
        <w:t>position</w:t>
      </w:r>
      <w:r w:rsidR="00B268FF">
        <w:t xml:space="preserve"> of the claimant. In </w:t>
      </w:r>
      <w:r w:rsidR="00B268FF">
        <w:rPr>
          <w:i/>
        </w:rPr>
        <w:t>Wes</w:t>
      </w:r>
      <w:r w:rsidR="003B33C7">
        <w:rPr>
          <w:i/>
        </w:rPr>
        <w:t>t</w:t>
      </w:r>
      <w:r w:rsidR="00B268FF">
        <w:rPr>
          <w:i/>
        </w:rPr>
        <w:t>deutsche</w:t>
      </w:r>
      <w:r w:rsidR="00B268FF">
        <w:t>,</w:t>
      </w:r>
      <w:r w:rsidR="00B268FF">
        <w:rPr>
          <w:i/>
        </w:rPr>
        <w:t xml:space="preserve"> </w:t>
      </w:r>
      <w:r>
        <w:t xml:space="preserve">Lord Browne-Wilkinson indicated that </w:t>
      </w:r>
      <w:r w:rsidR="0095619F">
        <w:t>proprietary</w:t>
      </w:r>
      <w:r>
        <w:t xml:space="preserve"> </w:t>
      </w:r>
      <w:r>
        <w:lastRenderedPageBreak/>
        <w:t>restitution is available in cases where the recipient is aware of the defect in transfer.</w:t>
      </w:r>
      <w:r>
        <w:rPr>
          <w:rStyle w:val="FootnoteReference"/>
        </w:rPr>
        <w:footnoteReference w:id="90"/>
      </w:r>
      <w:r>
        <w:t xml:space="preserve"> </w:t>
      </w:r>
      <w:r w:rsidR="00461195">
        <w:t>This is evident by two comments made by</w:t>
      </w:r>
      <w:r w:rsidR="00461195" w:rsidRPr="00753A3B">
        <w:t xml:space="preserve"> Lord Browne-Wilkinson in </w:t>
      </w:r>
      <w:r w:rsidR="00461195" w:rsidRPr="00753A3B">
        <w:rPr>
          <w:i/>
        </w:rPr>
        <w:t>Westdeutsche</w:t>
      </w:r>
      <w:r w:rsidR="00461195" w:rsidRPr="00753A3B">
        <w:t xml:space="preserve">, both </w:t>
      </w:r>
      <w:r w:rsidR="00461195">
        <w:t>of</w:t>
      </w:r>
      <w:r w:rsidR="00461195" w:rsidRPr="00753A3B">
        <w:t xml:space="preserve"> which have proven controversial.</w:t>
      </w:r>
      <w:bookmarkStart w:id="26" w:name="_Ref358446385"/>
      <w:r w:rsidR="00461195" w:rsidRPr="00753A3B">
        <w:rPr>
          <w:rStyle w:val="FootnoteReference"/>
        </w:rPr>
        <w:footnoteReference w:id="91"/>
      </w:r>
      <w:bookmarkEnd w:id="26"/>
      <w:r w:rsidR="00461195" w:rsidRPr="00753A3B">
        <w:t xml:space="preserve"> The first comment was his </w:t>
      </w:r>
      <w:r w:rsidR="00461195">
        <w:t xml:space="preserve">Lordship’s </w:t>
      </w:r>
      <w:r w:rsidR="00461195" w:rsidRPr="00753A3B">
        <w:t xml:space="preserve">suggestion that </w:t>
      </w:r>
      <w:r w:rsidR="00461195">
        <w:t>“</w:t>
      </w:r>
      <w:r w:rsidR="00461195" w:rsidRPr="00753A3B">
        <w:t>when property is obtained by fraud equity imposes a constructive trust on the fraudulent recipient.</w:t>
      </w:r>
      <w:r w:rsidR="00461195">
        <w:t>”</w:t>
      </w:r>
      <w:r w:rsidR="00461195" w:rsidRPr="00753A3B">
        <w:rPr>
          <w:rStyle w:val="FootnoteReference"/>
        </w:rPr>
        <w:footnoteReference w:id="92"/>
      </w:r>
      <w:r w:rsidR="00461195" w:rsidRPr="00753A3B">
        <w:t xml:space="preserve"> </w:t>
      </w:r>
      <w:r w:rsidR="00461195">
        <w:t>Admittedly, this seems to circumscribe</w:t>
      </w:r>
      <w:r w:rsidR="00461195" w:rsidRPr="00753A3B">
        <w:t xml:space="preserve"> the </w:t>
      </w:r>
      <w:r w:rsidR="00461195">
        <w:t xml:space="preserve">equitable tracing rules, although </w:t>
      </w:r>
      <w:r w:rsidR="00461195" w:rsidRPr="00753A3B">
        <w:t>this argument</w:t>
      </w:r>
      <w:r w:rsidR="00461195">
        <w:t xml:space="preserve"> will be dealt with further o</w:t>
      </w:r>
      <w:r w:rsidR="00461195" w:rsidRPr="00860AE0">
        <w:t>n</w:t>
      </w:r>
      <w:r w:rsidR="00461195">
        <w:t xml:space="preserve"> by demonstrating that the courts are merely paying ‘lip service’ to these rules and in practice they are not applied by the courts</w:t>
      </w:r>
      <w:r w:rsidR="00461195" w:rsidRPr="00860AE0">
        <w:t>.</w:t>
      </w:r>
      <w:r w:rsidR="00461195" w:rsidRPr="00860AE0">
        <w:rPr>
          <w:rStyle w:val="FootnoteReference"/>
        </w:rPr>
        <w:footnoteReference w:id="93"/>
      </w:r>
      <w:r w:rsidR="00461195" w:rsidRPr="00753A3B">
        <w:t xml:space="preserve"> The second </w:t>
      </w:r>
      <w:r w:rsidR="00461195">
        <w:t>comment by Lord Browne-Wilkinson was</w:t>
      </w:r>
      <w:r w:rsidR="00461195" w:rsidRPr="00753A3B">
        <w:t xml:space="preserve"> that, if the recipient of a mistaken payment realises that the money was paid under a mistake, they are bound by conscience to hold that money for the claimant.</w:t>
      </w:r>
      <w:r w:rsidR="00461195" w:rsidRPr="00753A3B">
        <w:rPr>
          <w:rStyle w:val="FootnoteReference"/>
        </w:rPr>
        <w:footnoteReference w:id="94"/>
      </w:r>
      <w:r w:rsidR="00461195" w:rsidRPr="00753A3B">
        <w:t xml:space="preserve"> </w:t>
      </w:r>
      <w:r w:rsidR="00461195" w:rsidRPr="00753A3B">
        <w:rPr>
          <w:rStyle w:val="hit"/>
        </w:rPr>
        <w:t xml:space="preserve">This has undoubtedly been a controversial statement, as </w:t>
      </w:r>
      <w:r w:rsidR="00461195">
        <w:rPr>
          <w:rStyle w:val="hit"/>
        </w:rPr>
        <w:t xml:space="preserve">Birks and </w:t>
      </w:r>
      <w:r w:rsidR="00461195" w:rsidRPr="00753A3B">
        <w:rPr>
          <w:rStyle w:val="hit"/>
        </w:rPr>
        <w:t xml:space="preserve">Chambers </w:t>
      </w:r>
      <w:r w:rsidR="00461195">
        <w:rPr>
          <w:rStyle w:val="hit"/>
        </w:rPr>
        <w:t>have</w:t>
      </w:r>
      <w:r w:rsidR="00461195" w:rsidRPr="00753A3B">
        <w:rPr>
          <w:rStyle w:val="hit"/>
        </w:rPr>
        <w:t xml:space="preserve"> argued that this should not be followed</w:t>
      </w:r>
      <w:r w:rsidR="00461195">
        <w:rPr>
          <w:rStyle w:val="hit"/>
        </w:rPr>
        <w:t xml:space="preserve"> on the basis </w:t>
      </w:r>
      <w:r w:rsidR="0064272E">
        <w:rPr>
          <w:rStyle w:val="hit"/>
        </w:rPr>
        <w:t>that it would create uncertainty</w:t>
      </w:r>
      <w:r w:rsidR="00461195" w:rsidRPr="00753A3B">
        <w:rPr>
          <w:rStyle w:val="hit"/>
        </w:rPr>
        <w:t>.</w:t>
      </w:r>
      <w:bookmarkStart w:id="27" w:name="_Ref358404159"/>
      <w:r w:rsidR="00461195" w:rsidRPr="00753A3B">
        <w:rPr>
          <w:rStyle w:val="FootnoteReference"/>
        </w:rPr>
        <w:footnoteReference w:id="95"/>
      </w:r>
      <w:bookmarkEnd w:id="27"/>
      <w:r w:rsidR="00461195" w:rsidRPr="00753A3B">
        <w:rPr>
          <w:rStyle w:val="hit"/>
        </w:rPr>
        <w:t xml:space="preserve"> </w:t>
      </w:r>
      <w:r>
        <w:t xml:space="preserve">McFarlane has </w:t>
      </w:r>
      <w:r w:rsidR="0064272E">
        <w:t>sought to defend</w:t>
      </w:r>
      <w:r w:rsidR="0020560D">
        <w:t xml:space="preserve"> Lord Browne-Wilkinson’s approach in </w:t>
      </w:r>
      <w:r w:rsidR="0020560D">
        <w:rPr>
          <w:i/>
        </w:rPr>
        <w:t>Westdeutsche</w:t>
      </w:r>
      <w:r>
        <w:t>, stating that three propositions can be drawn.</w:t>
      </w:r>
      <w:r>
        <w:rPr>
          <w:rStyle w:val="FootnoteReference"/>
        </w:rPr>
        <w:footnoteReference w:id="96"/>
      </w:r>
      <w:r>
        <w:t xml:space="preserve"> First, the transaction must involve B’s loss of a right and A’s acquisition of a right. This would be covered by a transfer of title to money. Second, there is no legal basis for A to have the benefit of the right. In cases of mistaken payments</w:t>
      </w:r>
      <w:r w:rsidR="00B268FF">
        <w:t xml:space="preserve"> and fraud</w:t>
      </w:r>
      <w:r>
        <w:t xml:space="preserve">, this can be demonstrated by showing that B’s intention was vitiated. Thirdly, A must know that he has acquired the right and the facts which show that there is no legal basis for A to continue to enjoy the benefit of the right. </w:t>
      </w:r>
    </w:p>
    <w:p w:rsidR="0019503A" w:rsidRDefault="00837437" w:rsidP="00837437">
      <w:pPr>
        <w:spacing w:line="360" w:lineRule="auto"/>
        <w:ind w:firstLine="720"/>
        <w:jc w:val="both"/>
      </w:pPr>
      <w:r w:rsidRPr="00753A3B">
        <w:t>One complication</w:t>
      </w:r>
      <w:r>
        <w:t xml:space="preserve"> with this suggestion is that</w:t>
      </w:r>
      <w:r w:rsidRPr="00837437">
        <w:t xml:space="preserve"> knowledge on its own seems insufficient as a reason for justifying proprietary restitution.</w:t>
      </w:r>
      <w:bookmarkStart w:id="28" w:name="_Ref404162681"/>
      <w:r w:rsidRPr="00837437">
        <w:rPr>
          <w:rStyle w:val="FootnoteReference"/>
        </w:rPr>
        <w:footnoteReference w:id="97"/>
      </w:r>
      <w:bookmarkEnd w:id="28"/>
      <w:r w:rsidRPr="00837437">
        <w:t xml:space="preserve"> For example, it is notable that in </w:t>
      </w:r>
      <w:r w:rsidRPr="00837437">
        <w:rPr>
          <w:i/>
        </w:rPr>
        <w:t>Cox v Paxton</w:t>
      </w:r>
      <w:r w:rsidRPr="00837437">
        <w:t>, Lord Chancellor Eldon indicated that knowledge of the circumstances would not be sufficient to establish a claim for proprietary restitution.</w:t>
      </w:r>
      <w:r w:rsidRPr="00837437">
        <w:rPr>
          <w:rStyle w:val="FootnoteReference"/>
        </w:rPr>
        <w:footnoteReference w:id="98"/>
      </w:r>
      <w:r w:rsidRPr="00837437">
        <w:t xml:space="preserve"> In </w:t>
      </w:r>
      <w:r w:rsidRPr="00837437">
        <w:rPr>
          <w:i/>
        </w:rPr>
        <w:t>Cox</w:t>
      </w:r>
      <w:r w:rsidRPr="00837437">
        <w:t xml:space="preserve">, a clerk had embezzled money from the claimants and invested the money in insurance policies which were now in the hands of the defendants. His Lordship stated that the defendant’s knowledge of the clerk’s actions meant that the “morality of it is obvious: but that cannot be the foundation of a rule in </w:t>
      </w:r>
      <w:r w:rsidRPr="00837437">
        <w:lastRenderedPageBreak/>
        <w:t>Equity”.</w:t>
      </w:r>
      <w:r w:rsidRPr="00837437">
        <w:rPr>
          <w:rStyle w:val="FootnoteReference"/>
        </w:rPr>
        <w:footnoteReference w:id="99"/>
      </w:r>
      <w:r w:rsidRPr="00837437">
        <w:t xml:space="preserve"> Swadling provides another example by referring to Diplock L</w:t>
      </w:r>
      <w:r w:rsidR="00E72F17">
        <w:t>.</w:t>
      </w:r>
      <w:r w:rsidRPr="00837437">
        <w:t>J</w:t>
      </w:r>
      <w:r w:rsidR="00E72F17">
        <w:t>.</w:t>
      </w:r>
      <w:r w:rsidRPr="00837437">
        <w:t xml:space="preserve"> in </w:t>
      </w:r>
      <w:r w:rsidRPr="00837437">
        <w:rPr>
          <w:i/>
        </w:rPr>
        <w:t>Port Line Ltd v Ben Line Steamers Ltd</w:t>
      </w:r>
      <w:r w:rsidRPr="00837437">
        <w:t xml:space="preserve"> where it was stated that “notice . . . is a shield not a weapon of offence. It protects an already existing equitable interest from being defeated by a purchaser for value without notice. It is not itself the source of an equitable right”.</w:t>
      </w:r>
      <w:r w:rsidRPr="00837437">
        <w:rPr>
          <w:rStyle w:val="FootnoteReference"/>
        </w:rPr>
        <w:footnoteReference w:id="100"/>
      </w:r>
      <w:r w:rsidRPr="00837437">
        <w:t xml:space="preserve"> </w:t>
      </w:r>
      <w:r>
        <w:t xml:space="preserve">Furthermore, </w:t>
      </w:r>
      <w:r w:rsidR="00164232">
        <w:t>there is case law that demonstrates knowledge</w:t>
      </w:r>
      <w:r w:rsidR="0020560D">
        <w:t xml:space="preserve"> alone</w:t>
      </w:r>
      <w:r w:rsidR="00164232">
        <w:t xml:space="preserve"> </w:t>
      </w:r>
      <w:r w:rsidR="0020560D">
        <w:t>is in</w:t>
      </w:r>
      <w:r w:rsidR="00164232">
        <w:t>sufficient to establish proprietary restitution.</w:t>
      </w:r>
      <w:r w:rsidR="000E4DFA">
        <w:t xml:space="preserve"> </w:t>
      </w:r>
      <w:r w:rsidR="00164232">
        <w:t>I</w:t>
      </w:r>
      <w:r w:rsidR="000E4DFA">
        <w:t xml:space="preserve">n </w:t>
      </w:r>
      <w:r w:rsidR="000E4DFA">
        <w:rPr>
          <w:i/>
        </w:rPr>
        <w:t>Fitzalan-Howard</w:t>
      </w:r>
      <w:r w:rsidR="000E4DFA" w:rsidRPr="001F12FE">
        <w:rPr>
          <w:i/>
        </w:rPr>
        <w:t xml:space="preserve"> v Hibbert</w:t>
      </w:r>
      <w:bookmarkStart w:id="29" w:name="_Ref376602409"/>
      <w:r w:rsidR="000E4DFA" w:rsidRPr="00B845EB">
        <w:rPr>
          <w:rStyle w:val="FootnoteReference"/>
        </w:rPr>
        <w:footnoteReference w:id="101"/>
      </w:r>
      <w:bookmarkEnd w:id="29"/>
      <w:r w:rsidR="000E4DFA">
        <w:t xml:space="preserve"> and </w:t>
      </w:r>
      <w:r w:rsidR="000E4DFA" w:rsidRPr="00EC3A59">
        <w:rPr>
          <w:i/>
        </w:rPr>
        <w:t>Pertemps v HMRC</w:t>
      </w:r>
      <w:bookmarkStart w:id="30" w:name="_Ref376602413"/>
      <w:r w:rsidR="000E4DFA" w:rsidRPr="00EC3A59">
        <w:rPr>
          <w:rStyle w:val="FootnoteReference"/>
        </w:rPr>
        <w:footnoteReference w:id="102"/>
      </w:r>
      <w:bookmarkEnd w:id="30"/>
      <w:r w:rsidR="000E4DFA">
        <w:rPr>
          <w:i/>
        </w:rPr>
        <w:t xml:space="preserve"> </w:t>
      </w:r>
      <w:r w:rsidR="000E4DFA">
        <w:t xml:space="preserve">the recipients had knowledge that they had received a mistaken payment. </w:t>
      </w:r>
      <w:r w:rsidR="0019503A">
        <w:t>Neverthel</w:t>
      </w:r>
      <w:r w:rsidR="00164232">
        <w:t xml:space="preserve">ess, proprietary restitution </w:t>
      </w:r>
      <w:r w:rsidR="00AA354E">
        <w:t>would not have been</w:t>
      </w:r>
      <w:r w:rsidR="00F83293">
        <w:t xml:space="preserve"> available</w:t>
      </w:r>
      <w:r w:rsidR="0019503A">
        <w:t xml:space="preserve"> despite the knowledge of the </w:t>
      </w:r>
      <w:r w:rsidR="0019503A" w:rsidRPr="007C3016">
        <w:t>recipient.</w:t>
      </w:r>
      <w:r w:rsidR="0019503A">
        <w:t xml:space="preserve"> This does not mean that knowledge is irrelevant in determining proprietary restitution. Indeed, most of the discussion in the case law </w:t>
      </w:r>
      <w:r w:rsidR="00E81877">
        <w:t>illustrates that</w:t>
      </w:r>
      <w:r w:rsidR="0019503A">
        <w:t xml:space="preserve"> the state of mind of the recipient </w:t>
      </w:r>
      <w:r w:rsidR="00E81877">
        <w:t xml:space="preserve">is of central importance </w:t>
      </w:r>
      <w:r w:rsidR="0019503A">
        <w:t xml:space="preserve">when identifying if </w:t>
      </w:r>
      <w:r w:rsidR="00CC1560">
        <w:t>proprietary</w:t>
      </w:r>
      <w:r w:rsidR="0019503A">
        <w:t xml:space="preserve"> restitution will be available.</w:t>
      </w:r>
      <w:r w:rsidR="0019503A">
        <w:rPr>
          <w:rStyle w:val="FootnoteReference"/>
        </w:rPr>
        <w:footnoteReference w:id="103"/>
      </w:r>
      <w:r w:rsidR="0019503A">
        <w:t xml:space="preserve"> The problem is that the Lord Browne-Wilkinson</w:t>
      </w:r>
      <w:r w:rsidR="0019503A" w:rsidRPr="0029098E">
        <w:t>/</w:t>
      </w:r>
      <w:r w:rsidR="0019503A">
        <w:t>McFarlane analysis is missing an integral ingredient; in other words, knowledge is a necessary but not sufficient requirement.</w:t>
      </w:r>
      <w:r w:rsidR="00C80C8B">
        <w:rPr>
          <w:rStyle w:val="FootnoteReference"/>
        </w:rPr>
        <w:footnoteReference w:id="104"/>
      </w:r>
      <w:r w:rsidR="0019503A">
        <w:t xml:space="preserve"> The case law can only be understood once we recognise that it is</w:t>
      </w:r>
      <w:r w:rsidR="00DF5C4D">
        <w:t xml:space="preserve"> also necessary to show that the</w:t>
      </w:r>
      <w:r w:rsidR="0019503A">
        <w:t xml:space="preserve"> recipient </w:t>
      </w:r>
      <w:r w:rsidR="001460E2">
        <w:t xml:space="preserve">has </w:t>
      </w:r>
      <w:r w:rsidR="00E41981">
        <w:t>breached the duty that is established by knowledge</w:t>
      </w:r>
      <w:r w:rsidR="0019503A">
        <w:t>.</w:t>
      </w:r>
    </w:p>
    <w:p w:rsidR="0019503A" w:rsidRDefault="0019503A" w:rsidP="00C937DB">
      <w:pPr>
        <w:pStyle w:val="Header1"/>
        <w:spacing w:line="360" w:lineRule="auto"/>
      </w:pPr>
    </w:p>
    <w:p w:rsidR="003E14AB" w:rsidRPr="001D78AC" w:rsidRDefault="00AC23D5" w:rsidP="00C937DB">
      <w:pPr>
        <w:pStyle w:val="Header1"/>
        <w:spacing w:line="360" w:lineRule="auto"/>
      </w:pPr>
      <w:r>
        <w:t>III</w:t>
      </w:r>
      <w:r w:rsidR="00DA341C" w:rsidRPr="006972B5">
        <w:t>.</w:t>
      </w:r>
      <w:r w:rsidR="00DA341C" w:rsidRPr="00D95E00">
        <w:rPr>
          <w:i/>
        </w:rPr>
        <w:t xml:space="preserve"> </w:t>
      </w:r>
      <w:r w:rsidR="003E14AB">
        <w:t xml:space="preserve">Why Proprietary Restitution Should Respond to the </w:t>
      </w:r>
      <w:r w:rsidR="0065151B">
        <w:t xml:space="preserve">State of Mind and the </w:t>
      </w:r>
      <w:r w:rsidR="003E14AB">
        <w:t>Actions of the Defendant</w:t>
      </w:r>
    </w:p>
    <w:p w:rsidR="003E14AB" w:rsidRPr="00450E49" w:rsidRDefault="003E14AB" w:rsidP="00C937DB">
      <w:pPr>
        <w:pStyle w:val="Header1"/>
        <w:spacing w:line="360" w:lineRule="auto"/>
      </w:pPr>
    </w:p>
    <w:p w:rsidR="000C2E6D" w:rsidRDefault="003E14AB">
      <w:pPr>
        <w:spacing w:line="360" w:lineRule="auto"/>
        <w:jc w:val="both"/>
        <w:rPr>
          <w:rStyle w:val="Emphasis"/>
          <w:i w:val="0"/>
        </w:rPr>
      </w:pPr>
      <w:r>
        <w:t>The</w:t>
      </w:r>
      <w:r w:rsidRPr="00753A3B">
        <w:t xml:space="preserve"> position </w:t>
      </w:r>
      <w:r>
        <w:t xml:space="preserve">taken in this article </w:t>
      </w:r>
      <w:r w:rsidRPr="00753A3B">
        <w:t xml:space="preserve">is that the case law has developed along the lines set out by Lord Browne-Wilkinson, with an additional requirement </w:t>
      </w:r>
      <w:r>
        <w:t xml:space="preserve">being </w:t>
      </w:r>
      <w:r w:rsidRPr="00753A3B">
        <w:t xml:space="preserve">that the defendant </w:t>
      </w:r>
      <w:r w:rsidR="001460E2">
        <w:t>has acted with wilful misconduct</w:t>
      </w:r>
      <w:r w:rsidRPr="00753A3B">
        <w:t xml:space="preserve">. </w:t>
      </w:r>
      <w:r w:rsidR="00BD0847">
        <w:t xml:space="preserve">That explains why proprietary restitution is not available in cases where the recipient </w:t>
      </w:r>
      <w:r w:rsidR="00351E68">
        <w:t xml:space="preserve">has knowledge but </w:t>
      </w:r>
      <w:r w:rsidR="0093249E">
        <w:t xml:space="preserve">has not </w:t>
      </w:r>
      <w:r w:rsidR="00BC3476">
        <w:t>acted improperly</w:t>
      </w:r>
      <w:r w:rsidR="00351E68">
        <w:t>.</w:t>
      </w:r>
      <w:r w:rsidR="00351E68">
        <w:rPr>
          <w:rStyle w:val="FootnoteReference"/>
        </w:rPr>
        <w:footnoteReference w:id="105"/>
      </w:r>
      <w:r w:rsidR="00351E68">
        <w:t xml:space="preserve"> </w:t>
      </w:r>
      <w:r w:rsidR="00AB4753">
        <w:t>Thus, the</w:t>
      </w:r>
      <w:r w:rsidR="00E762C2">
        <w:t xml:space="preserve"> central argument of this piece is that knowledge, </w:t>
      </w:r>
      <w:r w:rsidR="00DF5C4D">
        <w:t xml:space="preserve">and </w:t>
      </w:r>
      <w:r w:rsidR="00A236EA">
        <w:t>wilful misconduct</w:t>
      </w:r>
      <w:r w:rsidR="00102AD1">
        <w:t>,</w:t>
      </w:r>
      <w:r w:rsidR="00E762C2">
        <w:t xml:space="preserve"> are integral factual elements in establishing </w:t>
      </w:r>
      <w:r w:rsidR="00E762C2" w:rsidRPr="00753A3B">
        <w:t xml:space="preserve">the claim for </w:t>
      </w:r>
      <w:r w:rsidR="00E762C2">
        <w:t>proprietary</w:t>
      </w:r>
      <w:r w:rsidR="00E762C2" w:rsidRPr="00753A3B">
        <w:t xml:space="preserve"> restitution</w:t>
      </w:r>
      <w:r w:rsidR="00E762C2">
        <w:t xml:space="preserve"> in the context of </w:t>
      </w:r>
      <w:r w:rsidR="00462E4D">
        <w:t>mistaken</w:t>
      </w:r>
      <w:r w:rsidR="00E762C2">
        <w:t xml:space="preserve"> transfers.</w:t>
      </w:r>
      <w:r w:rsidR="00E762C2">
        <w:rPr>
          <w:rStyle w:val="hit"/>
        </w:rPr>
        <w:t xml:space="preserve"> </w:t>
      </w:r>
      <w:r w:rsidR="00635C19">
        <w:rPr>
          <w:rStyle w:val="hit"/>
        </w:rPr>
        <w:t xml:space="preserve">In terms of classifying the claim for proprietary restitution in cases of mistaken payments, this claim falls under the law of wrongs. This follows from Birks’ definition of ‘wrongs’, which is </w:t>
      </w:r>
      <w:r w:rsidR="00635C19">
        <w:rPr>
          <w:rStyle w:val="hit"/>
        </w:rPr>
        <w:lastRenderedPageBreak/>
        <w:t>that</w:t>
      </w:r>
      <w:r w:rsidR="00C95F5D">
        <w:rPr>
          <w:rStyle w:val="hit"/>
        </w:rPr>
        <w:t xml:space="preserve"> a wrong</w:t>
      </w:r>
      <w:r w:rsidR="00635C19">
        <w:rPr>
          <w:rStyle w:val="hit"/>
        </w:rPr>
        <w:t xml:space="preserve"> is the breach of a </w:t>
      </w:r>
      <w:r w:rsidR="00311C02">
        <w:rPr>
          <w:rStyle w:val="hit"/>
        </w:rPr>
        <w:t xml:space="preserve">legal </w:t>
      </w:r>
      <w:r w:rsidR="00635C19">
        <w:rPr>
          <w:rStyle w:val="hit"/>
        </w:rPr>
        <w:t>duty.</w:t>
      </w:r>
      <w:bookmarkStart w:id="31" w:name="_Ref417461473"/>
      <w:r w:rsidR="00034EC3">
        <w:rPr>
          <w:rStyle w:val="FootnoteReference"/>
        </w:rPr>
        <w:footnoteReference w:id="106"/>
      </w:r>
      <w:bookmarkEnd w:id="31"/>
      <w:r w:rsidR="00635C19">
        <w:rPr>
          <w:rStyle w:val="hit"/>
        </w:rPr>
        <w:t xml:space="preserve"> </w:t>
      </w:r>
      <w:r w:rsidR="00D8169A">
        <w:rPr>
          <w:rStyle w:val="Emphasis"/>
          <w:i w:val="0"/>
        </w:rPr>
        <w:t>This analysis is important, as e</w:t>
      </w:r>
      <w:r w:rsidR="00964FD3">
        <w:rPr>
          <w:rStyle w:val="Emphasis"/>
          <w:i w:val="0"/>
        </w:rPr>
        <w:t xml:space="preserve">lements such as knowledge and wilful misconduct are </w:t>
      </w:r>
      <w:r w:rsidR="00F42072">
        <w:rPr>
          <w:rStyle w:val="Emphasis"/>
          <w:i w:val="0"/>
        </w:rPr>
        <w:t>unnecessary to</w:t>
      </w:r>
      <w:r w:rsidR="00D8169A">
        <w:rPr>
          <w:rStyle w:val="Emphasis"/>
          <w:i w:val="0"/>
        </w:rPr>
        <w:t xml:space="preserve"> </w:t>
      </w:r>
      <w:r w:rsidR="00F42072">
        <w:rPr>
          <w:rStyle w:val="Emphasis"/>
          <w:i w:val="0"/>
        </w:rPr>
        <w:t>establish a</w:t>
      </w:r>
      <w:r w:rsidR="00D8169A">
        <w:rPr>
          <w:rStyle w:val="Emphasis"/>
          <w:i w:val="0"/>
        </w:rPr>
        <w:t xml:space="preserve"> </w:t>
      </w:r>
      <w:r w:rsidR="00F42072">
        <w:rPr>
          <w:rStyle w:val="Emphasis"/>
          <w:i w:val="0"/>
        </w:rPr>
        <w:t>personal claim</w:t>
      </w:r>
      <w:r w:rsidR="00964FD3">
        <w:rPr>
          <w:rStyle w:val="Emphasis"/>
          <w:i w:val="0"/>
        </w:rPr>
        <w:t xml:space="preserve"> of restitution for mistaken payments,</w:t>
      </w:r>
      <w:r w:rsidR="00964FD3">
        <w:rPr>
          <w:rStyle w:val="FootnoteReference"/>
          <w:iCs/>
        </w:rPr>
        <w:footnoteReference w:id="107"/>
      </w:r>
      <w:r w:rsidR="00964FD3">
        <w:rPr>
          <w:rStyle w:val="Emphasis"/>
          <w:i w:val="0"/>
        </w:rPr>
        <w:t xml:space="preserve"> </w:t>
      </w:r>
      <w:r w:rsidR="00163948">
        <w:rPr>
          <w:rStyle w:val="Emphasis"/>
          <w:i w:val="0"/>
        </w:rPr>
        <w:t xml:space="preserve">so we need to be able to identify a separate cause action if these elements are to have any legal significance. The appropriate categorisation for the claim lies in the law of wrongs </w:t>
      </w:r>
      <w:r w:rsidR="00C95F5D">
        <w:rPr>
          <w:rStyle w:val="Emphasis"/>
          <w:i w:val="0"/>
        </w:rPr>
        <w:t>through the identification of</w:t>
      </w:r>
      <w:r w:rsidR="00163948">
        <w:rPr>
          <w:rStyle w:val="Emphasis"/>
          <w:i w:val="0"/>
        </w:rPr>
        <w:t xml:space="preserve"> a duty which is breached by the recipient. </w:t>
      </w:r>
      <w:r w:rsidR="0019229A">
        <w:rPr>
          <w:rStyle w:val="Emphasis"/>
          <w:i w:val="0"/>
        </w:rPr>
        <w:t>Th</w:t>
      </w:r>
      <w:r w:rsidR="000743EB">
        <w:rPr>
          <w:rStyle w:val="Emphasis"/>
          <w:i w:val="0"/>
        </w:rPr>
        <w:t xml:space="preserve">e </w:t>
      </w:r>
      <w:r w:rsidR="00C95F5D">
        <w:rPr>
          <w:rStyle w:val="Emphasis"/>
          <w:i w:val="0"/>
        </w:rPr>
        <w:t>possibility of a wrong-based</w:t>
      </w:r>
      <w:r w:rsidR="00730A0D">
        <w:rPr>
          <w:rStyle w:val="Emphasis"/>
          <w:i w:val="0"/>
        </w:rPr>
        <w:t xml:space="preserve"> </w:t>
      </w:r>
      <w:r w:rsidR="00C95F5D">
        <w:rPr>
          <w:rStyle w:val="Emphasis"/>
          <w:i w:val="0"/>
        </w:rPr>
        <w:t>claim</w:t>
      </w:r>
      <w:r w:rsidR="000743EB">
        <w:rPr>
          <w:rStyle w:val="Emphasis"/>
          <w:i w:val="0"/>
        </w:rPr>
        <w:t xml:space="preserve"> against recipients of mistaken payments finds s</w:t>
      </w:r>
      <w:r w:rsidR="00730A0D">
        <w:rPr>
          <w:rStyle w:val="Emphasis"/>
          <w:i w:val="0"/>
        </w:rPr>
        <w:t>ome s</w:t>
      </w:r>
      <w:r w:rsidR="000743EB">
        <w:rPr>
          <w:rStyle w:val="Emphasis"/>
          <w:i w:val="0"/>
        </w:rPr>
        <w:t>upport in the</w:t>
      </w:r>
      <w:r w:rsidR="0019229A">
        <w:rPr>
          <w:rStyle w:val="Emphasis"/>
          <w:i w:val="0"/>
        </w:rPr>
        <w:t xml:space="preserve"> </w:t>
      </w:r>
      <w:r w:rsidR="000743EB">
        <w:rPr>
          <w:rStyle w:val="Emphasis"/>
          <w:i w:val="0"/>
        </w:rPr>
        <w:t xml:space="preserve">recent decision in </w:t>
      </w:r>
      <w:r w:rsidR="0019229A" w:rsidRPr="00637FC0">
        <w:rPr>
          <w:rStyle w:val="Emphasis"/>
        </w:rPr>
        <w:t>Santander UK Plc v National Westminster Bank Plc</w:t>
      </w:r>
      <w:r w:rsidR="000743EB">
        <w:rPr>
          <w:rStyle w:val="Emphasis"/>
          <w:i w:val="0"/>
        </w:rPr>
        <w:t>.</w:t>
      </w:r>
      <w:r w:rsidR="0044038A">
        <w:rPr>
          <w:rStyle w:val="FootnoteReference"/>
          <w:iCs/>
        </w:rPr>
        <w:footnoteReference w:id="108"/>
      </w:r>
      <w:r w:rsidR="000743EB">
        <w:rPr>
          <w:rStyle w:val="Emphasis"/>
          <w:i w:val="0"/>
        </w:rPr>
        <w:t xml:space="preserve"> For the purposes of establishing ‘Norwich Pharmacal orders’ (</w:t>
      </w:r>
      <w:r w:rsidR="00730A0D">
        <w:rPr>
          <w:rStyle w:val="Emphasis"/>
          <w:i w:val="0"/>
        </w:rPr>
        <w:t>which</w:t>
      </w:r>
      <w:r w:rsidR="000743EB">
        <w:rPr>
          <w:rStyle w:val="Emphasis"/>
          <w:i w:val="0"/>
        </w:rPr>
        <w:t xml:space="preserve"> is an order made against innocent third parties who are involved in possible wrongdoing in some way</w:t>
      </w:r>
      <w:r w:rsidR="00730A0D">
        <w:rPr>
          <w:rStyle w:val="Emphasis"/>
          <w:i w:val="0"/>
        </w:rPr>
        <w:t>),</w:t>
      </w:r>
      <w:r w:rsidR="000743EB">
        <w:rPr>
          <w:rStyle w:val="FootnoteReference"/>
          <w:iCs/>
        </w:rPr>
        <w:footnoteReference w:id="109"/>
      </w:r>
      <w:r w:rsidR="0019229A">
        <w:rPr>
          <w:rStyle w:val="Emphasis"/>
          <w:i w:val="0"/>
        </w:rPr>
        <w:t xml:space="preserve"> </w:t>
      </w:r>
      <w:r w:rsidR="008D3BA6">
        <w:rPr>
          <w:rStyle w:val="Emphasis"/>
          <w:i w:val="0"/>
        </w:rPr>
        <w:t>Birs</w:t>
      </w:r>
      <w:r w:rsidR="000743EB">
        <w:rPr>
          <w:rStyle w:val="Emphasis"/>
          <w:i w:val="0"/>
        </w:rPr>
        <w:t xml:space="preserve">s J. </w:t>
      </w:r>
      <w:r w:rsidR="0019229A">
        <w:rPr>
          <w:rStyle w:val="Emphasis"/>
          <w:i w:val="0"/>
        </w:rPr>
        <w:t>described</w:t>
      </w:r>
      <w:r w:rsidR="000743EB">
        <w:rPr>
          <w:rStyle w:val="Emphasis"/>
          <w:i w:val="0"/>
        </w:rPr>
        <w:t xml:space="preserve"> the receipt of mistaken payment</w:t>
      </w:r>
      <w:r w:rsidR="00E41981">
        <w:rPr>
          <w:rStyle w:val="Emphasis"/>
          <w:i w:val="0"/>
        </w:rPr>
        <w:t>s</w:t>
      </w:r>
      <w:r w:rsidR="000743EB">
        <w:rPr>
          <w:rStyle w:val="Emphasis"/>
          <w:i w:val="0"/>
        </w:rPr>
        <w:t xml:space="preserve"> </w:t>
      </w:r>
      <w:r w:rsidR="00E41981">
        <w:rPr>
          <w:rStyle w:val="Emphasis"/>
          <w:i w:val="0"/>
        </w:rPr>
        <w:t xml:space="preserve">by the customers of the defendant bank </w:t>
      </w:r>
      <w:r w:rsidR="000743EB">
        <w:rPr>
          <w:rStyle w:val="Emphasis"/>
          <w:i w:val="0"/>
        </w:rPr>
        <w:t xml:space="preserve">as an </w:t>
      </w:r>
      <w:r w:rsidR="00E14E1B">
        <w:rPr>
          <w:rStyle w:val="Emphasis"/>
          <w:i w:val="0"/>
        </w:rPr>
        <w:t>“</w:t>
      </w:r>
      <w:r w:rsidR="000743EB">
        <w:rPr>
          <w:rStyle w:val="Emphasis"/>
          <w:i w:val="0"/>
        </w:rPr>
        <w:t>equitable wrong</w:t>
      </w:r>
      <w:r w:rsidR="00E14E1B">
        <w:rPr>
          <w:rStyle w:val="Emphasis"/>
          <w:i w:val="0"/>
        </w:rPr>
        <w:t>”</w:t>
      </w:r>
      <w:r w:rsidR="0019229A">
        <w:rPr>
          <w:rStyle w:val="Emphasis"/>
          <w:i w:val="0"/>
        </w:rPr>
        <w:t>.</w:t>
      </w:r>
      <w:r w:rsidR="0019229A">
        <w:rPr>
          <w:rStyle w:val="FootnoteReference"/>
          <w:iCs/>
        </w:rPr>
        <w:footnoteReference w:id="110"/>
      </w:r>
      <w:r w:rsidR="0019229A">
        <w:rPr>
          <w:rStyle w:val="Emphasis"/>
          <w:i w:val="0"/>
        </w:rPr>
        <w:t xml:space="preserve"> </w:t>
      </w:r>
      <w:r w:rsidR="00730A0D">
        <w:rPr>
          <w:rStyle w:val="Emphasis"/>
          <w:i w:val="0"/>
        </w:rPr>
        <w:t xml:space="preserve">This conclusion appears problematic; as Birks contended, </w:t>
      </w:r>
      <w:r w:rsidR="00B472D4">
        <w:rPr>
          <w:rStyle w:val="Emphasis"/>
          <w:i w:val="0"/>
        </w:rPr>
        <w:t xml:space="preserve">the defendant’s </w:t>
      </w:r>
      <w:r w:rsidR="00730A0D">
        <w:rPr>
          <w:rStyle w:val="Emphasis"/>
          <w:i w:val="0"/>
        </w:rPr>
        <w:t xml:space="preserve">unjust enrichment </w:t>
      </w:r>
      <w:r w:rsidR="00C95F5D">
        <w:rPr>
          <w:rStyle w:val="Emphasis"/>
          <w:i w:val="0"/>
        </w:rPr>
        <w:t>is not</w:t>
      </w:r>
      <w:r w:rsidR="00B472D4">
        <w:rPr>
          <w:rStyle w:val="Emphasis"/>
          <w:i w:val="0"/>
        </w:rPr>
        <w:t xml:space="preserve"> a wrong</w:t>
      </w:r>
      <w:r w:rsidR="00730A0D">
        <w:rPr>
          <w:rStyle w:val="Emphasis"/>
          <w:i w:val="0"/>
        </w:rPr>
        <w:t>.</w:t>
      </w:r>
      <w:r w:rsidR="00C95F5D">
        <w:rPr>
          <w:rStyle w:val="FootnoteReference"/>
          <w:iCs/>
        </w:rPr>
        <w:footnoteReference w:id="111"/>
      </w:r>
      <w:r w:rsidR="00730A0D">
        <w:rPr>
          <w:rStyle w:val="Emphasis"/>
          <w:i w:val="0"/>
        </w:rPr>
        <w:t xml:space="preserve"> However, o</w:t>
      </w:r>
      <w:r w:rsidR="0019229A">
        <w:rPr>
          <w:rStyle w:val="Emphasis"/>
          <w:i w:val="0"/>
        </w:rPr>
        <w:t>n t</w:t>
      </w:r>
      <w:r w:rsidR="00730A0D">
        <w:rPr>
          <w:rStyle w:val="Emphasis"/>
          <w:i w:val="0"/>
        </w:rPr>
        <w:t xml:space="preserve">he analysis presented here, </w:t>
      </w:r>
      <w:r w:rsidR="0019229A">
        <w:rPr>
          <w:rStyle w:val="Emphasis"/>
          <w:i w:val="0"/>
        </w:rPr>
        <w:t xml:space="preserve">a mistaken payment </w:t>
      </w:r>
      <w:r w:rsidR="00730A0D">
        <w:rPr>
          <w:rStyle w:val="Emphasis"/>
          <w:i w:val="0"/>
        </w:rPr>
        <w:t>can</w:t>
      </w:r>
      <w:r w:rsidR="0019229A">
        <w:rPr>
          <w:rStyle w:val="Emphasis"/>
          <w:i w:val="0"/>
        </w:rPr>
        <w:t xml:space="preserve"> </w:t>
      </w:r>
      <w:r w:rsidR="00730A0D">
        <w:rPr>
          <w:rStyle w:val="Emphasis"/>
          <w:i w:val="0"/>
        </w:rPr>
        <w:t>potentially give rise to an</w:t>
      </w:r>
      <w:r w:rsidR="0019229A">
        <w:rPr>
          <w:rStyle w:val="Emphasis"/>
          <w:i w:val="0"/>
        </w:rPr>
        <w:t xml:space="preserve"> </w:t>
      </w:r>
      <w:r w:rsidR="00730A0D">
        <w:rPr>
          <w:rStyle w:val="Emphasis"/>
          <w:i w:val="0"/>
        </w:rPr>
        <w:t>‘</w:t>
      </w:r>
      <w:r w:rsidR="0019229A">
        <w:rPr>
          <w:rStyle w:val="Emphasis"/>
          <w:i w:val="0"/>
        </w:rPr>
        <w:t>equitable wrong</w:t>
      </w:r>
      <w:r w:rsidR="00730A0D">
        <w:rPr>
          <w:rStyle w:val="Emphasis"/>
          <w:i w:val="0"/>
        </w:rPr>
        <w:t>’</w:t>
      </w:r>
      <w:r w:rsidR="0019229A">
        <w:rPr>
          <w:rStyle w:val="Emphasis"/>
          <w:i w:val="0"/>
        </w:rPr>
        <w:t xml:space="preserve"> </w:t>
      </w:r>
      <w:r w:rsidR="00730A0D">
        <w:rPr>
          <w:rStyle w:val="Emphasis"/>
          <w:i w:val="0"/>
        </w:rPr>
        <w:t xml:space="preserve">in appropriate </w:t>
      </w:r>
      <w:r w:rsidR="000743EB">
        <w:rPr>
          <w:rStyle w:val="Emphasis"/>
          <w:i w:val="0"/>
        </w:rPr>
        <w:t>cases.</w:t>
      </w:r>
      <w:r w:rsidR="0019229A">
        <w:rPr>
          <w:rStyle w:val="Emphasis"/>
          <w:i w:val="0"/>
        </w:rPr>
        <w:t xml:space="preserve"> </w:t>
      </w:r>
      <w:r w:rsidR="002E5A26">
        <w:rPr>
          <w:rStyle w:val="Emphasis"/>
          <w:i w:val="0"/>
        </w:rPr>
        <w:t>This was very much the issue</w:t>
      </w:r>
      <w:r w:rsidR="00730A0D">
        <w:rPr>
          <w:rStyle w:val="Emphasis"/>
          <w:i w:val="0"/>
        </w:rPr>
        <w:t xml:space="preserve"> in </w:t>
      </w:r>
      <w:r w:rsidR="00730A0D">
        <w:rPr>
          <w:rStyle w:val="Emphasis"/>
        </w:rPr>
        <w:t>Santander</w:t>
      </w:r>
      <w:r w:rsidR="00730A0D">
        <w:rPr>
          <w:rStyle w:val="Emphasis"/>
          <w:i w:val="0"/>
        </w:rPr>
        <w:t xml:space="preserve">, </w:t>
      </w:r>
      <w:r w:rsidR="00F42072">
        <w:rPr>
          <w:rStyle w:val="Emphasis"/>
          <w:i w:val="0"/>
        </w:rPr>
        <w:t xml:space="preserve">as </w:t>
      </w:r>
      <w:r w:rsidR="00730A0D">
        <w:rPr>
          <w:rStyle w:val="Emphasis"/>
          <w:i w:val="0"/>
        </w:rPr>
        <w:t>the claimant bank had sought orders against account holders who had been informed that they had received mistaken payments but had not responded to the requests for repayment.</w:t>
      </w:r>
      <w:r w:rsidR="00730A0D">
        <w:rPr>
          <w:rStyle w:val="FootnoteReference"/>
          <w:iCs/>
        </w:rPr>
        <w:footnoteReference w:id="112"/>
      </w:r>
      <w:r w:rsidR="00730A0D">
        <w:rPr>
          <w:rStyle w:val="Emphasis"/>
          <w:i w:val="0"/>
        </w:rPr>
        <w:t xml:space="preserve"> There was something more than mere receipt of a mistaken payment which </w:t>
      </w:r>
      <w:r w:rsidR="00F42072">
        <w:rPr>
          <w:rStyle w:val="Emphasis"/>
          <w:i w:val="0"/>
        </w:rPr>
        <w:t>c</w:t>
      </w:r>
      <w:r w:rsidR="00054CA0">
        <w:rPr>
          <w:rStyle w:val="Emphasis"/>
          <w:i w:val="0"/>
        </w:rPr>
        <w:t>ould</w:t>
      </w:r>
      <w:r w:rsidR="00F42072">
        <w:rPr>
          <w:rStyle w:val="Emphasis"/>
          <w:i w:val="0"/>
        </w:rPr>
        <w:t xml:space="preserve"> </w:t>
      </w:r>
      <w:r w:rsidR="002E5A26">
        <w:rPr>
          <w:rStyle w:val="Emphasis"/>
          <w:i w:val="0"/>
        </w:rPr>
        <w:t>provide</w:t>
      </w:r>
      <w:r w:rsidR="00B472D4">
        <w:rPr>
          <w:rStyle w:val="Emphasis"/>
          <w:i w:val="0"/>
        </w:rPr>
        <w:t xml:space="preserve"> an arguable case that the actions of the recipient</w:t>
      </w:r>
      <w:r w:rsidR="00610063">
        <w:rPr>
          <w:rStyle w:val="Emphasis"/>
          <w:i w:val="0"/>
        </w:rPr>
        <w:t>s</w:t>
      </w:r>
      <w:r w:rsidR="00B472D4">
        <w:rPr>
          <w:rStyle w:val="Emphasis"/>
          <w:i w:val="0"/>
        </w:rPr>
        <w:t xml:space="preserve"> can be regarded as the actions of a wrongdoer.</w:t>
      </w:r>
      <w:r w:rsidR="00B472D4">
        <w:rPr>
          <w:rStyle w:val="FootnoteReference"/>
          <w:iCs/>
        </w:rPr>
        <w:footnoteReference w:id="113"/>
      </w:r>
      <w:r w:rsidR="00730A0D">
        <w:rPr>
          <w:rStyle w:val="Emphasis"/>
          <w:i w:val="0"/>
        </w:rPr>
        <w:t xml:space="preserve"> </w:t>
      </w:r>
      <w:r w:rsidR="00163948">
        <w:rPr>
          <w:rStyle w:val="Emphasis"/>
          <w:i w:val="0"/>
        </w:rPr>
        <w:t xml:space="preserve">Moreover, </w:t>
      </w:r>
      <w:r w:rsidR="00730A0D">
        <w:rPr>
          <w:rStyle w:val="Emphasis"/>
          <w:i w:val="0"/>
        </w:rPr>
        <w:t>this analysis</w:t>
      </w:r>
      <w:r w:rsidR="00163948">
        <w:rPr>
          <w:rStyle w:val="Emphasis"/>
          <w:i w:val="0"/>
        </w:rPr>
        <w:t xml:space="preserve"> also emphasises that the duty created by knowledge does not simply recreate the general obligation to make personal restitution. </w:t>
      </w:r>
    </w:p>
    <w:p w:rsidR="00546BEF" w:rsidRDefault="00034EC3" w:rsidP="00B322EC">
      <w:pPr>
        <w:spacing w:line="360" w:lineRule="auto"/>
        <w:ind w:firstLine="720"/>
        <w:jc w:val="both"/>
        <w:rPr>
          <w:iCs/>
        </w:rPr>
      </w:pPr>
      <w:r>
        <w:rPr>
          <w:rStyle w:val="hit"/>
        </w:rPr>
        <w:t>Following this, the</w:t>
      </w:r>
      <w:r w:rsidR="00311C02">
        <w:rPr>
          <w:rStyle w:val="hit"/>
        </w:rPr>
        <w:t xml:space="preserve"> classification of the claim for proprietary restitution in the context of mistaken payments </w:t>
      </w:r>
      <w:r w:rsidR="00635C19">
        <w:rPr>
          <w:rStyle w:val="hit"/>
        </w:rPr>
        <w:t>requires two elements. Firstly, the establishment of a duty to maintain the fund until restitution is made. This arises through the knowledge of the recipient. Secondly, the breach of this duty is established through the wilful misconduct of the recipient’s duty to maintain the fund</w:t>
      </w:r>
      <w:r w:rsidR="005B2629">
        <w:rPr>
          <w:rStyle w:val="hit"/>
        </w:rPr>
        <w:t>, which is appropriately classified as falling within the law of wrongs</w:t>
      </w:r>
      <w:r w:rsidR="00635C19">
        <w:rPr>
          <w:rStyle w:val="hit"/>
        </w:rPr>
        <w:t xml:space="preserve">. </w:t>
      </w:r>
      <w:r w:rsidR="00E762C2">
        <w:rPr>
          <w:rStyle w:val="hit"/>
        </w:rPr>
        <w:t xml:space="preserve">This section will demonstrate that this perspective </w:t>
      </w:r>
      <w:r w:rsidR="00E762C2">
        <w:t xml:space="preserve">is </w:t>
      </w:r>
      <w:r w:rsidR="00E762C2">
        <w:rPr>
          <w:rStyle w:val="hit"/>
        </w:rPr>
        <w:t>also supported by established principles of private law</w:t>
      </w:r>
      <w:r w:rsidR="00E762C2" w:rsidRPr="00753A3B">
        <w:t>.</w:t>
      </w:r>
    </w:p>
    <w:p w:rsidR="001C46A9" w:rsidRDefault="001C46A9" w:rsidP="00C937DB">
      <w:pPr>
        <w:spacing w:line="360" w:lineRule="auto"/>
        <w:jc w:val="both"/>
        <w:rPr>
          <w:b/>
          <w:u w:val="single"/>
        </w:rPr>
      </w:pPr>
    </w:p>
    <w:p w:rsidR="003E14AB" w:rsidRPr="00AC23D5" w:rsidRDefault="00D21266" w:rsidP="004C694B">
      <w:pPr>
        <w:spacing w:line="360" w:lineRule="auto"/>
        <w:jc w:val="center"/>
        <w:rPr>
          <w:i/>
        </w:rPr>
      </w:pPr>
      <w:r w:rsidRPr="00D21266">
        <w:rPr>
          <w:i/>
        </w:rPr>
        <w:t xml:space="preserve">A. </w:t>
      </w:r>
      <w:r w:rsidR="003E14AB" w:rsidRPr="00AC23D5">
        <w:rPr>
          <w:i/>
        </w:rPr>
        <w:t>Knowledge</w:t>
      </w:r>
    </w:p>
    <w:p w:rsidR="003E14AB" w:rsidRDefault="003E14AB" w:rsidP="00C937DB">
      <w:pPr>
        <w:spacing w:line="360" w:lineRule="auto"/>
        <w:jc w:val="both"/>
      </w:pPr>
    </w:p>
    <w:p w:rsidR="003E14AB" w:rsidRDefault="003E14AB" w:rsidP="00C937DB">
      <w:pPr>
        <w:spacing w:line="360" w:lineRule="auto"/>
        <w:jc w:val="both"/>
      </w:pPr>
      <w:r>
        <w:t>There are two reasons for accepting the relevance of knowledge in the context of proprietary restitution</w:t>
      </w:r>
      <w:r w:rsidR="00AB4753">
        <w:t xml:space="preserve"> for mistaken payments</w:t>
      </w:r>
      <w:r>
        <w:t>. Firstly,</w:t>
      </w:r>
      <w:r w:rsidR="00AB4753">
        <w:t xml:space="preserve"> although</w:t>
      </w:r>
      <w:r>
        <w:t xml:space="preserve"> </w:t>
      </w:r>
      <w:r w:rsidR="00AB4753">
        <w:t xml:space="preserve">knowledge alone does not create </w:t>
      </w:r>
      <w:r w:rsidR="00CD3AF2">
        <w:t xml:space="preserve">proprietary </w:t>
      </w:r>
      <w:r w:rsidR="00AB4753">
        <w:t>rights in equity,</w:t>
      </w:r>
      <w:r w:rsidR="00AB4753">
        <w:rPr>
          <w:rStyle w:val="FootnoteReference"/>
        </w:rPr>
        <w:footnoteReference w:id="114"/>
      </w:r>
      <w:r w:rsidR="00AB4753">
        <w:t xml:space="preserve"> </w:t>
      </w:r>
      <w:r>
        <w:t xml:space="preserve">it is apparent that knowledge can be integral in establishing rights in equity. The most obvious example is the personal claim for knowing </w:t>
      </w:r>
      <w:r w:rsidR="00CD4114">
        <w:t>receipt (or, to use its more recent nomenclature, ‘unconscionable receipt’)</w:t>
      </w:r>
      <w:r>
        <w:t>, whereby knowledge is an integral element in establishing personal liability for the receipt of trust property.</w:t>
      </w:r>
      <w:bookmarkStart w:id="32" w:name="_Ref403850363"/>
      <w:r w:rsidR="00041F14">
        <w:rPr>
          <w:rStyle w:val="FootnoteReference"/>
        </w:rPr>
        <w:footnoteReference w:id="115"/>
      </w:r>
      <w:bookmarkEnd w:id="32"/>
      <w:r>
        <w:t xml:space="preserve"> </w:t>
      </w:r>
      <w:r w:rsidR="00570AA4" w:rsidRPr="00570AA4">
        <w:t>Even when this h</w:t>
      </w:r>
      <w:r w:rsidR="00FA7E79" w:rsidRPr="00570AA4">
        <w:t>as been reformulated as unconscionable receipt, the emphasis is still on the extent of the recipient’s knowledge.</w:t>
      </w:r>
      <w:r w:rsidR="00570AA4" w:rsidRPr="00570AA4">
        <w:rPr>
          <w:rStyle w:val="FootnoteReference"/>
        </w:rPr>
        <w:footnoteReference w:id="116"/>
      </w:r>
      <w:r w:rsidR="00FA7E79">
        <w:t xml:space="preserve"> </w:t>
      </w:r>
      <w:r>
        <w:t>Admittedly, Birks has argued that knowing receipt is essentially the equitable version of unjust enrichment, with knowledge being relevant to the defence rather than the cause of action.</w:t>
      </w:r>
      <w:r w:rsidR="00041F14">
        <w:rPr>
          <w:rStyle w:val="FootnoteReference"/>
        </w:rPr>
        <w:footnoteReference w:id="117"/>
      </w:r>
      <w:r>
        <w:t xml:space="preserve"> Nevertheless,</w:t>
      </w:r>
      <w:r w:rsidR="00164232">
        <w:t xml:space="preserve"> the </w:t>
      </w:r>
      <w:r w:rsidR="006E2C7A">
        <w:t>vast majority of the case law on</w:t>
      </w:r>
      <w:r w:rsidR="00164232">
        <w:t xml:space="preserve"> knowing receipt has emphasised the knowledge element as a key ingredient</w:t>
      </w:r>
      <w:r w:rsidR="006E2C7A">
        <w:t xml:space="preserve"> in the cause of action rather than the defence</w:t>
      </w:r>
      <w:r w:rsidR="00164232">
        <w:t>.</w:t>
      </w:r>
      <w:r w:rsidR="00B37EC9">
        <w:rPr>
          <w:rStyle w:val="FootnoteReference"/>
        </w:rPr>
        <w:footnoteReference w:id="118"/>
      </w:r>
      <w:r>
        <w:t xml:space="preserve"> </w:t>
      </w:r>
      <w:r w:rsidR="006E2C7A" w:rsidRPr="004F13B1">
        <w:t>A</w:t>
      </w:r>
      <w:r w:rsidRPr="004F13B1">
        <w:t xml:space="preserve">nother action in </w:t>
      </w:r>
      <w:r w:rsidR="00041F14" w:rsidRPr="004F13B1">
        <w:t>equity that requires knowledge</w:t>
      </w:r>
      <w:r w:rsidR="006E2C7A" w:rsidRPr="004F13B1">
        <w:t>, at least to some degree, is dishonest assistance</w:t>
      </w:r>
      <w:r w:rsidR="00041F14" w:rsidRPr="004F13B1">
        <w:t>.</w:t>
      </w:r>
      <w:r w:rsidR="00D312A6" w:rsidRPr="004F13B1">
        <w:rPr>
          <w:rStyle w:val="FootnoteReference"/>
        </w:rPr>
        <w:footnoteReference w:id="119"/>
      </w:r>
      <w:r w:rsidR="00041F14">
        <w:t xml:space="preserve"> </w:t>
      </w:r>
      <w:r w:rsidR="001D747C">
        <w:t>Dishonest assistance is not founded on unjust enrichment, as the defendant need not be enriched, and is more commonly referred to as a wrong-based claim.</w:t>
      </w:r>
      <w:r w:rsidR="001D747C">
        <w:rPr>
          <w:rStyle w:val="FootnoteReference"/>
        </w:rPr>
        <w:footnoteReference w:id="120"/>
      </w:r>
      <w:r w:rsidR="001D747C">
        <w:t xml:space="preserve"> </w:t>
      </w:r>
      <w:r w:rsidR="00E66D0C">
        <w:t>Although</w:t>
      </w:r>
      <w:r w:rsidR="00132374">
        <w:t xml:space="preserve"> in </w:t>
      </w:r>
      <w:r w:rsidR="00132374">
        <w:rPr>
          <w:i/>
        </w:rPr>
        <w:t xml:space="preserve">Royal Brunei Airlines v Tan </w:t>
      </w:r>
      <w:r w:rsidR="00132374">
        <w:t>it was</w:t>
      </w:r>
      <w:r w:rsidR="00FA77F0">
        <w:t xml:space="preserve"> stated by Lord Nicholls that “‘</w:t>
      </w:r>
      <w:r w:rsidR="00132374">
        <w:t>knowingly’ is better avoided as a defining ingredient of the principle”, non</w:t>
      </w:r>
      <w:r w:rsidR="004F13B1">
        <w:t>e</w:t>
      </w:r>
      <w:r w:rsidR="00132374">
        <w:t>theless when his Lordship defined the requirement of dishonesty it was stated that “[a]n honest person would have regard to the circumstances</w:t>
      </w:r>
      <w:r w:rsidR="00132374" w:rsidRPr="00A73AD8">
        <w:rPr>
          <w:i/>
        </w:rPr>
        <w:t xml:space="preserve"> known</w:t>
      </w:r>
      <w:r w:rsidR="00132374">
        <w:t xml:space="preserve"> to him</w:t>
      </w:r>
      <w:r w:rsidR="00A73AD8">
        <w:t xml:space="preserve"> [emphasis added]</w:t>
      </w:r>
      <w:r w:rsidR="00132374">
        <w:t>.”</w:t>
      </w:r>
      <w:r w:rsidR="00132374">
        <w:rPr>
          <w:rStyle w:val="FootnoteReference"/>
        </w:rPr>
        <w:footnoteReference w:id="121"/>
      </w:r>
      <w:r w:rsidR="00132374">
        <w:t xml:space="preserve"> </w:t>
      </w:r>
      <w:r w:rsidR="001D747C">
        <w:t xml:space="preserve">Whilst </w:t>
      </w:r>
      <w:r w:rsidR="00041F14">
        <w:t>the</w:t>
      </w:r>
      <w:r w:rsidR="00AC7B85">
        <w:t xml:space="preserve"> above</w:t>
      </w:r>
      <w:r w:rsidR="00041F14">
        <w:t xml:space="preserve"> actions are personal claims, </w:t>
      </w:r>
      <w:r w:rsidR="008B58DF">
        <w:t xml:space="preserve">they </w:t>
      </w:r>
      <w:r w:rsidR="001D747C">
        <w:t xml:space="preserve">do </w:t>
      </w:r>
      <w:r w:rsidR="008B58DF">
        <w:t xml:space="preserve">show that the defendant’s knowledge can be </w:t>
      </w:r>
      <w:r w:rsidR="003E41F2">
        <w:t xml:space="preserve">one of the necessary </w:t>
      </w:r>
      <w:r w:rsidR="00C21D49">
        <w:t xml:space="preserve">ingredients </w:t>
      </w:r>
      <w:r w:rsidR="003E41F2">
        <w:t>in establishing causes of action in equity</w:t>
      </w:r>
      <w:r w:rsidR="008B58DF">
        <w:t xml:space="preserve">. </w:t>
      </w:r>
      <w:r>
        <w:t xml:space="preserve">Secondly, </w:t>
      </w:r>
      <w:r w:rsidR="00A023CA">
        <w:t xml:space="preserve">there is considerable authority which indicates that knowledge creates an equitable duty </w:t>
      </w:r>
      <w:r>
        <w:t xml:space="preserve">when it operates in </w:t>
      </w:r>
      <w:r w:rsidR="003B33C7">
        <w:t>the context</w:t>
      </w:r>
      <w:r w:rsidR="00A023CA">
        <w:t xml:space="preserve"> of </w:t>
      </w:r>
      <w:r>
        <w:t xml:space="preserve">a </w:t>
      </w:r>
      <w:r w:rsidR="00462E4D">
        <w:t>mistaken</w:t>
      </w:r>
      <w:r w:rsidR="00727729">
        <w:t xml:space="preserve"> transfer</w:t>
      </w:r>
      <w:r>
        <w:t xml:space="preserve">. </w:t>
      </w:r>
      <w:r w:rsidR="00DF5C4D">
        <w:t>For example, t</w:t>
      </w:r>
      <w:r w:rsidR="00F32950">
        <w:t xml:space="preserve">here is </w:t>
      </w:r>
      <w:r w:rsidR="003E41F2">
        <w:t>a well established</w:t>
      </w:r>
      <w:r w:rsidR="00F32950">
        <w:t xml:space="preserve"> line of authority which establishes that financial institutions have an equitable duty to </w:t>
      </w:r>
      <w:r w:rsidR="004F4DA2">
        <w:t xml:space="preserve">disclose </w:t>
      </w:r>
      <w:r w:rsidR="004F4DA2">
        <w:lastRenderedPageBreak/>
        <w:t>information in assisting</w:t>
      </w:r>
      <w:r w:rsidR="00F32950">
        <w:t xml:space="preserve"> the recovery of the proceeds of </w:t>
      </w:r>
      <w:r w:rsidR="00462E4D">
        <w:t>mistaken</w:t>
      </w:r>
      <w:r w:rsidR="00F32950">
        <w:t xml:space="preserve"> transfers.</w:t>
      </w:r>
      <w:bookmarkStart w:id="33" w:name="_Ref404452224"/>
      <w:r w:rsidR="00F32950">
        <w:rPr>
          <w:rStyle w:val="FootnoteReference"/>
        </w:rPr>
        <w:footnoteReference w:id="122"/>
      </w:r>
      <w:bookmarkEnd w:id="33"/>
      <w:r w:rsidR="00F32950">
        <w:t xml:space="preserve"> </w:t>
      </w:r>
      <w:r w:rsidR="00AB4753">
        <w:t>Moreo</w:t>
      </w:r>
      <w:r w:rsidR="00F32950">
        <w:t xml:space="preserve">ver, there is also authority to support the proposition that the recipient who has knowledge of the </w:t>
      </w:r>
      <w:r w:rsidR="00462E4D">
        <w:t>mistaken</w:t>
      </w:r>
      <w:r w:rsidR="00F32950">
        <w:t xml:space="preserve"> transfer also owes an equitable duty to the claimant. </w:t>
      </w:r>
      <w:r w:rsidR="00DF5C4D">
        <w:t>I</w:t>
      </w:r>
      <w:r>
        <w:t xml:space="preserve">n the Privy Council opinion in </w:t>
      </w:r>
      <w:r>
        <w:rPr>
          <w:i/>
        </w:rPr>
        <w:t>Colonial Bank v Exchange Bank of Yarmouth</w:t>
      </w:r>
      <w:r>
        <w:t xml:space="preserve">, Lord Hobhouse took the view that </w:t>
      </w:r>
      <w:r w:rsidR="007D13B4">
        <w:t>“</w:t>
      </w:r>
      <w:r w:rsidR="007D13B4" w:rsidRPr="007D13B4">
        <w:t xml:space="preserve">when the defendants were told that a mistake was made, </w:t>
      </w:r>
      <w:r>
        <w:t>an equity was fastened upon them not to alter the position of the fund until the mistake could be repaired.</w:t>
      </w:r>
      <w:r w:rsidR="003330AB">
        <w:t>”</w:t>
      </w:r>
      <w:r>
        <w:rPr>
          <w:rStyle w:val="FootnoteReference"/>
        </w:rPr>
        <w:footnoteReference w:id="123"/>
      </w:r>
      <w:r>
        <w:t xml:space="preserve"> </w:t>
      </w:r>
      <w:r w:rsidR="00753EA7" w:rsidRPr="006F29FD">
        <w:t xml:space="preserve">In an earlier case, </w:t>
      </w:r>
      <w:r w:rsidR="00753EA7" w:rsidRPr="006F29FD">
        <w:rPr>
          <w:i/>
        </w:rPr>
        <w:t xml:space="preserve">Freeman </w:t>
      </w:r>
      <w:r w:rsidR="00A8422C" w:rsidRPr="00A8422C">
        <w:rPr>
          <w:i/>
        </w:rPr>
        <w:t xml:space="preserve">v </w:t>
      </w:r>
      <w:r w:rsidR="00753EA7" w:rsidRPr="006F29FD">
        <w:rPr>
          <w:i/>
        </w:rPr>
        <w:t>Jeffries</w:t>
      </w:r>
      <w:r w:rsidR="00753EA7" w:rsidRPr="006F29FD">
        <w:t>, Bramwell B</w:t>
      </w:r>
      <w:r w:rsidR="00A8422C" w:rsidRPr="00A8422C">
        <w:t>. also made reference to a ‘duty of repayment’ which would only arise when the defendant had notice of the mistake.</w:t>
      </w:r>
      <w:r w:rsidR="00753EA7">
        <w:rPr>
          <w:rStyle w:val="FootnoteReference"/>
        </w:rPr>
        <w:footnoteReference w:id="124"/>
      </w:r>
      <w:r w:rsidR="00753EA7">
        <w:rPr>
          <w:i/>
        </w:rPr>
        <w:t xml:space="preserve"> </w:t>
      </w:r>
      <w:r w:rsidR="00FC6170">
        <w:t xml:space="preserve">Similarly, in </w:t>
      </w:r>
      <w:r w:rsidR="00FC6170">
        <w:rPr>
          <w:i/>
        </w:rPr>
        <w:t>Ashmole v Wainwright</w:t>
      </w:r>
      <w:r w:rsidR="0091434E">
        <w:t>, Lord Denman stated that</w:t>
      </w:r>
      <w:r w:rsidR="00FC6170">
        <w:rPr>
          <w:i/>
        </w:rPr>
        <w:t xml:space="preserve"> </w:t>
      </w:r>
      <w:r w:rsidR="00FA7E79">
        <w:t>“</w:t>
      </w:r>
      <w:r w:rsidR="00FC6170">
        <w:t xml:space="preserve">as to equity, when the defendants had received such notice as they did, both from the attorney and from the language of the particulars, it was their </w:t>
      </w:r>
      <w:r w:rsidR="00FC6170">
        <w:rPr>
          <w:rStyle w:val="searchterm"/>
        </w:rPr>
        <w:t>duty</w:t>
      </w:r>
      <w:r w:rsidR="00FC6170">
        <w:t xml:space="preserve"> </w:t>
      </w:r>
      <w:r w:rsidR="00FC6170">
        <w:rPr>
          <w:rStyle w:val="searchterm"/>
        </w:rPr>
        <w:t>to</w:t>
      </w:r>
      <w:r w:rsidR="00FC6170">
        <w:t xml:space="preserve"> pay back the sums which they had no right to retain.</w:t>
      </w:r>
      <w:r w:rsidR="00FA7E79">
        <w:t>”</w:t>
      </w:r>
      <w:r w:rsidR="00FC6170">
        <w:rPr>
          <w:rStyle w:val="FootnoteReference"/>
        </w:rPr>
        <w:footnoteReference w:id="125"/>
      </w:r>
      <w:r w:rsidR="00FC6170">
        <w:t xml:space="preserve"> </w:t>
      </w:r>
      <w:r>
        <w:t>A</w:t>
      </w:r>
      <w:r w:rsidR="0091434E">
        <w:t xml:space="preserve"> final</w:t>
      </w:r>
      <w:r>
        <w:t xml:space="preserve"> example is provided by Rowlatt J</w:t>
      </w:r>
      <w:r w:rsidR="003F6B2E">
        <w:t>.</w:t>
      </w:r>
      <w:r>
        <w:t xml:space="preserve"> in </w:t>
      </w:r>
      <w:r w:rsidRPr="00D96026">
        <w:rPr>
          <w:i/>
        </w:rPr>
        <w:t xml:space="preserve">H Clapham </w:t>
      </w:r>
      <w:r>
        <w:rPr>
          <w:i/>
        </w:rPr>
        <w:t>v</w:t>
      </w:r>
      <w:r w:rsidRPr="00D96026">
        <w:rPr>
          <w:i/>
        </w:rPr>
        <w:t xml:space="preserve"> JB Culucundis</w:t>
      </w:r>
      <w:r>
        <w:t>.</w:t>
      </w:r>
      <w:r w:rsidR="00D312A6">
        <w:rPr>
          <w:rStyle w:val="FootnoteReference"/>
        </w:rPr>
        <w:footnoteReference w:id="126"/>
      </w:r>
      <w:r>
        <w:t xml:space="preserve"> Although the claim before the court was one for personal restitution</w:t>
      </w:r>
      <w:r w:rsidR="006E2C7A">
        <w:t xml:space="preserve"> for a mistaken payment</w:t>
      </w:r>
      <w:r>
        <w:t xml:space="preserve">, the judge </w:t>
      </w:r>
      <w:r w:rsidR="00132374">
        <w:t>discussed the possibility of</w:t>
      </w:r>
      <w:r w:rsidR="003330AB">
        <w:t xml:space="preserve"> proprietary restitution</w:t>
      </w:r>
      <w:r w:rsidR="00132374">
        <w:t xml:space="preserve">. </w:t>
      </w:r>
      <w:r>
        <w:t>It was stated that</w:t>
      </w:r>
      <w:r w:rsidR="003E41F2">
        <w:t>,</w:t>
      </w:r>
      <w:r>
        <w:t xml:space="preserve"> if the recipient had knowledge of the mistake</w:t>
      </w:r>
      <w:r w:rsidR="003E41F2">
        <w:t>,</w:t>
      </w:r>
      <w:r>
        <w:t xml:space="preserve"> then the money would have represented </w:t>
      </w:r>
      <w:r w:rsidR="00FA77F0">
        <w:t>“</w:t>
      </w:r>
      <w:r>
        <w:t xml:space="preserve">a fund in his hands that he would </w:t>
      </w:r>
      <w:r w:rsidR="00FA77F0">
        <w:t>have had to hand back in specie</w:t>
      </w:r>
      <w:r w:rsidR="00B37B3C">
        <w:t>.</w:t>
      </w:r>
      <w:r w:rsidR="00FA77F0">
        <w:t>”</w:t>
      </w:r>
      <w:r w:rsidR="006E2C7A">
        <w:rPr>
          <w:rStyle w:val="FootnoteReference"/>
        </w:rPr>
        <w:footnoteReference w:id="127"/>
      </w:r>
      <w:r>
        <w:t xml:space="preserve"> </w:t>
      </w:r>
      <w:r w:rsidR="0091434E">
        <w:t>There is more than enough support to establish that a separate duty, not based on unjust enrichment, arises when a recipient has knowledge that the payment was made under a mistake.</w:t>
      </w:r>
    </w:p>
    <w:p w:rsidR="005F55F9" w:rsidRDefault="00677607" w:rsidP="006F1DFC">
      <w:pPr>
        <w:spacing w:line="360" w:lineRule="auto"/>
        <w:ind w:firstLine="720"/>
        <w:jc w:val="both"/>
      </w:pPr>
      <w:r>
        <w:t>A final comment</w:t>
      </w:r>
      <w:r w:rsidR="00520896">
        <w:t xml:space="preserve"> </w:t>
      </w:r>
      <w:r>
        <w:t xml:space="preserve">concerns </w:t>
      </w:r>
      <w:r w:rsidR="00520896">
        <w:t xml:space="preserve">the role of knowledge. </w:t>
      </w:r>
      <w:r>
        <w:t>I</w:t>
      </w:r>
      <w:r w:rsidR="00100C14">
        <w:t xml:space="preserve">t is important to clarify </w:t>
      </w:r>
      <w:r w:rsidR="00520896">
        <w:t>the degree of knowledge that is required</w:t>
      </w:r>
      <w:r w:rsidR="00100C14">
        <w:t xml:space="preserve">. </w:t>
      </w:r>
      <w:r w:rsidR="00520896">
        <w:t>It was stated by Chambers Q</w:t>
      </w:r>
      <w:r w:rsidR="00FA7E79">
        <w:t>.</w:t>
      </w:r>
      <w:r w:rsidR="00520896">
        <w:t>C</w:t>
      </w:r>
      <w:r w:rsidR="00FA7E79">
        <w:t>.</w:t>
      </w:r>
      <w:r w:rsidR="00520896">
        <w:t xml:space="preserve"> in </w:t>
      </w:r>
      <w:r w:rsidR="00520896" w:rsidRPr="00EC273E">
        <w:rPr>
          <w:i/>
        </w:rPr>
        <w:t>Papamichael v National Westminster Bank plc</w:t>
      </w:r>
      <w:r w:rsidR="00520896">
        <w:rPr>
          <w:i/>
        </w:rPr>
        <w:t xml:space="preserve"> </w:t>
      </w:r>
      <w:r w:rsidR="00520896">
        <w:t>that actual knowledge is required.</w:t>
      </w:r>
      <w:r w:rsidR="00520896">
        <w:rPr>
          <w:rStyle w:val="FootnoteReference"/>
        </w:rPr>
        <w:footnoteReference w:id="128"/>
      </w:r>
      <w:r w:rsidR="001F7413" w:rsidRPr="001F7413">
        <w:t xml:space="preserve"> </w:t>
      </w:r>
      <w:r w:rsidR="00C82B25">
        <w:t xml:space="preserve">Furthermore, </w:t>
      </w:r>
      <w:r w:rsidR="00100C14">
        <w:t xml:space="preserve">Virgo has argued that a restrictive approach should be adopted </w:t>
      </w:r>
      <w:r w:rsidR="003330AB">
        <w:t>in regards to</w:t>
      </w:r>
      <w:r w:rsidR="00100C14">
        <w:t xml:space="preserve"> proprietary restitution</w:t>
      </w:r>
      <w:r w:rsidR="003330AB">
        <w:t xml:space="preserve"> for </w:t>
      </w:r>
      <w:r w:rsidR="00462E4D">
        <w:t>mistaken</w:t>
      </w:r>
      <w:r w:rsidR="003330AB">
        <w:t xml:space="preserve"> transfers</w:t>
      </w:r>
      <w:r w:rsidR="00100C14">
        <w:t xml:space="preserve">, </w:t>
      </w:r>
      <w:r w:rsidR="00FA77F0">
        <w:t>“</w:t>
      </w:r>
      <w:r w:rsidR="00100C14">
        <w:t>because of the adverse ef</w:t>
      </w:r>
      <w:r w:rsidR="006E2C7A">
        <w:t>fect they have on the defendant’</w:t>
      </w:r>
      <w:r w:rsidR="00100C14">
        <w:t>s creditors.</w:t>
      </w:r>
      <w:r w:rsidR="00FA77F0">
        <w:t>”</w:t>
      </w:r>
      <w:r w:rsidR="00100C14">
        <w:rPr>
          <w:rStyle w:val="FootnoteReference"/>
        </w:rPr>
        <w:footnoteReference w:id="129"/>
      </w:r>
      <w:r w:rsidR="00100C14">
        <w:t xml:space="preserve"> </w:t>
      </w:r>
      <w:r w:rsidR="00345E8A" w:rsidRPr="0067740F">
        <w:t>This would also explain why proprietary restitution will not arise in cases where the recipient has a genuine belief that they are entitled to keep the payment.</w:t>
      </w:r>
      <w:r w:rsidR="00345E8A" w:rsidRPr="0067740F">
        <w:rPr>
          <w:rStyle w:val="FootnoteReference"/>
        </w:rPr>
        <w:footnoteReference w:id="130"/>
      </w:r>
      <w:r w:rsidR="006F1DFC">
        <w:t xml:space="preserve"> </w:t>
      </w:r>
      <w:r w:rsidR="00520896">
        <w:t xml:space="preserve">In contrast, </w:t>
      </w:r>
      <w:r w:rsidR="000A0D22">
        <w:t>Collins</w:t>
      </w:r>
      <w:r w:rsidR="00520896">
        <w:t xml:space="preserve"> J</w:t>
      </w:r>
      <w:r w:rsidR="003F6B2E">
        <w:t>.</w:t>
      </w:r>
      <w:r w:rsidR="00520896">
        <w:t xml:space="preserve"> </w:t>
      </w:r>
      <w:r w:rsidR="000A0D22">
        <w:t xml:space="preserve">in </w:t>
      </w:r>
      <w:r w:rsidR="000A0D22" w:rsidRPr="00143197">
        <w:rPr>
          <w:rStyle w:val="hit"/>
          <w:i/>
        </w:rPr>
        <w:lastRenderedPageBreak/>
        <w:t>Commerzbank</w:t>
      </w:r>
      <w:r w:rsidR="000A0D22">
        <w:t xml:space="preserve"> </w:t>
      </w:r>
      <w:r w:rsidR="003330AB">
        <w:t xml:space="preserve">indicated </w:t>
      </w:r>
      <w:r w:rsidR="00520896">
        <w:t xml:space="preserve">that the </w:t>
      </w:r>
      <w:r w:rsidR="000A0D22">
        <w:t>test for</w:t>
      </w:r>
      <w:r w:rsidR="00520896">
        <w:t xml:space="preserve"> determining the availability of proprietary restitution was </w:t>
      </w:r>
      <w:r w:rsidR="000A0D22">
        <w:t>the same as the one used to establish knowing receipt.</w:t>
      </w:r>
      <w:r w:rsidR="00520896">
        <w:rPr>
          <w:rStyle w:val="FootnoteReference"/>
        </w:rPr>
        <w:footnoteReference w:id="131"/>
      </w:r>
      <w:r w:rsidR="00520896">
        <w:t xml:space="preserve"> </w:t>
      </w:r>
      <w:r w:rsidR="00EC7FDE">
        <w:t xml:space="preserve">This </w:t>
      </w:r>
      <w:r w:rsidR="003E41F2">
        <w:t>would have</w:t>
      </w:r>
      <w:r w:rsidR="00EC7FDE">
        <w:t xml:space="preserve"> the benefit of harmonising knowledge for both personal and proprietary claims in equity</w:t>
      </w:r>
      <w:r w:rsidR="00005A3E">
        <w:t xml:space="preserve">, although that would appear to translate </w:t>
      </w:r>
      <w:r w:rsidR="00664620">
        <w:t>the requirement of knowledge into a</w:t>
      </w:r>
      <w:r w:rsidR="00005A3E">
        <w:t xml:space="preserve"> requirement of unconscionable receipt</w:t>
      </w:r>
      <w:r w:rsidR="00EC7FDE">
        <w:t>.</w:t>
      </w:r>
      <w:r w:rsidR="00005A3E">
        <w:t xml:space="preserve"> This would prove controversial, as</w:t>
      </w:r>
      <w:r w:rsidR="00EC7FDE">
        <w:t xml:space="preserve"> </w:t>
      </w:r>
      <w:r w:rsidR="00005A3E">
        <w:t>Birks rejected any role for ‘conscience’ in establishing claims for proprietary restitution on the basis that it would be “too vague.”</w:t>
      </w:r>
      <w:r w:rsidR="00005A3E">
        <w:rPr>
          <w:rStyle w:val="FootnoteReference"/>
        </w:rPr>
        <w:footnoteReference w:id="132"/>
      </w:r>
      <w:r w:rsidR="00005A3E">
        <w:t xml:space="preserve"> Indeed, there is much to be said for avoiding a term which does not help us to identify the factual circumstances in which proprietary restitution is available.</w:t>
      </w:r>
      <w:r w:rsidR="00005A3E">
        <w:rPr>
          <w:rStyle w:val="FootnoteReference"/>
        </w:rPr>
        <w:footnoteReference w:id="133"/>
      </w:r>
      <w:r w:rsidR="00005A3E">
        <w:t xml:space="preserve"> Nevertheless, given the use of ‘unconscionability’ in the application of the defence of change of position in unjust enrichment claims, it may be an inevitable consequence that there will always be an element of flexibility in determining the required state of mind</w:t>
      </w:r>
      <w:r w:rsidR="00664620">
        <w:t xml:space="preserve"> of the recipient in cases of restitution</w:t>
      </w:r>
      <w:r w:rsidR="00005A3E">
        <w:t>.</w:t>
      </w:r>
      <w:r w:rsidR="00005A3E">
        <w:rPr>
          <w:rStyle w:val="FootnoteReference"/>
        </w:rPr>
        <w:footnoteReference w:id="134"/>
      </w:r>
      <w:r w:rsidR="00005A3E">
        <w:t xml:space="preserve"> </w:t>
      </w:r>
      <w:r w:rsidR="00E41981">
        <w:t>It is suggested in this article that t</w:t>
      </w:r>
      <w:r w:rsidR="00C82B25">
        <w:t>he better view would be to require knowledge, whil</w:t>
      </w:r>
      <w:r w:rsidR="00664620">
        <w:t>st</w:t>
      </w:r>
      <w:r w:rsidR="00C82B25">
        <w:t xml:space="preserve"> also accepting that knowledge can be inferred</w:t>
      </w:r>
      <w:r w:rsidR="00166F65">
        <w:t>, particularly</w:t>
      </w:r>
      <w:r w:rsidR="00C82B25">
        <w:t xml:space="preserve"> where the recipient has gone to some lengths to keep the money out of the hands of the claimant. </w:t>
      </w:r>
      <w:r w:rsidR="006F1DFC">
        <w:t>This is because the c</w:t>
      </w:r>
      <w:r w:rsidR="00664620">
        <w:t>ourts may be reluctant to find that a recipient has acted with the same level of knowledge that would be required to show dishonesty, due to the stigma that this finding creates.</w:t>
      </w:r>
      <w:r w:rsidR="00664620">
        <w:rPr>
          <w:rStyle w:val="FootnoteReference"/>
        </w:rPr>
        <w:footnoteReference w:id="135"/>
      </w:r>
      <w:r w:rsidR="006F1DFC">
        <w:t xml:space="preserve"> Furthermore</w:t>
      </w:r>
      <w:r w:rsidR="00664620">
        <w:t>, i</w:t>
      </w:r>
      <w:r w:rsidR="00EC7FDE">
        <w:t>n many cases it may be difficult to show actual knowledge,</w:t>
      </w:r>
      <w:r w:rsidR="00082D8D">
        <w:t xml:space="preserve"> so it would avoid prolonging litigation if it was possible to establish proprietary restitution</w:t>
      </w:r>
      <w:r w:rsidR="00664620">
        <w:t xml:space="preserve"> by a pragmatic inference that the recipient knew that the money should have been repaid.</w:t>
      </w:r>
      <w:r w:rsidR="00082D8D">
        <w:t xml:space="preserve"> An example is</w:t>
      </w:r>
      <w:r w:rsidR="00EC7FDE">
        <w:t xml:space="preserve"> </w:t>
      </w:r>
      <w:r w:rsidR="00EC7FDE">
        <w:rPr>
          <w:i/>
        </w:rPr>
        <w:t>Getronics</w:t>
      </w:r>
      <w:r w:rsidR="00082D8D">
        <w:t>,</w:t>
      </w:r>
      <w:r w:rsidR="00EC7FDE">
        <w:t xml:space="preserve"> where Master Whittaker inferred knowledge without direct evidence.</w:t>
      </w:r>
      <w:r w:rsidR="003330AB">
        <w:rPr>
          <w:rStyle w:val="FootnoteReference"/>
        </w:rPr>
        <w:footnoteReference w:id="136"/>
      </w:r>
      <w:r w:rsidR="00EC7FDE">
        <w:t xml:space="preserve"> </w:t>
      </w:r>
      <w:r w:rsidR="00450014">
        <w:t xml:space="preserve">At the very least, </w:t>
      </w:r>
      <w:r w:rsidR="000170DE">
        <w:t xml:space="preserve">it should be possible to infer </w:t>
      </w:r>
      <w:r w:rsidR="00450014">
        <w:t xml:space="preserve">knowledge for the purposes of proprietary </w:t>
      </w:r>
      <w:r w:rsidR="000170DE">
        <w:t>restitution</w:t>
      </w:r>
      <w:r w:rsidR="00450014">
        <w:t xml:space="preserve"> </w:t>
      </w:r>
      <w:r w:rsidR="00664620">
        <w:t>and this would avoid the uncertainty that could be created by the role of unconscionability</w:t>
      </w:r>
      <w:r w:rsidR="00450014">
        <w:t>.</w:t>
      </w:r>
      <w:r w:rsidR="00132374">
        <w:t xml:space="preserve"> </w:t>
      </w:r>
    </w:p>
    <w:p w:rsidR="00A023CA" w:rsidRDefault="00A023CA" w:rsidP="00C937DB">
      <w:pPr>
        <w:spacing w:line="360" w:lineRule="auto"/>
        <w:jc w:val="both"/>
      </w:pPr>
    </w:p>
    <w:p w:rsidR="003E14AB" w:rsidRPr="00AC23D5" w:rsidRDefault="004C694B" w:rsidP="004C694B">
      <w:pPr>
        <w:spacing w:line="360" w:lineRule="auto"/>
        <w:jc w:val="center"/>
        <w:rPr>
          <w:i/>
        </w:rPr>
      </w:pPr>
      <w:r>
        <w:rPr>
          <w:i/>
        </w:rPr>
        <w:t>B</w:t>
      </w:r>
      <w:r w:rsidR="00F83293" w:rsidRPr="00AC23D5">
        <w:rPr>
          <w:i/>
        </w:rPr>
        <w:t xml:space="preserve">. </w:t>
      </w:r>
      <w:r w:rsidR="00A236EA">
        <w:rPr>
          <w:i/>
        </w:rPr>
        <w:t>Wilful Misconduct</w:t>
      </w:r>
    </w:p>
    <w:p w:rsidR="003E14AB" w:rsidRDefault="003E14AB" w:rsidP="00C937DB">
      <w:pPr>
        <w:spacing w:line="360" w:lineRule="auto"/>
        <w:jc w:val="both"/>
      </w:pPr>
    </w:p>
    <w:p w:rsidR="00C764F2" w:rsidRPr="00F42072" w:rsidRDefault="00F42072" w:rsidP="00F42072">
      <w:pPr>
        <w:spacing w:line="360" w:lineRule="auto"/>
        <w:jc w:val="both"/>
        <w:rPr>
          <w:iCs/>
        </w:rPr>
      </w:pPr>
      <w:r>
        <w:lastRenderedPageBreak/>
        <w:t>The immediate issue is to explain why the breach of the duty should require wilful misconduct</w:t>
      </w:r>
      <w:r w:rsidR="002C13F4">
        <w:t xml:space="preserve"> and not a different standard such as negligence</w:t>
      </w:r>
      <w:r>
        <w:t xml:space="preserve">. </w:t>
      </w:r>
      <w:r w:rsidR="002C13F4">
        <w:t xml:space="preserve">A negligence standard was </w:t>
      </w:r>
      <w:r w:rsidR="00D2763A">
        <w:t>suggested</w:t>
      </w:r>
      <w:r w:rsidR="002C13F4">
        <w:t xml:space="preserve"> in the recent case of </w:t>
      </w:r>
      <w:r w:rsidR="002C13F4">
        <w:rPr>
          <w:i/>
        </w:rPr>
        <w:t>Fitzalan-Howard</w:t>
      </w:r>
      <w:r w:rsidR="002C13F4">
        <w:t xml:space="preserve"> by </w:t>
      </w:r>
      <w:r>
        <w:t xml:space="preserve">Tomlinson J. </w:t>
      </w:r>
      <w:r w:rsidR="00EE3746">
        <w:t>where the judge indicated that</w:t>
      </w:r>
      <w:r>
        <w:t xml:space="preserve"> the point in time when a </w:t>
      </w:r>
      <w:r w:rsidR="00B72635">
        <w:t>constructive trust would arise “</w:t>
      </w:r>
      <w:r>
        <w:t>might be the point at which he could reasonably be required to have acted.</w:t>
      </w:r>
      <w:r w:rsidR="00B72635">
        <w:t>”</w:t>
      </w:r>
      <w:r>
        <w:rPr>
          <w:rStyle w:val="FootnoteReference"/>
        </w:rPr>
        <w:footnoteReference w:id="137"/>
      </w:r>
      <w:r>
        <w:t xml:space="preserve"> </w:t>
      </w:r>
      <w:r w:rsidR="002C13F4">
        <w:rPr>
          <w:rStyle w:val="Emphasis"/>
          <w:i w:val="0"/>
        </w:rPr>
        <w:t>It is contended in this article that</w:t>
      </w:r>
      <w:r>
        <w:rPr>
          <w:rStyle w:val="Emphasis"/>
          <w:i w:val="0"/>
        </w:rPr>
        <w:t xml:space="preserve"> </w:t>
      </w:r>
      <w:r w:rsidR="00EE3746">
        <w:rPr>
          <w:rStyle w:val="Emphasis"/>
          <w:i w:val="0"/>
        </w:rPr>
        <w:t xml:space="preserve">the </w:t>
      </w:r>
      <w:r>
        <w:rPr>
          <w:rStyle w:val="Emphasis"/>
          <w:i w:val="0"/>
        </w:rPr>
        <w:t xml:space="preserve">standard of wilful misconduct is </w:t>
      </w:r>
      <w:r w:rsidR="002C13F4">
        <w:rPr>
          <w:rStyle w:val="Emphasis"/>
          <w:i w:val="0"/>
        </w:rPr>
        <w:t xml:space="preserve">more </w:t>
      </w:r>
      <w:r>
        <w:rPr>
          <w:rStyle w:val="Emphasis"/>
          <w:i w:val="0"/>
        </w:rPr>
        <w:t xml:space="preserve">appropriate </w:t>
      </w:r>
      <w:r w:rsidR="002C13F4">
        <w:rPr>
          <w:rStyle w:val="Emphasis"/>
          <w:i w:val="0"/>
        </w:rPr>
        <w:t xml:space="preserve">than a negligence standard. </w:t>
      </w:r>
      <w:r w:rsidR="00EE3746">
        <w:rPr>
          <w:rStyle w:val="Emphasis"/>
          <w:i w:val="0"/>
        </w:rPr>
        <w:t>This is because the</w:t>
      </w:r>
      <w:r w:rsidR="002C13F4">
        <w:rPr>
          <w:rStyle w:val="Emphasis"/>
          <w:i w:val="0"/>
        </w:rPr>
        <w:t xml:space="preserve"> adoption of a standard of ‘wilful misconduct’</w:t>
      </w:r>
      <w:r>
        <w:rPr>
          <w:rStyle w:val="Emphasis"/>
          <w:i w:val="0"/>
        </w:rPr>
        <w:t xml:space="preserve"> avoids </w:t>
      </w:r>
      <w:r w:rsidR="00EE3746">
        <w:rPr>
          <w:rStyle w:val="Emphasis"/>
          <w:i w:val="0"/>
        </w:rPr>
        <w:t xml:space="preserve">an </w:t>
      </w:r>
      <w:r>
        <w:rPr>
          <w:rStyle w:val="Emphasis"/>
          <w:i w:val="0"/>
        </w:rPr>
        <w:t>inconsistency. If</w:t>
      </w:r>
      <w:r>
        <w:t xml:space="preserve"> the carelessness of the claimant is not sufficient to establish proprietary restitution, then it is difficult to see why mere carelessness of the recipient should be sufficient. </w:t>
      </w:r>
    </w:p>
    <w:p w:rsidR="005F55F9" w:rsidRPr="001E1DB7" w:rsidRDefault="00166F65" w:rsidP="00C764F2">
      <w:pPr>
        <w:spacing w:line="360" w:lineRule="auto"/>
        <w:ind w:firstLine="720"/>
        <w:jc w:val="both"/>
      </w:pPr>
      <w:r>
        <w:t>T</w:t>
      </w:r>
      <w:r w:rsidR="0067740F">
        <w:t xml:space="preserve">he adoption of the phrase wilful misconduct </w:t>
      </w:r>
      <w:r>
        <w:t xml:space="preserve">in this context </w:t>
      </w:r>
      <w:r w:rsidR="0067740F">
        <w:t xml:space="preserve">borrows from the terminology used in </w:t>
      </w:r>
      <w:r w:rsidR="0067740F">
        <w:rPr>
          <w:i/>
        </w:rPr>
        <w:t>Armitage v Nurse</w:t>
      </w:r>
      <w:r w:rsidR="0067740F">
        <w:t>, where Millett L.J. discussed the meaning of this term in the context of breach of trust.</w:t>
      </w:r>
      <w:r w:rsidR="0067740F">
        <w:rPr>
          <w:rStyle w:val="FootnoteReference"/>
        </w:rPr>
        <w:footnoteReference w:id="138"/>
      </w:r>
      <w:r w:rsidR="0067740F">
        <w:t xml:space="preserve"> Behaviour can be described as ‘wilful m</w:t>
      </w:r>
      <w:r w:rsidR="00B72635">
        <w:t>isconduct’ when the individual “</w:t>
      </w:r>
      <w:r w:rsidR="0067740F">
        <w:t>either consciously takes a risk that loss will result, or is recklessly indifferent whether it will or not.</w:t>
      </w:r>
      <w:r w:rsidR="00B72635">
        <w:t>”</w:t>
      </w:r>
      <w:r w:rsidR="0067740F">
        <w:rPr>
          <w:rStyle w:val="FootnoteReference"/>
        </w:rPr>
        <w:footnoteReference w:id="139"/>
      </w:r>
      <w:r w:rsidR="00EE3746" w:rsidRPr="00EE3746">
        <w:t xml:space="preserve"> </w:t>
      </w:r>
      <w:r w:rsidR="00EE3746">
        <w:t>There are two benefits provided b</w:t>
      </w:r>
      <w:r w:rsidR="00B72635">
        <w:t xml:space="preserve">y adopting this language in </w:t>
      </w:r>
      <w:r w:rsidR="00EE3746">
        <w:t xml:space="preserve">determining breaches of the duty identified in this article. One benefit is that this is a phrase that the courts are already familiar with and there is a body of case law that can be used to assist in determining whether or not a recipient has acted with wilful misconduct. </w:t>
      </w:r>
      <w:r w:rsidR="00B322EC">
        <w:t>But t</w:t>
      </w:r>
      <w:r w:rsidR="00EE3746">
        <w:t>he most important benefit</w:t>
      </w:r>
      <w:r w:rsidR="00B322EC">
        <w:t>, as will be seen in the penultimate section below,</w:t>
      </w:r>
      <w:r w:rsidR="00EE3746">
        <w:t xml:space="preserve"> is that this analysis provides the best ‘fit’ with the case law. </w:t>
      </w:r>
      <w:r w:rsidR="00D24372">
        <w:t xml:space="preserve">A clear example would be where the transfer was induced by fraud. In these cases, the recipient will have knowledge and it </w:t>
      </w:r>
      <w:r w:rsidR="004F4DA2">
        <w:t>will be evident that</w:t>
      </w:r>
      <w:r w:rsidR="00D24372">
        <w:t>, from the moment of receipt, the recipient is treating the fund as their own with no intention to make restitution.</w:t>
      </w:r>
      <w:r w:rsidR="00D24372">
        <w:rPr>
          <w:rStyle w:val="FootnoteReference"/>
        </w:rPr>
        <w:footnoteReference w:id="140"/>
      </w:r>
      <w:r w:rsidR="00D24372">
        <w:t xml:space="preserve"> Another </w:t>
      </w:r>
      <w:r w:rsidR="00A8422C" w:rsidRPr="00A8422C">
        <w:t>example would be making an immediate transfer to another person or another bank account of the same amount which has been received.</w:t>
      </w:r>
      <w:r w:rsidR="00B328B3" w:rsidRPr="00925A05">
        <w:rPr>
          <w:rStyle w:val="FootnoteReference"/>
        </w:rPr>
        <w:footnoteReference w:id="141"/>
      </w:r>
      <w:r w:rsidR="00B328B3" w:rsidRPr="00925A05">
        <w:t xml:space="preserve"> </w:t>
      </w:r>
      <w:r w:rsidR="00F45688" w:rsidRPr="00925A05">
        <w:t>A</w:t>
      </w:r>
      <w:r w:rsidR="00D24372">
        <w:t xml:space="preserve"> final</w:t>
      </w:r>
      <w:r w:rsidR="00F45688" w:rsidRPr="00925A05">
        <w:t xml:space="preserve"> example where wilful misconduct may arise is where a recipient </w:t>
      </w:r>
      <w:r w:rsidR="00A8422C" w:rsidRPr="00A8422C">
        <w:t xml:space="preserve">knows that the immediate return of the money is a pressing concern, </w:t>
      </w:r>
      <w:r>
        <w:t xml:space="preserve">and has sufficient time to make restitution, </w:t>
      </w:r>
      <w:r w:rsidR="00A8422C" w:rsidRPr="00A8422C">
        <w:t>but makes no attempt to return the money before personal restitution becomes impossible</w:t>
      </w:r>
      <w:r w:rsidR="00F45688" w:rsidRPr="00925A05">
        <w:t>.</w:t>
      </w:r>
      <w:r w:rsidR="00F45688" w:rsidRPr="00925A05">
        <w:rPr>
          <w:rStyle w:val="FootnoteReference"/>
        </w:rPr>
        <w:footnoteReference w:id="142"/>
      </w:r>
    </w:p>
    <w:p w:rsidR="00F24649" w:rsidRDefault="00166F65">
      <w:pPr>
        <w:spacing w:line="360" w:lineRule="auto"/>
        <w:ind w:firstLine="720"/>
        <w:jc w:val="both"/>
      </w:pPr>
      <w:r>
        <w:t xml:space="preserve">In many cases, knowledge and wilful misconduct will go hand-in-hand, however they are not always conterminous. This is important for two reasons. For one, the additional </w:t>
      </w:r>
      <w:r>
        <w:lastRenderedPageBreak/>
        <w:t xml:space="preserve">element of wilful misconduct provides a higher degree of certainty by focusing on the actions of the recipient. This requirement will often provide an identifiably observable moment in time when proprietary restitution arises, which otherwise would be difficult to identify if the question was merely about the state of mind of the recipient. </w:t>
      </w:r>
      <w:r w:rsidR="00B70C3A" w:rsidRPr="001E1DB7">
        <w:t xml:space="preserve">The </w:t>
      </w:r>
      <w:r w:rsidR="0091434E" w:rsidRPr="001E1DB7">
        <w:t xml:space="preserve">second reason for </w:t>
      </w:r>
      <w:r w:rsidR="00170521" w:rsidRPr="001E1DB7">
        <w:t xml:space="preserve">separating knowledge and </w:t>
      </w:r>
      <w:r w:rsidR="008310A3" w:rsidRPr="001E1DB7">
        <w:t>wilful misconduct</w:t>
      </w:r>
      <w:r w:rsidR="00170521" w:rsidRPr="001E1DB7">
        <w:t xml:space="preserve"> in this way</w:t>
      </w:r>
      <w:r w:rsidR="0091434E" w:rsidRPr="001E1DB7">
        <w:t xml:space="preserve"> is that </w:t>
      </w:r>
      <w:r w:rsidR="00170521" w:rsidRPr="001E1DB7">
        <w:t xml:space="preserve">the breach of the recipient’s </w:t>
      </w:r>
      <w:r w:rsidR="0091434E" w:rsidRPr="001E1DB7">
        <w:t>duty</w:t>
      </w:r>
      <w:r w:rsidR="00B70C3A" w:rsidRPr="001E1DB7">
        <w:t xml:space="preserve"> </w:t>
      </w:r>
      <w:r w:rsidR="00170521" w:rsidRPr="001E1DB7">
        <w:t xml:space="preserve">provides a much stronger </w:t>
      </w:r>
      <w:r w:rsidR="005D03C7" w:rsidRPr="001E1DB7">
        <w:t>justifi</w:t>
      </w:r>
      <w:r w:rsidR="00170521" w:rsidRPr="001E1DB7">
        <w:t>cation for</w:t>
      </w:r>
      <w:r w:rsidR="00B70C3A" w:rsidRPr="001E1DB7">
        <w:t xml:space="preserve"> </w:t>
      </w:r>
      <w:r w:rsidR="0091434E" w:rsidRPr="001E1DB7">
        <w:t xml:space="preserve">the availability of </w:t>
      </w:r>
      <w:r w:rsidR="00B70C3A" w:rsidRPr="001E1DB7">
        <w:t>proprietary restitution</w:t>
      </w:r>
      <w:r w:rsidR="00170521" w:rsidRPr="001E1DB7">
        <w:t xml:space="preserve"> than knowledge alone does</w:t>
      </w:r>
      <w:r w:rsidR="00B70C3A" w:rsidRPr="001E1DB7">
        <w:t xml:space="preserve">. </w:t>
      </w:r>
      <w:r w:rsidR="004B3D76" w:rsidRPr="001E1DB7">
        <w:t>This is important, as a</w:t>
      </w:r>
      <w:r w:rsidR="00B70C3A" w:rsidRPr="001E1DB7">
        <w:t>n obvious objection</w:t>
      </w:r>
      <w:r w:rsidR="00170521" w:rsidRPr="001E1DB7">
        <w:t xml:space="preserve"> to the argument presented in this article</w:t>
      </w:r>
      <w:r w:rsidR="00B70C3A" w:rsidRPr="001E1DB7">
        <w:t xml:space="preserve"> would be that proprietary restitution takes the money out of the hands of any third party creditors.</w:t>
      </w:r>
      <w:r w:rsidR="00CC2F3E" w:rsidRPr="001E1DB7">
        <w:rPr>
          <w:rStyle w:val="FootnoteReference"/>
        </w:rPr>
        <w:footnoteReference w:id="143"/>
      </w:r>
      <w:r w:rsidR="001321E8" w:rsidRPr="001E1DB7">
        <w:t xml:space="preserve"> According to Swadling and</w:t>
      </w:r>
      <w:r w:rsidR="00B70C3A" w:rsidRPr="001E1DB7">
        <w:t xml:space="preserve"> Birks, such an objection would not be one that the courts should concern themselves with; that is a question for the </w:t>
      </w:r>
      <w:r w:rsidR="000826DB" w:rsidRPr="001E1DB7">
        <w:t>legislat</w:t>
      </w:r>
      <w:r w:rsidR="000C04DC" w:rsidRPr="001E1DB7">
        <w:t>ure</w:t>
      </w:r>
      <w:r w:rsidR="00B70C3A" w:rsidRPr="001E1DB7">
        <w:t xml:space="preserve">, </w:t>
      </w:r>
      <w:r w:rsidR="005E46B6" w:rsidRPr="001E1DB7">
        <w:t>and</w:t>
      </w:r>
      <w:r w:rsidR="00B70C3A" w:rsidRPr="001E1DB7">
        <w:t xml:space="preserve"> here we ar</w:t>
      </w:r>
      <w:r w:rsidR="0057725B" w:rsidRPr="001E1DB7">
        <w:t xml:space="preserve">e dealing with questions of who is entitled to </w:t>
      </w:r>
      <w:r w:rsidR="00B70C3A" w:rsidRPr="001E1DB7">
        <w:t>property.</w:t>
      </w:r>
      <w:r w:rsidR="00CC2F3E" w:rsidRPr="001E1DB7">
        <w:rPr>
          <w:rStyle w:val="FootnoteReference"/>
        </w:rPr>
        <w:footnoteReference w:id="144"/>
      </w:r>
      <w:r w:rsidR="004B3D76" w:rsidRPr="001E1DB7">
        <w:t xml:space="preserve"> Nevertheless, i</w:t>
      </w:r>
      <w:r w:rsidR="00B70C3A" w:rsidRPr="001E1DB7">
        <w:t xml:space="preserve">f one does accept the relevance of the impact of proprietary restitution on other parties, it should be noted that there is a long tradition in the courts of equity of recognising proprietary rights </w:t>
      </w:r>
      <w:r w:rsidR="00330550">
        <w:t>in response to wrongful acts,</w:t>
      </w:r>
      <w:r w:rsidR="00330550" w:rsidRPr="001E1DB7">
        <w:t xml:space="preserve"> </w:t>
      </w:r>
      <w:r w:rsidR="00330550">
        <w:t>such as</w:t>
      </w:r>
      <w:r w:rsidR="00B70C3A" w:rsidRPr="001E1DB7">
        <w:t xml:space="preserve"> fraud or more generally criminal acts.</w:t>
      </w:r>
      <w:r w:rsidR="00B72635">
        <w:rPr>
          <w:rStyle w:val="FootnoteReference"/>
        </w:rPr>
        <w:footnoteReference w:id="145"/>
      </w:r>
      <w:r w:rsidR="00B70C3A" w:rsidRPr="001E1DB7">
        <w:t xml:space="preserve"> </w:t>
      </w:r>
      <w:r>
        <w:t>T</w:t>
      </w:r>
      <w:r w:rsidR="00F857CE" w:rsidRPr="001E1DB7">
        <w:t>he principle has always been clearly stated that no one</w:t>
      </w:r>
      <w:r>
        <w:t xml:space="preserve"> (not even creditors)</w:t>
      </w:r>
      <w:r w:rsidR="00F857CE" w:rsidRPr="001E1DB7">
        <w:t xml:space="preserve"> should benefit from the fraud of another.</w:t>
      </w:r>
      <w:r w:rsidR="00F857CE" w:rsidRPr="001E1DB7">
        <w:rPr>
          <w:rStyle w:val="FootnoteReference"/>
        </w:rPr>
        <w:footnoteReference w:id="146"/>
      </w:r>
      <w:r w:rsidR="00F857CE" w:rsidRPr="001E1DB7">
        <w:t xml:space="preserve"> </w:t>
      </w:r>
      <w:r w:rsidR="00B70C3A" w:rsidRPr="001E1DB7">
        <w:t>As stated by Lord Eldon in</w:t>
      </w:r>
      <w:r w:rsidR="00B70C3A" w:rsidRPr="001E1DB7">
        <w:rPr>
          <w:i/>
        </w:rPr>
        <w:t xml:space="preserve"> Huguenin v Baseley</w:t>
      </w:r>
      <w:r w:rsidR="000C04DC" w:rsidRPr="001E1DB7">
        <w:t>; “</w:t>
      </w:r>
      <w:r w:rsidR="001C46A9" w:rsidRPr="001E1DB7">
        <w:t>I should regret, that any doubt could be entertained, whether it is not competent to a Court of Equity to take away from third persons the benefits, which they have derived from the fraud, imposition, or undue influence, of others.</w:t>
      </w:r>
      <w:r w:rsidR="000C04DC" w:rsidRPr="001E1DB7">
        <w:t>”</w:t>
      </w:r>
      <w:r w:rsidR="00B70C3A" w:rsidRPr="001E1DB7">
        <w:rPr>
          <w:rStyle w:val="FootnoteReference"/>
        </w:rPr>
        <w:footnoteReference w:id="147"/>
      </w:r>
      <w:r w:rsidR="00372D99" w:rsidRPr="001E1DB7">
        <w:t xml:space="preserve"> </w:t>
      </w:r>
      <w:r w:rsidR="008310A3" w:rsidRPr="001E1DB7">
        <w:t xml:space="preserve">Although </w:t>
      </w:r>
      <w:r w:rsidR="00B33859" w:rsidRPr="001E1DB7">
        <w:t xml:space="preserve">the </w:t>
      </w:r>
      <w:r w:rsidR="008310A3" w:rsidRPr="001E1DB7">
        <w:t xml:space="preserve">wilful misconduct of the recipient’s duty to maintain the fund should </w:t>
      </w:r>
      <w:r w:rsidR="00B33859" w:rsidRPr="001E1DB7">
        <w:t xml:space="preserve">not necessarily </w:t>
      </w:r>
      <w:r w:rsidR="008310A3" w:rsidRPr="001E1DB7">
        <w:t xml:space="preserve">be regarded as an instance of fraud, there is at least some support for the proposition that </w:t>
      </w:r>
      <w:r w:rsidR="00B33859" w:rsidRPr="001E1DB7">
        <w:t xml:space="preserve">it </w:t>
      </w:r>
      <w:r w:rsidR="00823711" w:rsidRPr="001E1DB7">
        <w:t>deserves</w:t>
      </w:r>
      <w:r w:rsidR="00B33859" w:rsidRPr="001E1DB7">
        <w:t xml:space="preserve"> similar treatment</w:t>
      </w:r>
      <w:r w:rsidR="008310A3" w:rsidRPr="001E1DB7">
        <w:t xml:space="preserve">. </w:t>
      </w:r>
      <w:r w:rsidR="009C5DC2">
        <w:t>For example, d</w:t>
      </w:r>
      <w:r w:rsidR="006F29FD">
        <w:t>eliberately taking advantage of a claimant’s error has prev</w:t>
      </w:r>
      <w:r w:rsidR="00B72635">
        <w:t>iously been described as being “equivalent to fraud”</w:t>
      </w:r>
      <w:r w:rsidR="009C5DC2">
        <w:t>,</w:t>
      </w:r>
      <w:r w:rsidR="009C5DC2">
        <w:rPr>
          <w:rStyle w:val="FootnoteReference"/>
        </w:rPr>
        <w:footnoteReference w:id="148"/>
      </w:r>
      <w:r w:rsidR="009C5DC2">
        <w:t xml:space="preserve"> and it has been stated that equity would intervene “</w:t>
      </w:r>
      <w:r w:rsidR="0057423C" w:rsidRPr="0057423C">
        <w:t>where one party to the transaction, being at the time cognizant of the fact of the error, seeks to take advantage of it.</w:t>
      </w:r>
      <w:r w:rsidR="009C5DC2">
        <w:t>”</w:t>
      </w:r>
      <w:r w:rsidR="009C5DC2">
        <w:rPr>
          <w:rStyle w:val="FootnoteReference"/>
        </w:rPr>
        <w:footnoteReference w:id="149"/>
      </w:r>
      <w:r w:rsidR="006F29FD">
        <w:t xml:space="preserve"> </w:t>
      </w:r>
      <w:r w:rsidR="00B72635">
        <w:t xml:space="preserve">The wilful misconduct of the recipient is not the same as acting fraudulently in the strictest sense, but </w:t>
      </w:r>
      <w:r w:rsidR="005918DF">
        <w:t xml:space="preserve">it </w:t>
      </w:r>
      <w:r w:rsidR="00B72635">
        <w:t xml:space="preserve">would fit within the wider concept of ‘equitable fraud’, which </w:t>
      </w:r>
      <w:r w:rsidR="00C047E1">
        <w:t>includes</w:t>
      </w:r>
      <w:r w:rsidR="00C047E1" w:rsidRPr="00C047E1">
        <w:t xml:space="preserve"> </w:t>
      </w:r>
      <w:r w:rsidR="00C047E1">
        <w:t>“</w:t>
      </w:r>
      <w:r w:rsidR="00C047E1" w:rsidRPr="00C047E1">
        <w:t xml:space="preserve">any breach of the </w:t>
      </w:r>
      <w:r w:rsidR="00C047E1" w:rsidRPr="00C047E1">
        <w:lastRenderedPageBreak/>
        <w:t>sort of obligation which is enforced by a court that from the beginning regarded itself as a court of conscience</w:t>
      </w:r>
      <w:r w:rsidR="00C047E1">
        <w:t>.</w:t>
      </w:r>
      <w:r w:rsidR="008801E8" w:rsidRPr="008801E8">
        <w:t>”</w:t>
      </w:r>
      <w:r w:rsidR="00B72635">
        <w:rPr>
          <w:rStyle w:val="FootnoteReference"/>
        </w:rPr>
        <w:footnoteReference w:id="150"/>
      </w:r>
      <w:r w:rsidR="00BA02F7">
        <w:t xml:space="preserve"> </w:t>
      </w:r>
    </w:p>
    <w:p w:rsidR="00546BEF" w:rsidRDefault="00F24649">
      <w:pPr>
        <w:spacing w:line="360" w:lineRule="auto"/>
        <w:ind w:firstLine="720"/>
        <w:jc w:val="both"/>
      </w:pPr>
      <w:r>
        <w:t>It is argued here that the</w:t>
      </w:r>
      <w:r w:rsidR="003E7918">
        <w:t xml:space="preserve"> appropriate response to the recipient’s </w:t>
      </w:r>
      <w:r>
        <w:t>wilful misconduct</w:t>
      </w:r>
      <w:r w:rsidR="003E7918">
        <w:t xml:space="preserve"> </w:t>
      </w:r>
      <w:r w:rsidR="000C2E6D">
        <w:t>is</w:t>
      </w:r>
      <w:r>
        <w:t xml:space="preserve"> the recognition of</w:t>
      </w:r>
      <w:r w:rsidR="003E7918">
        <w:t xml:space="preserve"> a claim for proprietary restitution.</w:t>
      </w:r>
      <w:r w:rsidR="001301B5">
        <w:rPr>
          <w:rStyle w:val="FootnoteReference"/>
        </w:rPr>
        <w:footnoteReference w:id="151"/>
      </w:r>
      <w:r w:rsidR="003E7918">
        <w:t xml:space="preserve"> </w:t>
      </w:r>
      <w:r w:rsidR="0077696C">
        <w:t>One reason why proprietary restitution is appropriate is that the</w:t>
      </w:r>
      <w:r w:rsidR="00F40C1F">
        <w:t xml:space="preserve">re needs to be a distinction between the consequences of the breach of duty and the pre-existing and separate right of the claimant to restitution for unjust enrichment. If the failure to maintain the fund simply created another personal claim against the recipient, this would make the duty </w:t>
      </w:r>
      <w:r w:rsidR="00524D97">
        <w:t xml:space="preserve">almost </w:t>
      </w:r>
      <w:r w:rsidR="00F40C1F">
        <w:t xml:space="preserve">empty of content as it would have </w:t>
      </w:r>
      <w:r w:rsidR="00B322EC">
        <w:t>little practical benefit given the pre-existing claim for restitution on the basis of unjust enrichment</w:t>
      </w:r>
      <w:r w:rsidR="00F40C1F">
        <w:t xml:space="preserve">. </w:t>
      </w:r>
      <w:r w:rsidR="00524D97">
        <w:t>I</w:t>
      </w:r>
      <w:r w:rsidR="00F40C1F">
        <w:t xml:space="preserve">f knowledge and wilful misconduct are to have </w:t>
      </w:r>
      <w:r w:rsidR="00330550">
        <w:t>practical</w:t>
      </w:r>
      <w:r w:rsidR="00F40C1F">
        <w:t xml:space="preserve"> significance, the legal response must be stronger than </w:t>
      </w:r>
      <w:r w:rsidR="003E7918">
        <w:t xml:space="preserve">merely </w:t>
      </w:r>
      <w:r w:rsidR="00F40C1F">
        <w:t xml:space="preserve">providing </w:t>
      </w:r>
      <w:r w:rsidR="00B322EC">
        <w:t>another personal claim against the recipient</w:t>
      </w:r>
      <w:r w:rsidR="00F40C1F">
        <w:t>.</w:t>
      </w:r>
      <w:r w:rsidR="00546BEF">
        <w:t xml:space="preserve"> </w:t>
      </w:r>
      <w:r w:rsidR="0077696C">
        <w:t xml:space="preserve">Another reason for the proprietary response is that it flows from the nature of the duty. </w:t>
      </w:r>
      <w:r w:rsidR="0077696C">
        <w:rPr>
          <w:rStyle w:val="Emphasis"/>
          <w:i w:val="0"/>
        </w:rPr>
        <w:t xml:space="preserve">Knowledge creates a primary right for the claimant to have the fund maintained until personal restitution is made. </w:t>
      </w:r>
      <w:r w:rsidR="0021305C" w:rsidRPr="0021305C">
        <w:rPr>
          <w:rStyle w:val="Emphasis"/>
          <w:i w:val="0"/>
        </w:rPr>
        <w:t xml:space="preserve">The primary right </w:t>
      </w:r>
      <w:r w:rsidR="00423E25">
        <w:rPr>
          <w:rStyle w:val="Emphasis"/>
          <w:i w:val="0"/>
        </w:rPr>
        <w:t>does not itself establish a right to have the return of the specific money that was transferred,</w:t>
      </w:r>
      <w:r w:rsidR="00C764F2">
        <w:rPr>
          <w:rStyle w:val="FootnoteReference"/>
          <w:iCs/>
        </w:rPr>
        <w:footnoteReference w:id="152"/>
      </w:r>
      <w:r w:rsidR="00423E25">
        <w:rPr>
          <w:rStyle w:val="Emphasis"/>
          <w:i w:val="0"/>
        </w:rPr>
        <w:t xml:space="preserve"> so there would not be a breach of duty if the recipient repaid the claimant with money from a separate source and retained the direct proceeds of the mistaken payment</w:t>
      </w:r>
      <w:r w:rsidR="0021305C" w:rsidRPr="0021305C">
        <w:rPr>
          <w:rStyle w:val="Emphasis"/>
          <w:i w:val="0"/>
        </w:rPr>
        <w:t>.</w:t>
      </w:r>
      <w:r w:rsidR="0021305C" w:rsidRPr="0021305C">
        <w:rPr>
          <w:rStyle w:val="FootnoteReference"/>
          <w:iCs/>
        </w:rPr>
        <w:footnoteReference w:id="153"/>
      </w:r>
      <w:r w:rsidR="00EA53E3">
        <w:rPr>
          <w:rStyle w:val="Emphasis"/>
          <w:i w:val="0"/>
        </w:rPr>
        <w:t xml:space="preserve"> </w:t>
      </w:r>
      <w:r w:rsidR="00B322EC">
        <w:rPr>
          <w:rStyle w:val="Emphasis"/>
          <w:i w:val="0"/>
        </w:rPr>
        <w:t>Importantly, it</w:t>
      </w:r>
      <w:r w:rsidR="00EA53E3">
        <w:rPr>
          <w:rStyle w:val="Emphasis"/>
          <w:i w:val="0"/>
        </w:rPr>
        <w:t xml:space="preserve"> is the breach of the primary right that brings into play the secondary right; if the recipient will not maintain the fund </w:t>
      </w:r>
      <w:r w:rsidR="00423E25">
        <w:rPr>
          <w:rStyle w:val="Emphasis"/>
          <w:i w:val="0"/>
        </w:rPr>
        <w:t>until</w:t>
      </w:r>
      <w:r w:rsidR="00EA53E3">
        <w:rPr>
          <w:rStyle w:val="Emphasis"/>
          <w:i w:val="0"/>
        </w:rPr>
        <w:t xml:space="preserve"> restitution</w:t>
      </w:r>
      <w:r w:rsidR="00423E25">
        <w:rPr>
          <w:rStyle w:val="Emphasis"/>
          <w:i w:val="0"/>
        </w:rPr>
        <w:t xml:space="preserve"> is made</w:t>
      </w:r>
      <w:r w:rsidR="00EA53E3">
        <w:rPr>
          <w:rStyle w:val="Emphasis"/>
          <w:i w:val="0"/>
        </w:rPr>
        <w:t xml:space="preserve">, the court will do the next best thing and impose a constructive trust </w:t>
      </w:r>
      <w:r w:rsidR="004B3D76" w:rsidRPr="001E1DB7">
        <w:t xml:space="preserve">over the traceable proceeds of the </w:t>
      </w:r>
      <w:r w:rsidR="00B47783" w:rsidRPr="001E1DB7">
        <w:t>mistaken payment</w:t>
      </w:r>
      <w:r w:rsidR="004B3D76" w:rsidRPr="001E1DB7">
        <w:t xml:space="preserve">. </w:t>
      </w:r>
      <w:r w:rsidR="00512FFB" w:rsidRPr="001E1DB7">
        <w:t>As Smith has noted,</w:t>
      </w:r>
      <w:r w:rsidR="00B72635">
        <w:t xml:space="preserve"> “</w:t>
      </w:r>
      <w:r w:rsidR="00512FFB" w:rsidRPr="001E1DB7">
        <w:t>Equity…routinely turns an obligation relating to a particular asset into a kind of proprietary right.</w:t>
      </w:r>
      <w:r w:rsidR="00B72635">
        <w:t>”</w:t>
      </w:r>
      <w:r w:rsidR="00512FFB" w:rsidRPr="001E1DB7">
        <w:rPr>
          <w:rStyle w:val="FootnoteReference"/>
        </w:rPr>
        <w:footnoteReference w:id="154"/>
      </w:r>
      <w:r w:rsidR="00512FFB" w:rsidRPr="001E1DB7">
        <w:t xml:space="preserve"> </w:t>
      </w:r>
      <w:r w:rsidR="00B47783" w:rsidRPr="001E1DB7">
        <w:t>T</w:t>
      </w:r>
      <w:r w:rsidR="004B3D76" w:rsidRPr="001E1DB7">
        <w:t xml:space="preserve">his idea that a breach of a duty can create a proprietary response is reflected in the recent Supreme Court decision in </w:t>
      </w:r>
      <w:r w:rsidR="004B3D76" w:rsidRPr="001E1DB7">
        <w:rPr>
          <w:i/>
        </w:rPr>
        <w:t>FHR European Ventures LLP v Cedar Capital Partners LLC</w:t>
      </w:r>
      <w:r w:rsidR="004B3D76" w:rsidRPr="001E1DB7">
        <w:t>, where a constructive trust was recognised for profit</w:t>
      </w:r>
      <w:r w:rsidR="009D2452">
        <w:t>s made in breach of a fiduciary’s</w:t>
      </w:r>
      <w:r w:rsidR="004B3D76" w:rsidRPr="001E1DB7">
        <w:t xml:space="preserve"> duty to their principal.</w:t>
      </w:r>
      <w:r w:rsidR="004B3D76" w:rsidRPr="001E1DB7">
        <w:rPr>
          <w:rStyle w:val="FootnoteReference"/>
        </w:rPr>
        <w:footnoteReference w:id="155"/>
      </w:r>
      <w:r w:rsidR="004B3D76" w:rsidRPr="001E1DB7">
        <w:t xml:space="preserve"> </w:t>
      </w:r>
      <w:r w:rsidR="006959DB" w:rsidRPr="001E1DB7">
        <w:t xml:space="preserve">It is only an incremental step to further develop </w:t>
      </w:r>
      <w:r w:rsidR="004B3D76" w:rsidRPr="001E1DB7">
        <w:t>these authorities</w:t>
      </w:r>
      <w:r w:rsidR="006959DB" w:rsidRPr="001E1DB7">
        <w:t xml:space="preserve"> so that </w:t>
      </w:r>
      <w:r w:rsidR="00F32950" w:rsidRPr="001E1DB7">
        <w:t>proprietary restitution</w:t>
      </w:r>
      <w:r w:rsidR="006959DB" w:rsidRPr="001E1DB7">
        <w:t xml:space="preserve"> applies not just to fraud</w:t>
      </w:r>
      <w:r w:rsidR="004B3D76" w:rsidRPr="001E1DB7">
        <w:t xml:space="preserve"> and breaches of fiduciary duty</w:t>
      </w:r>
      <w:r w:rsidR="006959DB" w:rsidRPr="001E1DB7">
        <w:t xml:space="preserve">, but to any cases where the recipient’s actions </w:t>
      </w:r>
      <w:r w:rsidR="006959DB" w:rsidRPr="001E1DB7">
        <w:lastRenderedPageBreak/>
        <w:t xml:space="preserve">would be relevant in </w:t>
      </w:r>
      <w:r w:rsidR="00051A44" w:rsidRPr="001E1DB7">
        <w:t xml:space="preserve">demonstrating </w:t>
      </w:r>
      <w:r w:rsidR="00330D25" w:rsidRPr="001E1DB7">
        <w:t>wilful misconduct of</w:t>
      </w:r>
      <w:r w:rsidR="00051A44" w:rsidRPr="001E1DB7">
        <w:t xml:space="preserve"> their duty to preserve the money received</w:t>
      </w:r>
      <w:r w:rsidR="006959DB" w:rsidRPr="001E1DB7">
        <w:t xml:space="preserve">. </w:t>
      </w:r>
    </w:p>
    <w:p w:rsidR="00E762C2" w:rsidRPr="001E1DB7" w:rsidRDefault="00E762C2" w:rsidP="001E1DB7">
      <w:pPr>
        <w:pStyle w:val="Header1"/>
        <w:spacing w:line="360" w:lineRule="auto"/>
        <w:jc w:val="both"/>
        <w:rPr>
          <w:sz w:val="24"/>
          <w:szCs w:val="24"/>
        </w:rPr>
      </w:pPr>
    </w:p>
    <w:p w:rsidR="003E14AB" w:rsidRDefault="00AC23D5" w:rsidP="00C937DB">
      <w:pPr>
        <w:pStyle w:val="Header1"/>
        <w:spacing w:line="360" w:lineRule="auto"/>
      </w:pPr>
      <w:r>
        <w:t>IV</w:t>
      </w:r>
      <w:r w:rsidR="001D78AC" w:rsidRPr="006972B5">
        <w:t>.</w:t>
      </w:r>
      <w:r w:rsidR="001D78AC" w:rsidRPr="00D95E00">
        <w:rPr>
          <w:i/>
        </w:rPr>
        <w:t xml:space="preserve"> </w:t>
      </w:r>
      <w:r w:rsidR="003E14AB">
        <w:t>Why Proprietary Restitution Should not Be available for all mistaken payments</w:t>
      </w:r>
    </w:p>
    <w:p w:rsidR="007061CA" w:rsidRDefault="007061CA" w:rsidP="00C937DB">
      <w:pPr>
        <w:spacing w:line="360" w:lineRule="auto"/>
        <w:jc w:val="both"/>
      </w:pPr>
    </w:p>
    <w:p w:rsidR="003E14AB" w:rsidRDefault="00450EC7" w:rsidP="00C937DB">
      <w:pPr>
        <w:spacing w:line="360" w:lineRule="auto"/>
        <w:jc w:val="both"/>
      </w:pPr>
      <w:r>
        <w:t xml:space="preserve">The focus of this article has been with cases where the claimant is operating under a mistaken belief. </w:t>
      </w:r>
      <w:r w:rsidR="006959DB">
        <w:t xml:space="preserve">In the preceding section, it was argued that the appropriate </w:t>
      </w:r>
      <w:r w:rsidR="0057725B">
        <w:t>explanation</w:t>
      </w:r>
      <w:r w:rsidR="006959DB">
        <w:t xml:space="preserve"> for proprietary restitution </w:t>
      </w:r>
      <w:r>
        <w:t>in the context of mistaken</w:t>
      </w:r>
      <w:r w:rsidR="0057725B">
        <w:t xml:space="preserve"> transfers is that a duty </w:t>
      </w:r>
      <w:r w:rsidR="009363AC">
        <w:t>arises upon knowledge and that this duty is</w:t>
      </w:r>
      <w:r w:rsidR="006959DB">
        <w:t xml:space="preserve"> breached when the recipient </w:t>
      </w:r>
      <w:r w:rsidR="00330D25">
        <w:t>acts with wilful misconduct</w:t>
      </w:r>
      <w:r w:rsidR="006959DB">
        <w:t>. The corollary of that argument is</w:t>
      </w:r>
      <w:r w:rsidR="00041F14">
        <w:t xml:space="preserve"> that the </w:t>
      </w:r>
      <w:r w:rsidR="00462E4D">
        <w:t>mistaken</w:t>
      </w:r>
      <w:r w:rsidR="009363AC">
        <w:t xml:space="preserve"> transfer</w:t>
      </w:r>
      <w:r w:rsidR="00041F14">
        <w:t xml:space="preserve"> should not, on its own, be a justification for proprietary restitution. </w:t>
      </w:r>
      <w:r w:rsidR="0057725B">
        <w:t>This</w:t>
      </w:r>
      <w:r w:rsidR="00295676">
        <w:t xml:space="preserve"> proposition is not one that, at present, is shared by </w:t>
      </w:r>
      <w:r w:rsidR="003E14AB">
        <w:t xml:space="preserve">unjust enrichment lawyers, </w:t>
      </w:r>
      <w:r w:rsidR="00295676">
        <w:t xml:space="preserve">for whom </w:t>
      </w:r>
      <w:r w:rsidR="003E14AB">
        <w:t xml:space="preserve">the fault of the claimant is only relevant in establishing the ‘unjust factor’ which is required as part of the unjust enrichment test. In other words, </w:t>
      </w:r>
      <w:r w:rsidR="00295676">
        <w:t xml:space="preserve">for unjust enrichment lawyers, </w:t>
      </w:r>
      <w:r w:rsidR="003E14AB">
        <w:t xml:space="preserve">the claimant’s error is the </w:t>
      </w:r>
      <w:r w:rsidR="003E14AB">
        <w:rPr>
          <w:i/>
        </w:rPr>
        <w:t xml:space="preserve">reason </w:t>
      </w:r>
      <w:r w:rsidR="003E14AB">
        <w:t>for restitution, not a reason for limiting the right to restitution.</w:t>
      </w:r>
      <w:bookmarkStart w:id="34" w:name="_Ref404365157"/>
      <w:r w:rsidR="000826DB">
        <w:rPr>
          <w:rStyle w:val="FootnoteReference"/>
        </w:rPr>
        <w:footnoteReference w:id="156"/>
      </w:r>
      <w:bookmarkEnd w:id="34"/>
      <w:r w:rsidR="003E14AB">
        <w:t xml:space="preserve"> Nevertheless, </w:t>
      </w:r>
      <w:r w:rsidR="006959DB">
        <w:t>a closer inspection of the case law reveals</w:t>
      </w:r>
      <w:r w:rsidR="003E14AB">
        <w:t xml:space="preserve"> that the fault of the claimant does play a central role in the</w:t>
      </w:r>
      <w:r w:rsidR="006959DB">
        <w:t xml:space="preserve"> initial </w:t>
      </w:r>
      <w:r w:rsidR="003E14AB">
        <w:t xml:space="preserve">availability of proprietary restitution. </w:t>
      </w:r>
      <w:r w:rsidR="00B47783">
        <w:t>The mistake of the claimant</w:t>
      </w:r>
      <w:r w:rsidR="003E14AB" w:rsidRPr="00753A3B">
        <w:t xml:space="preserve"> is </w:t>
      </w:r>
      <w:r w:rsidR="00295676">
        <w:t xml:space="preserve">undoubtedly </w:t>
      </w:r>
      <w:r w:rsidR="003E14AB" w:rsidRPr="00753A3B">
        <w:t>a legally significant fact, and although it may provide a reason for</w:t>
      </w:r>
      <w:r w:rsidR="00295676">
        <w:t xml:space="preserve"> personal</w:t>
      </w:r>
      <w:r w:rsidR="003E14AB" w:rsidRPr="00753A3B">
        <w:t xml:space="preserve"> restitution, we should also recognise th</w:t>
      </w:r>
      <w:r w:rsidR="00027B5A">
        <w:t xml:space="preserve">at it provides a reason for weakening the protection given to claimants by restricting them to a personal claim, </w:t>
      </w:r>
      <w:r w:rsidR="009363AC">
        <w:t xml:space="preserve">unless </w:t>
      </w:r>
      <w:r w:rsidR="00027B5A">
        <w:t>there is another justification for proprietary restitution</w:t>
      </w:r>
      <w:r w:rsidR="003E14AB" w:rsidRPr="00753A3B">
        <w:t xml:space="preserve">. Whereas the current approach </w:t>
      </w:r>
      <w:r w:rsidR="00D51695">
        <w:t xml:space="preserve">of most commentators </w:t>
      </w:r>
      <w:r w:rsidR="003E14AB" w:rsidRPr="00753A3B">
        <w:t xml:space="preserve">is to reject the relevance of </w:t>
      </w:r>
      <w:r w:rsidR="003E14AB">
        <w:t xml:space="preserve">the claimant’s </w:t>
      </w:r>
      <w:r w:rsidR="003E14AB" w:rsidRPr="00753A3B">
        <w:t xml:space="preserve">fault, it is argued here that elements of fault are important </w:t>
      </w:r>
      <w:r w:rsidR="00D51695">
        <w:t>when it comes to the question of proprietary restitution</w:t>
      </w:r>
      <w:r w:rsidR="003E14AB" w:rsidRPr="00753A3B">
        <w:t>.</w:t>
      </w:r>
      <w:r w:rsidR="003E14AB">
        <w:t xml:space="preserve"> We can see the impact o</w:t>
      </w:r>
      <w:r w:rsidR="00341193">
        <w:t>f the claimant’s mistake by observing what</w:t>
      </w:r>
      <w:r w:rsidR="003E14AB">
        <w:t xml:space="preserve"> happen</w:t>
      </w:r>
      <w:r w:rsidR="00341193">
        <w:t>s in cases where there is</w:t>
      </w:r>
      <w:r w:rsidR="003E14AB">
        <w:t xml:space="preserve"> no evidence of a mistake. When there is a lack of evidence about the reason </w:t>
      </w:r>
      <w:r w:rsidR="00295676">
        <w:t>for</w:t>
      </w:r>
      <w:r w:rsidR="003E14AB">
        <w:t xml:space="preserve"> a transfer, the standard approach is that proprietary restitution will be available under a ‘resulting trust.’</w:t>
      </w:r>
      <w:r w:rsidR="000826DB">
        <w:rPr>
          <w:rStyle w:val="FootnoteReference"/>
        </w:rPr>
        <w:footnoteReference w:id="157"/>
      </w:r>
      <w:r w:rsidR="003E14AB">
        <w:t xml:space="preserve"> Swadling has made the point that, in essence, the resulting trust fills an evidential gap relating to the transferor’s intention, an evidentiary gap that simply does not exist in the case of a mistaken payment.</w:t>
      </w:r>
      <w:r w:rsidR="00341193">
        <w:rPr>
          <w:rStyle w:val="FootnoteReference"/>
        </w:rPr>
        <w:footnoteReference w:id="158"/>
      </w:r>
      <w:r w:rsidR="003E14AB">
        <w:t xml:space="preserve"> In such cases </w:t>
      </w:r>
      <w:r w:rsidR="00295676">
        <w:t xml:space="preserve">where there is no evidence of mistake, </w:t>
      </w:r>
      <w:r w:rsidR="003E14AB">
        <w:t>the claimant will have the benefit of proprietary restitution through the mechanism of the resulting trust.</w:t>
      </w:r>
      <w:r w:rsidR="003E14AB" w:rsidRPr="00A36FDF">
        <w:t xml:space="preserve"> </w:t>
      </w:r>
    </w:p>
    <w:p w:rsidR="003E7137" w:rsidRDefault="003E14AB" w:rsidP="00C937DB">
      <w:pPr>
        <w:spacing w:line="360" w:lineRule="auto"/>
        <w:ind w:firstLine="720"/>
        <w:jc w:val="both"/>
      </w:pPr>
      <w:r>
        <w:lastRenderedPageBreak/>
        <w:t>Furthermore, the relevance of</w:t>
      </w:r>
      <w:r w:rsidR="00EC662A">
        <w:t xml:space="preserve"> the claimant’s error is</w:t>
      </w:r>
      <w:r>
        <w:t xml:space="preserve"> demonstrated by the fact that a ‘proprietary response’ will normally be available when the mistake is made by another person who also has control over the claimant’s money, a</w:t>
      </w:r>
      <w:r w:rsidR="00295676">
        <w:t xml:space="preserve">s in the case of executors or </w:t>
      </w:r>
      <w:r>
        <w:t>trustees. Take, for example, a mistaken transfer of property under a will, where the intended beneficiary can trace money into the hands of recipients and into substitute assets.</w:t>
      </w:r>
      <w:bookmarkStart w:id="35" w:name="_Ref417762622"/>
      <w:r w:rsidR="00295676">
        <w:rPr>
          <w:rStyle w:val="FootnoteReference"/>
        </w:rPr>
        <w:footnoteReference w:id="159"/>
      </w:r>
      <w:bookmarkEnd w:id="35"/>
      <w:r>
        <w:t xml:space="preserve"> </w:t>
      </w:r>
      <w:r w:rsidR="001B4B41">
        <w:t>The same would apply where a trustee mistakenly transfer</w:t>
      </w:r>
      <w:r w:rsidR="000826DB">
        <w:t>s</w:t>
      </w:r>
      <w:r w:rsidR="001B4B41">
        <w:t xml:space="preserve"> trust assets.</w:t>
      </w:r>
      <w:r w:rsidR="001B4B41">
        <w:rPr>
          <w:rStyle w:val="FootnoteReference"/>
        </w:rPr>
        <w:footnoteReference w:id="160"/>
      </w:r>
      <w:r w:rsidR="00715ED3">
        <w:t xml:space="preserve"> </w:t>
      </w:r>
      <w:r w:rsidR="00295676">
        <w:t xml:space="preserve">Those cases can be contrasted with </w:t>
      </w:r>
      <w:r w:rsidR="00295676">
        <w:rPr>
          <w:i/>
        </w:rPr>
        <w:t>Re Horne</w:t>
      </w:r>
      <w:r w:rsidR="00295676">
        <w:t xml:space="preserve">, </w:t>
      </w:r>
      <w:r w:rsidR="0057725B">
        <w:t>described by Warrington J</w:t>
      </w:r>
      <w:r w:rsidR="003F6B2E">
        <w:t>.</w:t>
      </w:r>
      <w:r w:rsidR="0057725B">
        <w:t xml:space="preserve"> as a “</w:t>
      </w:r>
      <w:r w:rsidR="00295676">
        <w:t>somewhat curious case.</w:t>
      </w:r>
      <w:r w:rsidR="0057725B">
        <w:t>”</w:t>
      </w:r>
      <w:r w:rsidR="007538EF">
        <w:rPr>
          <w:rStyle w:val="FootnoteReference"/>
        </w:rPr>
        <w:footnoteReference w:id="161"/>
      </w:r>
      <w:r w:rsidR="00295676">
        <w:t xml:space="preserve"> In </w:t>
      </w:r>
      <w:r w:rsidR="00295676">
        <w:rPr>
          <w:i/>
        </w:rPr>
        <w:t>Re Horne</w:t>
      </w:r>
      <w:r w:rsidR="00295676">
        <w:t xml:space="preserve">, a claim for payment was made by the family of the trustee, who </w:t>
      </w:r>
      <w:r w:rsidR="00B47783">
        <w:t>had</w:t>
      </w:r>
      <w:r w:rsidR="00295676">
        <w:t xml:space="preserve"> also </w:t>
      </w:r>
      <w:r w:rsidR="00B47783">
        <w:t xml:space="preserve">been </w:t>
      </w:r>
      <w:r w:rsidR="00295676">
        <w:t>one of the beneficiaries. The trustee had overpaid his brothers whilst failing to take his full entitlement, and his estate was looking to reclaim the overpayments from the brothers. Warrington J</w:t>
      </w:r>
      <w:r w:rsidR="003F6B2E">
        <w:t>.</w:t>
      </w:r>
      <w:r w:rsidR="00295676">
        <w:t xml:space="preserve"> stated that no suc</w:t>
      </w:r>
      <w:r w:rsidR="0057725B">
        <w:t>h claim could be made and that “</w:t>
      </w:r>
      <w:r w:rsidR="00295676">
        <w:t>[a]ny equity that he might have had in his character of beneficiary is displaced by the fact that he is himself responsible for the mistake which has been made.</w:t>
      </w:r>
      <w:r w:rsidR="0057725B">
        <w:t>”</w:t>
      </w:r>
      <w:r w:rsidR="00295676">
        <w:rPr>
          <w:rStyle w:val="FootnoteReference"/>
        </w:rPr>
        <w:footnoteReference w:id="162"/>
      </w:r>
      <w:r w:rsidR="003E7137">
        <w:t xml:space="preserve"> </w:t>
      </w:r>
      <w:r>
        <w:t>A significant difference</w:t>
      </w:r>
      <w:r w:rsidR="00EC662A">
        <w:t>, therefore,</w:t>
      </w:r>
      <w:r>
        <w:t xml:space="preserve"> between the claimant in the case of mistaken payments by a </w:t>
      </w:r>
      <w:r w:rsidR="00715ED3">
        <w:t>fiduciary</w:t>
      </w:r>
      <w:r>
        <w:t xml:space="preserve"> and a mistaken payment by the claimant is that</w:t>
      </w:r>
      <w:r w:rsidR="00295676">
        <w:t>,</w:t>
      </w:r>
      <w:r>
        <w:t xml:space="preserve"> in the latter</w:t>
      </w:r>
      <w:r w:rsidR="00295676">
        <w:t>,</w:t>
      </w:r>
      <w:r>
        <w:t xml:space="preserve"> the claimant is </w:t>
      </w:r>
      <w:r w:rsidR="00B47783">
        <w:t xml:space="preserve">at least in part </w:t>
      </w:r>
      <w:r>
        <w:t xml:space="preserve">responsible for the error, whereas in the former the error </w:t>
      </w:r>
      <w:r w:rsidR="00027B5A">
        <w:t>will</w:t>
      </w:r>
      <w:r>
        <w:t xml:space="preserve"> not</w:t>
      </w:r>
      <w:r w:rsidR="00027B5A">
        <w:t xml:space="preserve"> normally be</w:t>
      </w:r>
      <w:r>
        <w:t xml:space="preserve"> attributable to the claimant.</w:t>
      </w:r>
      <w:r w:rsidR="00B322EC">
        <w:rPr>
          <w:rStyle w:val="FootnoteReference"/>
        </w:rPr>
        <w:footnoteReference w:id="163"/>
      </w:r>
      <w:r>
        <w:t xml:space="preserve"> </w:t>
      </w:r>
      <w:r w:rsidR="003E7137">
        <w:t xml:space="preserve">Another example of the importance of determining whether the error is attributable to the claimant or someone else is the decision of the Court of Appeal of Barbados in </w:t>
      </w:r>
      <w:r w:rsidR="003E7137" w:rsidRPr="00A17717">
        <w:rPr>
          <w:i/>
        </w:rPr>
        <w:t>Quarry Products Ltd v McClurg</w:t>
      </w:r>
      <w:r w:rsidR="003E7137">
        <w:t>.</w:t>
      </w:r>
      <w:r w:rsidR="003E7137">
        <w:rPr>
          <w:rStyle w:val="FootnoteReference"/>
        </w:rPr>
        <w:footnoteReference w:id="164"/>
      </w:r>
      <w:r w:rsidR="003E7137">
        <w:t xml:space="preserve"> In that case, the claimants had agreed a life insurance policy for one of its managers, however the insurance company mistakenly recorded the manager rather than the claimants as the beneficiary of the insurance policy. It was held that the proceeds of the insurance money were held under a trust on behalf of the claimants. </w:t>
      </w:r>
    </w:p>
    <w:p w:rsidR="003E14AB" w:rsidRDefault="003E7137" w:rsidP="00E640A9">
      <w:pPr>
        <w:spacing w:line="360" w:lineRule="auto"/>
        <w:ind w:firstLine="720"/>
        <w:jc w:val="both"/>
      </w:pPr>
      <w:r>
        <w:t>Furthermore, i</w:t>
      </w:r>
      <w:r w:rsidR="003E14AB">
        <w:t>f one looks at the development of the equitable rules of tracing, they were developed in the context of cases whe</w:t>
      </w:r>
      <w:r w:rsidR="00295676">
        <w:t xml:space="preserve">re </w:t>
      </w:r>
      <w:r w:rsidR="00450EC7">
        <w:t>responsibility for the transfer</w:t>
      </w:r>
      <w:r w:rsidR="00295676">
        <w:t xml:space="preserve"> w</w:t>
      </w:r>
      <w:r w:rsidR="003E14AB">
        <w:t xml:space="preserve">ould </w:t>
      </w:r>
      <w:r w:rsidR="00027B5A">
        <w:t xml:space="preserve">very often </w:t>
      </w:r>
      <w:r w:rsidR="003E14AB">
        <w:t xml:space="preserve">be attributed to someone other than the claimant. </w:t>
      </w:r>
      <w:r w:rsidR="00EC662A">
        <w:t>For example, in</w:t>
      </w:r>
      <w:r w:rsidR="00295676">
        <w:t xml:space="preserve"> </w:t>
      </w:r>
      <w:r w:rsidR="00295676">
        <w:rPr>
          <w:i/>
        </w:rPr>
        <w:t>Re Hallett’s Estate</w:t>
      </w:r>
      <w:r w:rsidR="00295676">
        <w:t>, Jessel M</w:t>
      </w:r>
      <w:r w:rsidR="0078334C">
        <w:t>.</w:t>
      </w:r>
      <w:r w:rsidR="00295676">
        <w:t>R</w:t>
      </w:r>
      <w:r w:rsidR="0078334C">
        <w:t>.</w:t>
      </w:r>
      <w:r w:rsidR="00295676">
        <w:t xml:space="preserve"> explained that the equitable rules on tracing were applicable in cases involving fiduciaries</w:t>
      </w:r>
      <w:r w:rsidR="00DA4CFC">
        <w:t>,</w:t>
      </w:r>
      <w:r w:rsidR="006D304A">
        <w:t xml:space="preserve"> and even </w:t>
      </w:r>
      <w:r w:rsidR="003C56EA">
        <w:t>provided</w:t>
      </w:r>
      <w:r w:rsidR="006D304A">
        <w:t xml:space="preserve"> an example of a mistaken </w:t>
      </w:r>
      <w:r w:rsidR="00D51695">
        <w:t>mixture</w:t>
      </w:r>
      <w:r w:rsidR="006D304A">
        <w:t xml:space="preserve"> of trust funds as an instance where equitable tracing would be readily available.</w:t>
      </w:r>
      <w:r w:rsidR="00295676">
        <w:rPr>
          <w:rStyle w:val="FootnoteReference"/>
        </w:rPr>
        <w:footnoteReference w:id="165"/>
      </w:r>
      <w:r w:rsidR="00295676">
        <w:t xml:space="preserve"> Thus, it is implicit that, by requiring </w:t>
      </w:r>
      <w:r w:rsidR="00295676">
        <w:lastRenderedPageBreak/>
        <w:t>the presence of a fiduciary relationship, the proprietary response developed by the courts of equity operated in circumstances where someone other than the claimant was responsible for the transfer of the property which was the subject of the claimant’s beneficial interest.</w:t>
      </w:r>
      <w:r w:rsidR="00EC662A">
        <w:t xml:space="preserve"> </w:t>
      </w:r>
      <w:r w:rsidR="00027B5A">
        <w:t xml:space="preserve">This is very important in explaining why the proprietary response of equity should not be available for all mistaken payments. </w:t>
      </w:r>
      <w:r w:rsidR="00EC662A">
        <w:t>Whereas</w:t>
      </w:r>
      <w:r w:rsidR="00295676">
        <w:t xml:space="preserve"> modern unjust enrichment theorists generally reject the relevance of the claimant’s fault, the courts of equity have traditionally regarded the presence or absence of the </w:t>
      </w:r>
      <w:r w:rsidR="0057725B">
        <w:t>purported beneficiary’s</w:t>
      </w:r>
      <w:r w:rsidR="00295676">
        <w:t xml:space="preserve"> fault as one of the most important factors in determining whether or not to provide the claimant with a proprietary response</w:t>
      </w:r>
      <w:r w:rsidR="003C56EA">
        <w:t xml:space="preserve"> from the outset</w:t>
      </w:r>
      <w:r w:rsidR="00295676">
        <w:t>.</w:t>
      </w:r>
      <w:r w:rsidR="002657D3">
        <w:t xml:space="preserve"> </w:t>
      </w:r>
      <w:r w:rsidR="00A42C4F">
        <w:t xml:space="preserve">When a claimant makes a mistaken payment, and the error is attributable to the claimant, there </w:t>
      </w:r>
      <w:r w:rsidR="00FF77AD">
        <w:t>is no immediate justification for</w:t>
      </w:r>
      <w:r w:rsidR="00A42C4F">
        <w:t xml:space="preserve"> a proprietary response.</w:t>
      </w:r>
      <w:r w:rsidR="002657D3">
        <w:t xml:space="preserve"> </w:t>
      </w:r>
      <w:r w:rsidR="0009357A">
        <w:t xml:space="preserve">If this analysis is accepted, the clearest justification for the development of the equitable rules on tracing is not the presence of the fiduciary duty itself, but rather the underlying premise of identifying </w:t>
      </w:r>
      <w:r w:rsidR="0078334C">
        <w:t xml:space="preserve">which </w:t>
      </w:r>
      <w:r w:rsidR="0009357A">
        <w:t xml:space="preserve">claims were deserving of protection. This is why the claimant’s error alone does not provide a sufficient justification for proprietary restitution and explains why it is necessary to show a more compelling reason </w:t>
      </w:r>
      <w:r w:rsidR="00DA4CFC">
        <w:t xml:space="preserve">for the application of the equitable rules on tracing. </w:t>
      </w:r>
      <w:r w:rsidR="00570AA4">
        <w:t>As stated above,</w:t>
      </w:r>
      <w:r w:rsidR="00DA4CFC">
        <w:rPr>
          <w:rStyle w:val="FootnoteReference"/>
        </w:rPr>
        <w:footnoteReference w:id="166"/>
      </w:r>
      <w:r w:rsidR="00570AA4">
        <w:t xml:space="preserve"> there is sufficient support to demonstrate that an equitable duty arises when the recipient has knowledge of the mistake, </w:t>
      </w:r>
      <w:r w:rsidR="00DA4CFC">
        <w:t>and the enforcement of this duty</w:t>
      </w:r>
      <w:r w:rsidR="00570AA4">
        <w:t xml:space="preserve"> provides an alternative </w:t>
      </w:r>
      <w:r w:rsidR="00DA4CFC">
        <w:t xml:space="preserve">justification for the application of </w:t>
      </w:r>
      <w:r w:rsidR="00570AA4">
        <w:t xml:space="preserve">the equitable rules on tracing. </w:t>
      </w:r>
      <w:r w:rsidR="00DA4CFC">
        <w:t>This proposition is further discussed in the following section.</w:t>
      </w:r>
    </w:p>
    <w:p w:rsidR="003E14AB" w:rsidRPr="00DA4CFC" w:rsidRDefault="003E14AB" w:rsidP="00C937DB">
      <w:pPr>
        <w:pStyle w:val="Header1"/>
        <w:spacing w:line="360" w:lineRule="auto"/>
        <w:jc w:val="left"/>
      </w:pPr>
    </w:p>
    <w:p w:rsidR="003E14AB" w:rsidRPr="00753A3B" w:rsidRDefault="00AC23D5" w:rsidP="00C937DB">
      <w:pPr>
        <w:pStyle w:val="Header1"/>
        <w:spacing w:line="360" w:lineRule="auto"/>
      </w:pPr>
      <w:bookmarkStart w:id="36" w:name="_Toc290724716"/>
      <w:bookmarkStart w:id="37" w:name="_Toc300168450"/>
      <w:r>
        <w:t>V</w:t>
      </w:r>
      <w:r w:rsidR="003E14AB" w:rsidRPr="006972B5">
        <w:t>.</w:t>
      </w:r>
      <w:r w:rsidR="003E14AB">
        <w:t xml:space="preserve"> Clarifying the Operation </w:t>
      </w:r>
      <w:r w:rsidR="009904CB">
        <w:t xml:space="preserve">of the </w:t>
      </w:r>
      <w:r w:rsidR="003E14AB">
        <w:t>Proprietary Restitution Approach</w:t>
      </w:r>
    </w:p>
    <w:p w:rsidR="00B717CB" w:rsidRDefault="00B717CB" w:rsidP="00C937DB">
      <w:pPr>
        <w:spacing w:line="360" w:lineRule="auto"/>
        <w:jc w:val="both"/>
      </w:pPr>
    </w:p>
    <w:p w:rsidR="003E14AB" w:rsidRDefault="00715ED3" w:rsidP="00C937DB">
      <w:pPr>
        <w:spacing w:line="360" w:lineRule="auto"/>
        <w:jc w:val="both"/>
      </w:pPr>
      <w:r>
        <w:t>To restate the proposition in this article; p</w:t>
      </w:r>
      <w:r w:rsidR="003E14AB">
        <w:t xml:space="preserve">roprietary restitution will be possible in cases of mistaken payments </w:t>
      </w:r>
      <w:r>
        <w:t xml:space="preserve">only </w:t>
      </w:r>
      <w:r w:rsidR="003E14AB">
        <w:t xml:space="preserve">where the recipient </w:t>
      </w:r>
      <w:r w:rsidR="00A42C4F">
        <w:t>has knowledge</w:t>
      </w:r>
      <w:r w:rsidR="003E14AB">
        <w:t xml:space="preserve"> of the defect in transfer</w:t>
      </w:r>
      <w:r w:rsidR="00B33859">
        <w:t>, which establishes a duty to maintain the fund,</w:t>
      </w:r>
      <w:r w:rsidR="006D304A">
        <w:t xml:space="preserve"> </w:t>
      </w:r>
      <w:r w:rsidR="00351356">
        <w:t xml:space="preserve">coupled with </w:t>
      </w:r>
      <w:r w:rsidR="00B33859">
        <w:t>the wil</w:t>
      </w:r>
      <w:r w:rsidR="00351356">
        <w:t>ful misconduct of the recipient</w:t>
      </w:r>
      <w:r w:rsidR="00B33859">
        <w:t xml:space="preserve"> in the performance of this duty</w:t>
      </w:r>
      <w:r w:rsidR="003E14AB">
        <w:t xml:space="preserve">. The result is that a claimant can </w:t>
      </w:r>
      <w:r w:rsidR="006832ED">
        <w:t>assert rights over</w:t>
      </w:r>
      <w:r w:rsidR="003E14AB">
        <w:t xml:space="preserve"> substitute assets and gain priority in insolvency. </w:t>
      </w:r>
    </w:p>
    <w:p w:rsidR="003E14AB" w:rsidRDefault="003E14AB" w:rsidP="00C937DB">
      <w:pPr>
        <w:spacing w:line="360" w:lineRule="auto"/>
        <w:jc w:val="both"/>
      </w:pPr>
    </w:p>
    <w:p w:rsidR="00A023CA" w:rsidRPr="00AC23D5" w:rsidRDefault="00D21266" w:rsidP="00C937DB">
      <w:pPr>
        <w:pStyle w:val="header2"/>
        <w:spacing w:line="360" w:lineRule="auto"/>
        <w:jc w:val="center"/>
        <w:rPr>
          <w:b w:val="0"/>
          <w:i/>
        </w:rPr>
      </w:pPr>
      <w:r>
        <w:rPr>
          <w:b w:val="0"/>
          <w:i/>
        </w:rPr>
        <w:t>A</w:t>
      </w:r>
      <w:r w:rsidR="005D3508" w:rsidRPr="00AC23D5">
        <w:rPr>
          <w:b w:val="0"/>
          <w:i/>
        </w:rPr>
        <w:t xml:space="preserve">. </w:t>
      </w:r>
      <w:r w:rsidR="00A023CA" w:rsidRPr="00AC23D5">
        <w:rPr>
          <w:b w:val="0"/>
          <w:i/>
        </w:rPr>
        <w:t>The Tracing Issue</w:t>
      </w:r>
    </w:p>
    <w:p w:rsidR="003E14AB" w:rsidRPr="00753A3B" w:rsidRDefault="003E14AB" w:rsidP="00C937DB">
      <w:pPr>
        <w:spacing w:line="360" w:lineRule="auto"/>
        <w:jc w:val="both"/>
      </w:pPr>
    </w:p>
    <w:p w:rsidR="00B717CB" w:rsidRDefault="00DF1814" w:rsidP="00C937DB">
      <w:pPr>
        <w:spacing w:line="360" w:lineRule="auto"/>
        <w:jc w:val="both"/>
      </w:pPr>
      <w:r>
        <w:lastRenderedPageBreak/>
        <w:t xml:space="preserve">One possible problem with the availability of </w:t>
      </w:r>
      <w:r w:rsidR="00373D97">
        <w:t>proprietary restitution</w:t>
      </w:r>
      <w:r>
        <w:t xml:space="preserve"> in cases of </w:t>
      </w:r>
      <w:r w:rsidR="00462E4D">
        <w:t>mistaken transfers</w:t>
      </w:r>
      <w:r>
        <w:t xml:space="preserve"> is that </w:t>
      </w:r>
      <w:r w:rsidR="00B717CB">
        <w:t>the law of traci</w:t>
      </w:r>
      <w:r w:rsidR="00A42C4F">
        <w:t>ng involves two interlinked set</w:t>
      </w:r>
      <w:r w:rsidR="00B717CB">
        <w:t xml:space="preserve"> of </w:t>
      </w:r>
      <w:r w:rsidR="00A026C6">
        <w:t>‘illusory rules’</w:t>
      </w:r>
      <w:r w:rsidR="00B717CB">
        <w:t xml:space="preserve">, both of which would </w:t>
      </w:r>
      <w:r w:rsidR="0066088A">
        <w:t>limit the ability of a</w:t>
      </w:r>
      <w:r w:rsidR="00B717CB">
        <w:t xml:space="preserve"> claimant </w:t>
      </w:r>
      <w:r w:rsidR="0066088A">
        <w:t>to trace</w:t>
      </w:r>
      <w:r w:rsidR="00B717CB">
        <w:t xml:space="preserve"> payment</w:t>
      </w:r>
      <w:r w:rsidR="0066088A">
        <w:t>s</w:t>
      </w:r>
      <w:r w:rsidR="00B717CB">
        <w:t xml:space="preserve">. The two </w:t>
      </w:r>
      <w:r w:rsidR="00A42C4F">
        <w:t xml:space="preserve">set of illusory rules </w:t>
      </w:r>
      <w:r w:rsidR="00B717CB">
        <w:t>are</w:t>
      </w:r>
      <w:r w:rsidR="00C156EB">
        <w:t>,</w:t>
      </w:r>
      <w:r w:rsidR="00B717CB">
        <w:t xml:space="preserve"> firstly, that at common law one cannot trace into mixtures and</w:t>
      </w:r>
      <w:r w:rsidR="00470D28">
        <w:t>, secondly, that</w:t>
      </w:r>
      <w:r w:rsidR="00B717CB">
        <w:t xml:space="preserve"> the alternative method of tracing in equity is only available where there has been an initial </w:t>
      </w:r>
      <w:r w:rsidR="00B80A78">
        <w:t>fiduciary relationship</w:t>
      </w:r>
      <w:r w:rsidR="00B717CB">
        <w:t>. The</w:t>
      </w:r>
      <w:r w:rsidR="00A42C4F">
        <w:t xml:space="preserve"> shortcomings of these rules </w:t>
      </w:r>
      <w:r w:rsidR="00B717CB">
        <w:t xml:space="preserve">must be dealt with before we can achieve clarity in this area of law. </w:t>
      </w:r>
    </w:p>
    <w:p w:rsidR="008D2637" w:rsidRDefault="00FE6E3D" w:rsidP="00C937DB">
      <w:pPr>
        <w:spacing w:line="360" w:lineRule="auto"/>
        <w:ind w:firstLine="720"/>
        <w:jc w:val="both"/>
      </w:pPr>
      <w:r>
        <w:t xml:space="preserve">The first </w:t>
      </w:r>
      <w:r w:rsidR="00A42C4F">
        <w:t>illusory rule</w:t>
      </w:r>
      <w:r>
        <w:t xml:space="preserve"> is that</w:t>
      </w:r>
      <w:r w:rsidR="008A3739">
        <w:t>,</w:t>
      </w:r>
      <w:r>
        <w:t xml:space="preserve"> at ‘common law’</w:t>
      </w:r>
      <w:r w:rsidR="008A3739">
        <w:t>,</w:t>
      </w:r>
      <w:r w:rsidR="00B717CB" w:rsidRPr="00753A3B">
        <w:t xml:space="preserve"> it is only possible to tr</w:t>
      </w:r>
      <w:r>
        <w:t xml:space="preserve">ace into substitute assets and </w:t>
      </w:r>
      <w:r w:rsidR="00B717CB" w:rsidRPr="00753A3B">
        <w:t>that the tracing process comes to an end</w:t>
      </w:r>
      <w:r w:rsidR="00B717CB" w:rsidRPr="001B7D58">
        <w:t xml:space="preserve"> </w:t>
      </w:r>
      <w:r w:rsidR="00B717CB">
        <w:t>once the money has been mixed with other money</w:t>
      </w:r>
      <w:r w:rsidR="00B717CB" w:rsidRPr="00753A3B">
        <w:t>.</w:t>
      </w:r>
      <w:bookmarkStart w:id="38" w:name="_Ref376897980"/>
      <w:r w:rsidR="00B717CB" w:rsidRPr="00753A3B">
        <w:rPr>
          <w:rStyle w:val="FootnoteReference"/>
        </w:rPr>
        <w:footnoteReference w:id="167"/>
      </w:r>
      <w:bookmarkEnd w:id="38"/>
      <w:r w:rsidR="00B717CB" w:rsidRPr="00753A3B">
        <w:t xml:space="preserve"> ‘Equitable tracing’, on the other hand, has no such problem tracing money into mixtures. </w:t>
      </w:r>
      <w:r w:rsidR="00C156EB">
        <w:t>Although the equitable tracing rules are more favourable than the common law rules</w:t>
      </w:r>
      <w:r w:rsidR="00B717CB" w:rsidRPr="00753A3B">
        <w:t xml:space="preserve">, </w:t>
      </w:r>
      <w:r>
        <w:t xml:space="preserve">the second </w:t>
      </w:r>
      <w:r w:rsidR="00A42C4F">
        <w:t>illusory rule</w:t>
      </w:r>
      <w:r>
        <w:t xml:space="preserve"> is</w:t>
      </w:r>
      <w:r w:rsidR="00C156EB">
        <w:t xml:space="preserve"> that </w:t>
      </w:r>
      <w:r w:rsidR="00E97499">
        <w:t>equitable tracing is</w:t>
      </w:r>
      <w:r w:rsidR="00C156EB">
        <w:t xml:space="preserve"> only available in limited circumstances. I</w:t>
      </w:r>
      <w:r w:rsidR="00B717CB">
        <w:t xml:space="preserve">n </w:t>
      </w:r>
      <w:r w:rsidR="00B717CB">
        <w:rPr>
          <w:i/>
        </w:rPr>
        <w:t>Re Diplock</w:t>
      </w:r>
      <w:r w:rsidR="00B717CB">
        <w:t>, Lord Greene</w:t>
      </w:r>
      <w:r w:rsidR="00B717CB">
        <w:rPr>
          <w:i/>
        </w:rPr>
        <w:t xml:space="preserve"> </w:t>
      </w:r>
      <w:r w:rsidR="00B717CB" w:rsidRPr="00753A3B">
        <w:t>stated that</w:t>
      </w:r>
      <w:r w:rsidR="00B717CB">
        <w:t xml:space="preserve"> equitable tracing is only available where there is</w:t>
      </w:r>
      <w:r w:rsidR="00B717CB" w:rsidRPr="00753A3B">
        <w:t xml:space="preserve"> an initial fiduciary relationship, such as in a trust or agency situation.</w:t>
      </w:r>
      <w:r w:rsidR="00B717CB" w:rsidRPr="00753A3B">
        <w:rPr>
          <w:rStyle w:val="FootnoteReference"/>
        </w:rPr>
        <w:footnoteReference w:id="168"/>
      </w:r>
      <w:r w:rsidR="00B717CB" w:rsidRPr="00753A3B">
        <w:t xml:space="preserve"> </w:t>
      </w:r>
      <w:r w:rsidR="00D51695">
        <w:t>I</w:t>
      </w:r>
      <w:r w:rsidR="00B717CB" w:rsidRPr="00753A3B">
        <w:t xml:space="preserve">t is contended </w:t>
      </w:r>
      <w:r w:rsidR="00D51695">
        <w:t xml:space="preserve">in this article </w:t>
      </w:r>
      <w:r w:rsidR="00B717CB" w:rsidRPr="00753A3B">
        <w:t>that the</w:t>
      </w:r>
      <w:r w:rsidR="00A0068D">
        <w:t>se</w:t>
      </w:r>
      <w:r>
        <w:t xml:space="preserve"> </w:t>
      </w:r>
      <w:r w:rsidR="00A0068D">
        <w:t>illusory rules</w:t>
      </w:r>
      <w:r w:rsidR="00B717CB" w:rsidRPr="00753A3B">
        <w:t xml:space="preserve"> </w:t>
      </w:r>
      <w:r w:rsidR="00A0068D">
        <w:t>should give way to a unified set of</w:t>
      </w:r>
      <w:r w:rsidR="00A026C6">
        <w:t xml:space="preserve"> tracing </w:t>
      </w:r>
      <w:r w:rsidR="00A0068D">
        <w:t>rules that applies to mixtures of money even in the absence of any fiduciary duty</w:t>
      </w:r>
      <w:r w:rsidR="00B717CB" w:rsidRPr="00753A3B">
        <w:t xml:space="preserve">. </w:t>
      </w:r>
      <w:r w:rsidR="00D51695">
        <w:t>In fact, t</w:t>
      </w:r>
      <w:r w:rsidR="00B717CB" w:rsidRPr="00753A3B">
        <w:t xml:space="preserve">here are clear indications </w:t>
      </w:r>
      <w:r w:rsidR="00B717CB">
        <w:t>in the more recent case law that</w:t>
      </w:r>
      <w:r w:rsidR="00B717CB" w:rsidRPr="00753A3B">
        <w:t xml:space="preserve"> money</w:t>
      </w:r>
      <w:r w:rsidR="00B717CB" w:rsidRPr="00753A3B">
        <w:rPr>
          <w:i/>
        </w:rPr>
        <w:t xml:space="preserve"> can</w:t>
      </w:r>
      <w:r w:rsidR="00B717CB" w:rsidRPr="00753A3B">
        <w:t xml:space="preserve"> be traced </w:t>
      </w:r>
      <w:r w:rsidR="00B717CB">
        <w:t xml:space="preserve">into mixtures </w:t>
      </w:r>
      <w:r w:rsidR="00B717CB" w:rsidRPr="00753A3B">
        <w:t>even where there has not been any</w:t>
      </w:r>
      <w:r w:rsidR="00C156EB">
        <w:t xml:space="preserve"> initial </w:t>
      </w:r>
      <w:r w:rsidR="00B717CB" w:rsidRPr="00753A3B">
        <w:t>fiduciary duty.</w:t>
      </w:r>
      <w:r w:rsidR="00772553">
        <w:rPr>
          <w:rStyle w:val="FootnoteReference"/>
        </w:rPr>
        <w:footnoteReference w:id="169"/>
      </w:r>
      <w:r w:rsidR="00B717CB" w:rsidRPr="00753A3B">
        <w:t xml:space="preserve"> A recent example is </w:t>
      </w:r>
      <w:r w:rsidR="00B717CB" w:rsidRPr="00753A3B">
        <w:rPr>
          <w:i/>
        </w:rPr>
        <w:t xml:space="preserve">Barclays Bank </w:t>
      </w:r>
      <w:r w:rsidR="007C26B2">
        <w:rPr>
          <w:i/>
        </w:rPr>
        <w:t>p</w:t>
      </w:r>
      <w:r w:rsidR="007C26B2" w:rsidRPr="007C26B2">
        <w:rPr>
          <w:i/>
        </w:rPr>
        <w:t>lc</w:t>
      </w:r>
      <w:r w:rsidR="00B717CB" w:rsidRPr="00753A3B">
        <w:rPr>
          <w:i/>
        </w:rPr>
        <w:t xml:space="preserve"> v Kalamohan</w:t>
      </w:r>
      <w:r w:rsidR="00B717CB" w:rsidRPr="00753A3B">
        <w:t xml:space="preserve">, </w:t>
      </w:r>
      <w:r w:rsidR="00C156EB">
        <w:t>where Proudman J</w:t>
      </w:r>
      <w:r w:rsidR="003F6B2E">
        <w:t>.</w:t>
      </w:r>
      <w:r w:rsidR="00C156EB">
        <w:t xml:space="preserve"> concluded that a </w:t>
      </w:r>
      <w:r w:rsidR="00132374">
        <w:t xml:space="preserve">mistaken </w:t>
      </w:r>
      <w:r w:rsidR="00C156EB">
        <w:t xml:space="preserve">transfer </w:t>
      </w:r>
      <w:r w:rsidR="0078334C">
        <w:t>which</w:t>
      </w:r>
      <w:r w:rsidR="00C156EB">
        <w:t xml:space="preserve"> had been </w:t>
      </w:r>
      <w:r w:rsidR="00132374">
        <w:t>received by</w:t>
      </w:r>
      <w:r w:rsidR="00B15FA5">
        <w:t xml:space="preserve"> a</w:t>
      </w:r>
      <w:r w:rsidR="00D55CF4">
        <w:t xml:space="preserve"> customer of the claimant</w:t>
      </w:r>
      <w:r w:rsidR="00C156EB">
        <w:t xml:space="preserve"> bank </w:t>
      </w:r>
      <w:r w:rsidR="00253515">
        <w:t>was held under trust</w:t>
      </w:r>
      <w:r w:rsidR="00B717CB">
        <w:t>.</w:t>
      </w:r>
      <w:bookmarkStart w:id="39" w:name="_Ref358574130"/>
      <w:r w:rsidR="008C1E5A" w:rsidRPr="00753A3B">
        <w:rPr>
          <w:rStyle w:val="FootnoteReference"/>
        </w:rPr>
        <w:footnoteReference w:id="170"/>
      </w:r>
      <w:bookmarkEnd w:id="39"/>
      <w:r w:rsidR="008C1E5A" w:rsidRPr="00753A3B">
        <w:t xml:space="preserve"> </w:t>
      </w:r>
      <w:r w:rsidR="00B717CB" w:rsidRPr="00253515">
        <w:t xml:space="preserve">In other words, </w:t>
      </w:r>
      <w:r w:rsidR="00253515" w:rsidRPr="00253515">
        <w:t>it would be</w:t>
      </w:r>
      <w:r w:rsidR="00A026C6" w:rsidRPr="00253515">
        <w:t xml:space="preserve"> possible to trace through mixtures.</w:t>
      </w:r>
      <w:r w:rsidR="00B717CB">
        <w:t xml:space="preserve"> </w:t>
      </w:r>
      <w:r w:rsidR="00B717CB" w:rsidRPr="00753A3B">
        <w:t xml:space="preserve">According to the judge, the defendant </w:t>
      </w:r>
      <w:r w:rsidR="002F0579">
        <w:t>“</w:t>
      </w:r>
      <w:r w:rsidR="00B717CB" w:rsidRPr="00753A3B">
        <w:t>was acting in breach of fiduciary duty and the moneys were received by or on behalf of the defendants in circumstances where it would be unconscionable for them to retain them.</w:t>
      </w:r>
      <w:r w:rsidR="002F0579">
        <w:t>”</w:t>
      </w:r>
      <w:r w:rsidR="00B717CB" w:rsidRPr="00753A3B">
        <w:rPr>
          <w:rStyle w:val="FootnoteReference"/>
        </w:rPr>
        <w:footnoteReference w:id="171"/>
      </w:r>
      <w:r w:rsidR="00B717CB" w:rsidRPr="00753A3B">
        <w:t xml:space="preserve"> This conclusion was reached despite the fact that the defendant was not a</w:t>
      </w:r>
      <w:r w:rsidR="002A0A69">
        <w:t>cting in a</w:t>
      </w:r>
      <w:r w:rsidR="00B717CB" w:rsidRPr="00753A3B">
        <w:t xml:space="preserve"> </w:t>
      </w:r>
      <w:r w:rsidR="00A0068D">
        <w:t>genuine</w:t>
      </w:r>
      <w:r w:rsidR="008A3739">
        <w:t xml:space="preserve"> </w:t>
      </w:r>
      <w:r w:rsidR="00B717CB" w:rsidRPr="00753A3B">
        <w:t>fiduciary</w:t>
      </w:r>
      <w:r w:rsidR="00B717CB">
        <w:t xml:space="preserve"> </w:t>
      </w:r>
      <w:r w:rsidR="002A0A69">
        <w:t>capacity</w:t>
      </w:r>
      <w:r w:rsidR="00B717CB" w:rsidRPr="00753A3B">
        <w:t xml:space="preserve">, but </w:t>
      </w:r>
      <w:r w:rsidR="002A0A69">
        <w:t xml:space="preserve">was </w:t>
      </w:r>
      <w:r w:rsidR="00B717CB" w:rsidRPr="00753A3B">
        <w:t>merely a customer of the claimant bank.</w:t>
      </w:r>
      <w:r w:rsidR="000D4635">
        <w:rPr>
          <w:rStyle w:val="FootnoteReference"/>
        </w:rPr>
        <w:footnoteReference w:id="172"/>
      </w:r>
      <w:r w:rsidR="00B717CB" w:rsidRPr="00753A3B">
        <w:t xml:space="preserve"> </w:t>
      </w:r>
      <w:r w:rsidR="00B717CB">
        <w:t xml:space="preserve">As Norman has </w:t>
      </w:r>
      <w:r w:rsidR="00B717CB">
        <w:lastRenderedPageBreak/>
        <w:t xml:space="preserve">previously noted, it is questionable </w:t>
      </w:r>
      <w:r w:rsidR="00017E54">
        <w:t>“</w:t>
      </w:r>
      <w:r w:rsidR="00B717CB">
        <w:t>whether it is desirable to keep on conjuring up fiduciary relationships in this fashion.</w:t>
      </w:r>
      <w:r w:rsidR="00017E54">
        <w:t>”</w:t>
      </w:r>
      <w:r w:rsidR="00B717CB">
        <w:rPr>
          <w:rStyle w:val="FootnoteReference"/>
        </w:rPr>
        <w:footnoteReference w:id="173"/>
      </w:r>
      <w:r w:rsidR="00B717CB">
        <w:t xml:space="preserve"> </w:t>
      </w:r>
      <w:r w:rsidR="00E640A9">
        <w:t>Arguably,</w:t>
      </w:r>
      <w:r w:rsidR="00B717CB">
        <w:t xml:space="preserve"> t</w:t>
      </w:r>
      <w:r w:rsidR="00B717CB" w:rsidRPr="00753A3B">
        <w:t xml:space="preserve">he courts are merely paying </w:t>
      </w:r>
      <w:r w:rsidR="00A026C6">
        <w:t>‘</w:t>
      </w:r>
      <w:r w:rsidR="00B717CB" w:rsidRPr="00753A3B">
        <w:t>lip service</w:t>
      </w:r>
      <w:r w:rsidR="00A026C6">
        <w:t>’</w:t>
      </w:r>
      <w:r w:rsidR="00B717CB" w:rsidRPr="00753A3B">
        <w:t xml:space="preserve"> to the requirement of a fiduciary relationship, wh</w:t>
      </w:r>
      <w:r w:rsidR="00B717CB">
        <w:t>ich is misleading and is bound to</w:t>
      </w:r>
      <w:r w:rsidR="00B717CB" w:rsidRPr="00753A3B">
        <w:t xml:space="preserve"> lead to </w:t>
      </w:r>
      <w:r w:rsidR="00772553">
        <w:t>wider confusion about the ‘fiduciary</w:t>
      </w:r>
      <w:r w:rsidR="00B717CB" w:rsidRPr="00753A3B">
        <w:t>’</w:t>
      </w:r>
      <w:r w:rsidR="00772553">
        <w:t xml:space="preserve"> concept.</w:t>
      </w:r>
      <w:bookmarkStart w:id="40" w:name="_Ref358547402"/>
      <w:r w:rsidR="008C1E5A">
        <w:rPr>
          <w:rStyle w:val="FootnoteReference"/>
        </w:rPr>
        <w:footnoteReference w:id="174"/>
      </w:r>
      <w:bookmarkEnd w:id="40"/>
      <w:r w:rsidR="00B717CB" w:rsidRPr="00753A3B">
        <w:t xml:space="preserve"> </w:t>
      </w:r>
      <w:r w:rsidR="00E97499">
        <w:t xml:space="preserve">In the light of decisions such as </w:t>
      </w:r>
      <w:r w:rsidR="00E97499">
        <w:rPr>
          <w:i/>
        </w:rPr>
        <w:t>Kalamohan</w:t>
      </w:r>
      <w:r w:rsidR="00E97499">
        <w:t>, it</w:t>
      </w:r>
      <w:r w:rsidR="008C1E5A">
        <w:t xml:space="preserve"> must now be acknowledged</w:t>
      </w:r>
      <w:r w:rsidR="00B717CB">
        <w:t xml:space="preserve"> that one can trace money into mixtures even when there is no initial fiduciary relationship.</w:t>
      </w:r>
      <w:r w:rsidR="001617EC">
        <w:rPr>
          <w:rStyle w:val="FootnoteReference"/>
        </w:rPr>
        <w:footnoteReference w:id="175"/>
      </w:r>
      <w:r w:rsidR="00B717CB">
        <w:t xml:space="preserve"> This conclusion is not just reached on the basis of </w:t>
      </w:r>
      <w:r w:rsidR="00B717CB" w:rsidRPr="00753A3B">
        <w:rPr>
          <w:i/>
        </w:rPr>
        <w:t>Kalamohan</w:t>
      </w:r>
      <w:r w:rsidR="00B717CB">
        <w:rPr>
          <w:i/>
        </w:rPr>
        <w:t>.</w:t>
      </w:r>
      <w:bookmarkStart w:id="41" w:name="_Ref359330222"/>
      <w:r w:rsidR="00B717CB" w:rsidRPr="00753A3B">
        <w:rPr>
          <w:rStyle w:val="FootnoteReference"/>
        </w:rPr>
        <w:footnoteReference w:id="176"/>
      </w:r>
      <w:bookmarkEnd w:id="41"/>
      <w:r w:rsidR="00B717CB">
        <w:t xml:space="preserve"> Other</w:t>
      </w:r>
      <w:r w:rsidR="00772553">
        <w:t xml:space="preserve"> recent</w:t>
      </w:r>
      <w:r w:rsidR="00B717CB">
        <w:t xml:space="preserve"> </w:t>
      </w:r>
      <w:r w:rsidR="00B717CB" w:rsidRPr="00D55CF4">
        <w:t xml:space="preserve">examples </w:t>
      </w:r>
      <w:r w:rsidR="00772553">
        <w:t>include</w:t>
      </w:r>
      <w:r w:rsidR="003F2913">
        <w:rPr>
          <w:iCs/>
        </w:rPr>
        <w:t xml:space="preserve"> </w:t>
      </w:r>
      <w:r w:rsidR="00B717CB" w:rsidRPr="00D64114">
        <w:rPr>
          <w:i/>
        </w:rPr>
        <w:t xml:space="preserve">Commerzbank AG v IMB Morgan </w:t>
      </w:r>
      <w:r w:rsidR="007C26B2">
        <w:rPr>
          <w:i/>
        </w:rPr>
        <w:t>p</w:t>
      </w:r>
      <w:r w:rsidR="00B717CB" w:rsidRPr="00D64114">
        <w:rPr>
          <w:i/>
        </w:rPr>
        <w:t>lc</w:t>
      </w:r>
      <w:r w:rsidR="00B717CB">
        <w:t>,</w:t>
      </w:r>
      <w:r w:rsidR="00B717CB">
        <w:rPr>
          <w:rStyle w:val="FootnoteReference"/>
        </w:rPr>
        <w:footnoteReference w:id="177"/>
      </w:r>
      <w:r w:rsidR="00B717CB" w:rsidRPr="00D64114">
        <w:t xml:space="preserve"> </w:t>
      </w:r>
      <w:r w:rsidR="00B717CB" w:rsidRPr="00753A3B">
        <w:rPr>
          <w:rStyle w:val="hit"/>
          <w:i/>
        </w:rPr>
        <w:t>Getronics v Logistic &amp; Transport Consulting</w:t>
      </w:r>
      <w:r w:rsidR="00B717CB">
        <w:rPr>
          <w:rStyle w:val="hit"/>
        </w:rPr>
        <w:t>,</w:t>
      </w:r>
      <w:r w:rsidR="00B717CB" w:rsidRPr="00753A3B">
        <w:rPr>
          <w:rStyle w:val="FootnoteReference"/>
        </w:rPr>
        <w:footnoteReference w:id="178"/>
      </w:r>
      <w:r w:rsidR="00B717CB">
        <w:rPr>
          <w:rStyle w:val="hit"/>
        </w:rPr>
        <w:t xml:space="preserve"> </w:t>
      </w:r>
      <w:r w:rsidR="00B717CB">
        <w:t xml:space="preserve">and </w:t>
      </w:r>
      <w:r w:rsidR="00B717CB" w:rsidRPr="00753A3B">
        <w:rPr>
          <w:i/>
        </w:rPr>
        <w:t xml:space="preserve">Bank of Ireland v </w:t>
      </w:r>
      <w:r w:rsidR="00B717CB" w:rsidRPr="006B6940">
        <w:rPr>
          <w:i/>
        </w:rPr>
        <w:t>Pexxnet</w:t>
      </w:r>
      <w:r w:rsidR="00B717CB">
        <w:t>.</w:t>
      </w:r>
      <w:bookmarkStart w:id="42" w:name="_Ref358574039"/>
      <w:r w:rsidR="00B717CB" w:rsidRPr="00753A3B">
        <w:rPr>
          <w:rStyle w:val="FootnoteReference"/>
        </w:rPr>
        <w:footnoteReference w:id="179"/>
      </w:r>
      <w:bookmarkEnd w:id="42"/>
      <w:r w:rsidR="00B717CB">
        <w:t xml:space="preserve"> In each of these cases</w:t>
      </w:r>
      <w:r w:rsidR="00CC2A75">
        <w:t xml:space="preserve"> the claimant’s</w:t>
      </w:r>
      <w:r w:rsidR="00B717CB">
        <w:t xml:space="preserve"> </w:t>
      </w:r>
      <w:r w:rsidR="00CC2A75">
        <w:t>money could be traced</w:t>
      </w:r>
      <w:r w:rsidR="00B717CB">
        <w:t>, even in the absence of any initial fiduciary relationship and irrespective of any mixing that occurred.</w:t>
      </w:r>
      <w:bookmarkStart w:id="43" w:name="_Ref358583668"/>
      <w:r w:rsidR="008376C3">
        <w:rPr>
          <w:rStyle w:val="FootnoteReference"/>
        </w:rPr>
        <w:footnoteReference w:id="180"/>
      </w:r>
      <w:bookmarkEnd w:id="43"/>
      <w:r w:rsidR="00B717CB">
        <w:t xml:space="preserve"> </w:t>
      </w:r>
    </w:p>
    <w:p w:rsidR="00C32561" w:rsidRDefault="00C61B71" w:rsidP="009616A3">
      <w:pPr>
        <w:spacing w:line="360" w:lineRule="auto"/>
        <w:ind w:firstLine="720"/>
        <w:jc w:val="both"/>
      </w:pPr>
      <w:r>
        <w:t xml:space="preserve">It is not just in cases of </w:t>
      </w:r>
      <w:r w:rsidR="00BA39D2">
        <w:t>fraud</w:t>
      </w:r>
      <w:r>
        <w:t xml:space="preserve"> where we see the courts allowing </w:t>
      </w:r>
      <w:r w:rsidR="00A026C6">
        <w:t>claimants to trace through mixtures</w:t>
      </w:r>
      <w:r>
        <w:t xml:space="preserve">, regardless of whether there has been a breach of fiduciary duty. This is </w:t>
      </w:r>
      <w:r w:rsidR="00D55CF4">
        <w:t>worth noting</w:t>
      </w:r>
      <w:r>
        <w:t xml:space="preserve"> as Fox has argued that t</w:t>
      </w:r>
      <w:r w:rsidR="00F50F05">
        <w:t xml:space="preserve">racing will not be available for </w:t>
      </w:r>
      <w:r w:rsidR="00715ED3">
        <w:t>most mistaken payments as, according to Fox,</w:t>
      </w:r>
      <w:r>
        <w:t xml:space="preserve"> the money will only be traceable </w:t>
      </w:r>
      <w:r>
        <w:rPr>
          <w:i/>
        </w:rPr>
        <w:t>after</w:t>
      </w:r>
      <w:r>
        <w:t xml:space="preserve"> the recipient has knowledge.</w:t>
      </w:r>
      <w:bookmarkStart w:id="44" w:name="_Ref358457358"/>
      <w:r>
        <w:rPr>
          <w:rStyle w:val="FootnoteReference"/>
        </w:rPr>
        <w:footnoteReference w:id="181"/>
      </w:r>
      <w:bookmarkEnd w:id="44"/>
      <w:r w:rsidR="00D55CF4">
        <w:t xml:space="preserve"> </w:t>
      </w:r>
      <w:r w:rsidR="0066088A">
        <w:t>Applying this reasoning</w:t>
      </w:r>
      <w:r w:rsidR="00D55CF4">
        <w:t>, u</w:t>
      </w:r>
      <w:r>
        <w:t>nless the recipient is aware of the mistake from the outset, the claimant would not be able to trace the money if it is mixed before the recipient knows about the defect in transfer.</w:t>
      </w:r>
      <w:r w:rsidR="00135EED">
        <w:rPr>
          <w:rStyle w:val="FootnoteReference"/>
        </w:rPr>
        <w:footnoteReference w:id="182"/>
      </w:r>
      <w:r>
        <w:t xml:space="preserve"> If this is the correct interpretation of the case law</w:t>
      </w:r>
      <w:r w:rsidR="00A026C6">
        <w:t>,</w:t>
      </w:r>
      <w:r w:rsidR="00FE6E3D">
        <w:t xml:space="preserve"> it would mean that</w:t>
      </w:r>
      <w:r w:rsidR="00E97499">
        <w:t xml:space="preserve"> proprietary</w:t>
      </w:r>
      <w:r w:rsidR="00D55CF4">
        <w:t xml:space="preserve"> restitution c</w:t>
      </w:r>
      <w:r>
        <w:t xml:space="preserve">ould still arise in </w:t>
      </w:r>
      <w:r w:rsidR="00126600">
        <w:t xml:space="preserve">most </w:t>
      </w:r>
      <w:r>
        <w:t xml:space="preserve">cases of </w:t>
      </w:r>
      <w:r w:rsidR="00D51695">
        <w:t>fraudulently induced transfers but</w:t>
      </w:r>
      <w:r w:rsidR="00FE6E3D">
        <w:t xml:space="preserve"> </w:t>
      </w:r>
      <w:r w:rsidR="00E97499">
        <w:t>proprietary</w:t>
      </w:r>
      <w:r w:rsidR="00FE6E3D">
        <w:t xml:space="preserve"> restitution</w:t>
      </w:r>
      <w:r w:rsidR="00E82AC1">
        <w:t xml:space="preserve"> </w:t>
      </w:r>
      <w:r w:rsidR="00126600">
        <w:t xml:space="preserve">would rarely be available in </w:t>
      </w:r>
      <w:r w:rsidR="009D2452">
        <w:t xml:space="preserve">other </w:t>
      </w:r>
      <w:r w:rsidR="00126600">
        <w:t>cases of mistaken payments</w:t>
      </w:r>
      <w:r>
        <w:t xml:space="preserve">. </w:t>
      </w:r>
      <w:r>
        <w:lastRenderedPageBreak/>
        <w:t>How</w:t>
      </w:r>
      <w:r w:rsidR="006D71B5">
        <w:t>ever, this does not correlate with</w:t>
      </w:r>
      <w:r>
        <w:t xml:space="preserve"> </w:t>
      </w:r>
      <w:r>
        <w:rPr>
          <w:i/>
        </w:rPr>
        <w:t>Chase Manhattan</w:t>
      </w:r>
      <w:r w:rsidR="00F42685">
        <w:rPr>
          <w:i/>
        </w:rPr>
        <w:t xml:space="preserve"> </w:t>
      </w:r>
      <w:r w:rsidR="00F42685" w:rsidRPr="00F42685">
        <w:rPr>
          <w:i/>
          <w:iCs/>
        </w:rPr>
        <w:t>Bank NA v Israeli-British Bank (London) Ltd</w:t>
      </w:r>
      <w:r>
        <w:t>, or the more recent decision in</w:t>
      </w:r>
      <w:r w:rsidRPr="00470D28">
        <w:rPr>
          <w:rStyle w:val="hit"/>
          <w:i/>
        </w:rPr>
        <w:t xml:space="preserve"> </w:t>
      </w:r>
      <w:r w:rsidRPr="00753A3B">
        <w:rPr>
          <w:rStyle w:val="hit"/>
          <w:i/>
        </w:rPr>
        <w:t>Getronics v Logistic &amp; Transport Consulting</w:t>
      </w:r>
      <w:r>
        <w:rPr>
          <w:rStyle w:val="hit"/>
        </w:rPr>
        <w:t>.</w:t>
      </w:r>
      <w:r w:rsidRPr="00753A3B">
        <w:rPr>
          <w:rStyle w:val="FootnoteReference"/>
        </w:rPr>
        <w:footnoteReference w:id="183"/>
      </w:r>
      <w:r>
        <w:rPr>
          <w:rStyle w:val="hit"/>
        </w:rPr>
        <w:t xml:space="preserve"> </w:t>
      </w:r>
      <w:r w:rsidRPr="007C3016">
        <w:rPr>
          <w:rStyle w:val="hit"/>
        </w:rPr>
        <w:t xml:space="preserve">In </w:t>
      </w:r>
      <w:r w:rsidRPr="007C3016">
        <w:rPr>
          <w:rStyle w:val="hit"/>
          <w:i/>
        </w:rPr>
        <w:t>Getronics</w:t>
      </w:r>
      <w:r>
        <w:rPr>
          <w:rStyle w:val="hit"/>
        </w:rPr>
        <w:t xml:space="preserve">, there was some doubt whether the recipient </w:t>
      </w:r>
      <w:r w:rsidR="00E640A9">
        <w:rPr>
          <w:rStyle w:val="hit"/>
        </w:rPr>
        <w:t xml:space="preserve">had </w:t>
      </w:r>
      <w:r>
        <w:rPr>
          <w:rStyle w:val="hit"/>
        </w:rPr>
        <w:t xml:space="preserve">induced a mistaken payment, </w:t>
      </w:r>
      <w:r w:rsidR="00E72F17">
        <w:rPr>
          <w:rStyle w:val="hit"/>
        </w:rPr>
        <w:t xml:space="preserve">but </w:t>
      </w:r>
      <w:r>
        <w:t xml:space="preserve">Master Whittaker </w:t>
      </w:r>
      <w:r w:rsidR="00E72F17">
        <w:t xml:space="preserve">still </w:t>
      </w:r>
      <w:r>
        <w:t xml:space="preserve">proceeded on the basis that the recipient was unaware of the defect in transfer until </w:t>
      </w:r>
      <w:r w:rsidRPr="00D55CF4">
        <w:rPr>
          <w:i/>
        </w:rPr>
        <w:t>after</w:t>
      </w:r>
      <w:r>
        <w:t xml:space="preserve"> it had received the mistaken payment. </w:t>
      </w:r>
      <w:r w:rsidR="00E640A9">
        <w:t>N</w:t>
      </w:r>
      <w:r w:rsidR="00E72F17">
        <w:t>onetheless</w:t>
      </w:r>
      <w:r w:rsidR="00E640A9">
        <w:t>,</w:t>
      </w:r>
      <w:r>
        <w:t xml:space="preserve"> </w:t>
      </w:r>
      <w:r w:rsidR="00A026C6">
        <w:t>the money could still be traced through subsequent mixtures</w:t>
      </w:r>
      <w:r>
        <w:t>.</w:t>
      </w:r>
      <w:r w:rsidR="00506372">
        <w:rPr>
          <w:rStyle w:val="FootnoteReference"/>
        </w:rPr>
        <w:footnoteReference w:id="184"/>
      </w:r>
      <w:r w:rsidR="003F284F" w:rsidRPr="003F284F">
        <w:t xml:space="preserve"> </w:t>
      </w:r>
      <w:r w:rsidR="00A40BC0">
        <w:t xml:space="preserve">To explain the availability of tracing in cases like </w:t>
      </w:r>
      <w:r w:rsidR="00A40BC0">
        <w:rPr>
          <w:i/>
        </w:rPr>
        <w:t>Getronics</w:t>
      </w:r>
      <w:r w:rsidR="00A40BC0">
        <w:t>, it</w:t>
      </w:r>
      <w:r w:rsidR="003F284F">
        <w:t xml:space="preserve"> is important to keep in mind that in tracing the claimant is seeking to trace </w:t>
      </w:r>
      <w:r w:rsidR="00D2324C">
        <w:t>assets that</w:t>
      </w:r>
      <w:r w:rsidR="003F284F">
        <w:t xml:space="preserve"> are </w:t>
      </w:r>
      <w:r w:rsidR="00E14E1B">
        <w:t>“</w:t>
      </w:r>
      <w:r w:rsidR="003F284F">
        <w:t>causally and transactionally</w:t>
      </w:r>
      <w:r w:rsidR="00E14E1B">
        <w:t>”</w:t>
      </w:r>
      <w:r w:rsidR="003F284F">
        <w:t xml:space="preserve"> linked to their original property.</w:t>
      </w:r>
      <w:r w:rsidR="003F284F">
        <w:rPr>
          <w:rStyle w:val="FootnoteReference"/>
        </w:rPr>
        <w:footnoteReference w:id="185"/>
      </w:r>
      <w:r w:rsidR="003F284F">
        <w:t xml:space="preserve"> That </w:t>
      </w:r>
      <w:r w:rsidR="006F13BF">
        <w:t xml:space="preserve">process </w:t>
      </w:r>
      <w:r w:rsidR="003F284F">
        <w:t xml:space="preserve">is not made impossible merely because the </w:t>
      </w:r>
      <w:r w:rsidR="00D15C30">
        <w:t xml:space="preserve">initial </w:t>
      </w:r>
      <w:r w:rsidR="003F284F">
        <w:t xml:space="preserve">proprietary interest of the claimant comes to an end upon receipt. </w:t>
      </w:r>
      <w:r w:rsidR="00D2324C">
        <w:t xml:space="preserve">There are two issues here; identifying the property in question, which is achievable through tracing, and then asserting a proprietary right under a constructive trust, which is established through a proprietary claim. </w:t>
      </w:r>
      <w:r w:rsidR="003F284F">
        <w:t xml:space="preserve">To put the argument another way, if A makes a gift of £100 to B, who then mixes the money with other funds in B’s bank account, the usual response is that A cannot trace the money. But, if </w:t>
      </w:r>
      <w:r w:rsidR="003F284F">
        <w:rPr>
          <w:i/>
        </w:rPr>
        <w:t xml:space="preserve">Foskett v McKeown </w:t>
      </w:r>
      <w:r w:rsidR="003F284F">
        <w:t>is correct, and the tracing rules are rules of evidence, that is not the appropriate way of analysing the situation.</w:t>
      </w:r>
      <w:r w:rsidR="004D7628">
        <w:rPr>
          <w:rStyle w:val="FootnoteReference"/>
        </w:rPr>
        <w:footnoteReference w:id="186"/>
      </w:r>
      <w:r w:rsidR="003F284F">
        <w:t xml:space="preserve"> The </w:t>
      </w:r>
      <w:r w:rsidR="00D2324C">
        <w:t xml:space="preserve">more </w:t>
      </w:r>
      <w:r w:rsidR="00DD43D4">
        <w:t>appropriate</w:t>
      </w:r>
      <w:r w:rsidR="00D2324C">
        <w:t xml:space="preserve"> </w:t>
      </w:r>
      <w:r w:rsidR="003F284F">
        <w:t>analysis is that A can trace, but that would ultimately prove to be pointless. As Sheehan has explained, “[t]racing is linked to no particular cause of action. Indeed we can trace even if we have no cause of action.”</w:t>
      </w:r>
      <w:r w:rsidR="003F284F">
        <w:rPr>
          <w:rStyle w:val="FootnoteReference"/>
        </w:rPr>
        <w:footnoteReference w:id="187"/>
      </w:r>
      <w:r w:rsidR="003F284F">
        <w:t xml:space="preserve"> </w:t>
      </w:r>
      <w:r w:rsidR="00A15251">
        <w:t xml:space="preserve">This is further evidenced by the fact that the courts are prepared to trace mistaken payments even in cases where it has not been fully established that the claimant does in fact have </w:t>
      </w:r>
      <w:r w:rsidR="006149C4">
        <w:t>a</w:t>
      </w:r>
      <w:r w:rsidR="00A15251">
        <w:t xml:space="preserve"> proprietary right to </w:t>
      </w:r>
      <w:r w:rsidR="006149C4">
        <w:t xml:space="preserve">recover </w:t>
      </w:r>
      <w:r w:rsidR="00A15251">
        <w:t>the money.</w:t>
      </w:r>
      <w:r w:rsidR="00A15251">
        <w:rPr>
          <w:rStyle w:val="FootnoteReference"/>
        </w:rPr>
        <w:footnoteReference w:id="188"/>
      </w:r>
      <w:r w:rsidR="00A15251">
        <w:t xml:space="preserve"> Therefore,</w:t>
      </w:r>
      <w:r w:rsidR="003F284F">
        <w:t xml:space="preserve"> it is more appropriate to separate questions of tracing from questions of whether the claimant actually does have a proprietary interest. To do otherwise would be to conflate the evidentiary p</w:t>
      </w:r>
      <w:r w:rsidR="0098435E">
        <w:t>rocess with the cause of action.</w:t>
      </w:r>
      <w:r w:rsidR="0098435E">
        <w:rPr>
          <w:rStyle w:val="FootnoteReference"/>
        </w:rPr>
        <w:footnoteReference w:id="189"/>
      </w:r>
      <w:r w:rsidR="007633EA">
        <w:t xml:space="preserve"> </w:t>
      </w:r>
      <w:r w:rsidR="006104B7">
        <w:t>Moreover, i</w:t>
      </w:r>
      <w:r w:rsidR="00353579">
        <w:t xml:space="preserve">n a mistaken payment, the claimant at least has an initial </w:t>
      </w:r>
      <w:r w:rsidR="00016BE0">
        <w:t>interest in the money</w:t>
      </w:r>
      <w:r w:rsidR="00353579">
        <w:t xml:space="preserve"> </w:t>
      </w:r>
      <w:r w:rsidR="00016BE0">
        <w:t>before payment. Although the claimant’s original title to the mistaken payment ends at the point of the transfer, the</w:t>
      </w:r>
      <w:r w:rsidR="00EC6DBE">
        <w:t xml:space="preserve">re is at least a point in time where there is an identifiable sum of money from which the tracing </w:t>
      </w:r>
      <w:r w:rsidR="00EC6DBE">
        <w:lastRenderedPageBreak/>
        <w:t>process can begin</w:t>
      </w:r>
      <w:r w:rsidR="00016BE0">
        <w:t>.</w:t>
      </w:r>
      <w:r w:rsidR="008D519F">
        <w:rPr>
          <w:rStyle w:val="FootnoteReference"/>
        </w:rPr>
        <w:footnoteReference w:id="190"/>
      </w:r>
      <w:r w:rsidR="00EC6DBE">
        <w:t xml:space="preserve"> </w:t>
      </w:r>
      <w:r w:rsidR="009D6C04">
        <w:t>T</w:t>
      </w:r>
      <w:r w:rsidR="00847A88">
        <w:t>he ability to trace th</w:t>
      </w:r>
      <w:r w:rsidR="009D6C04">
        <w:t>is</w:t>
      </w:r>
      <w:r w:rsidR="00847A88">
        <w:t xml:space="preserve"> money does not become impossible</w:t>
      </w:r>
      <w:r w:rsidR="006104B7">
        <w:t xml:space="preserve"> so long as we have a starting point where we can identify a</w:t>
      </w:r>
      <w:r w:rsidR="00215A88">
        <w:t>n initial</w:t>
      </w:r>
      <w:r w:rsidR="006104B7">
        <w:t xml:space="preserve"> fund that we are seeking to trace</w:t>
      </w:r>
      <w:r w:rsidR="00847A88">
        <w:t xml:space="preserve">. </w:t>
      </w:r>
      <w:r w:rsidR="0000186A">
        <w:t>S</w:t>
      </w:r>
      <w:r w:rsidR="009616A3">
        <w:t>upport</w:t>
      </w:r>
      <w:r w:rsidR="0000186A">
        <w:t xml:space="preserve"> for this analysis</w:t>
      </w:r>
      <w:r w:rsidR="009616A3">
        <w:t xml:space="preserve"> </w:t>
      </w:r>
      <w:r w:rsidR="00A40BC0">
        <w:t xml:space="preserve">can be found in </w:t>
      </w:r>
      <w:r w:rsidR="00CA4D16">
        <w:rPr>
          <w:i/>
        </w:rPr>
        <w:t>El Ajou</w:t>
      </w:r>
      <w:r w:rsidR="00434294">
        <w:t>,</w:t>
      </w:r>
      <w:r w:rsidR="00CA4D16">
        <w:t xml:space="preserve"> which</w:t>
      </w:r>
      <w:r w:rsidR="00CA4D16">
        <w:rPr>
          <w:i/>
        </w:rPr>
        <w:t xml:space="preserve"> </w:t>
      </w:r>
      <w:r w:rsidR="00CA4D16">
        <w:t>concerned the tracing of money paid through accounts in jurisdictions that do not recognise the trust concept.</w:t>
      </w:r>
      <w:r w:rsidR="002720C0">
        <w:rPr>
          <w:rStyle w:val="FootnoteReference"/>
        </w:rPr>
        <w:footnoteReference w:id="191"/>
      </w:r>
      <w:r w:rsidR="00CA4D16">
        <w:t xml:space="preserve"> Although Millett J. rejected the relevance of </w:t>
      </w:r>
      <w:r w:rsidR="001D18E2">
        <w:t>the location of the accounts</w:t>
      </w:r>
      <w:r w:rsidR="00CA4D16">
        <w:t>, h</w:t>
      </w:r>
      <w:r w:rsidR="00896F1B">
        <w:t>is judgment indicated that tracing would not be defeated even where the claimant could not assert an equitable charge over each account that the money passed through.</w:t>
      </w:r>
      <w:r w:rsidR="00CA4D16">
        <w:t xml:space="preserve"> To quote Millett J.; </w:t>
      </w:r>
      <w:r w:rsidR="00E14E1B">
        <w:t>“</w:t>
      </w:r>
      <w:r w:rsidR="00CA4D16">
        <w:t>[a]n English court of equity will compel a defendant … to treat assets in his hands as trust assets if, having regard to their history and his state of knowledge, it would be unconscionable for him to treat them as his own.</w:t>
      </w:r>
      <w:r w:rsidR="00E14E1B">
        <w:t>”</w:t>
      </w:r>
      <w:r w:rsidR="00CA4D16">
        <w:rPr>
          <w:rStyle w:val="FootnoteReference"/>
        </w:rPr>
        <w:footnoteReference w:id="192"/>
      </w:r>
      <w:r w:rsidR="00CA4D16">
        <w:t xml:space="preserve"> </w:t>
      </w:r>
      <w:r w:rsidR="009A0671">
        <w:t>So long as there is a fund in the hands of the recipient that is ‘causally and transactionally’ linked to the original mistaken payment, then the claimant should not be denied the benefit of proprietary restitution where there has been a breach of the recipient’s duty.</w:t>
      </w:r>
      <w:r w:rsidR="006104B7">
        <w:t xml:space="preserve"> </w:t>
      </w:r>
    </w:p>
    <w:bookmarkEnd w:id="36"/>
    <w:bookmarkEnd w:id="37"/>
    <w:p w:rsidR="00546BEF" w:rsidRDefault="00546BEF">
      <w:pPr>
        <w:spacing w:line="360" w:lineRule="auto"/>
        <w:ind w:firstLine="720"/>
        <w:jc w:val="both"/>
      </w:pPr>
    </w:p>
    <w:p w:rsidR="00D71B6A" w:rsidRPr="00AC23D5" w:rsidRDefault="00D21266" w:rsidP="00C937DB">
      <w:pPr>
        <w:spacing w:line="360" w:lineRule="auto"/>
        <w:jc w:val="center"/>
        <w:rPr>
          <w:b/>
          <w:i/>
          <w:sz w:val="26"/>
          <w:szCs w:val="26"/>
        </w:rPr>
      </w:pPr>
      <w:r>
        <w:rPr>
          <w:i/>
        </w:rPr>
        <w:t>B</w:t>
      </w:r>
      <w:r w:rsidR="00D71B6A" w:rsidRPr="00126600">
        <w:rPr>
          <w:i/>
        </w:rPr>
        <w:t>.</w:t>
      </w:r>
      <w:r w:rsidR="00D71B6A" w:rsidRPr="00AC23D5">
        <w:rPr>
          <w:b/>
          <w:i/>
        </w:rPr>
        <w:t xml:space="preserve"> </w:t>
      </w:r>
      <w:r w:rsidR="00D71B6A" w:rsidRPr="00AC23D5">
        <w:rPr>
          <w:rStyle w:val="header2Char"/>
          <w:b w:val="0"/>
          <w:i/>
        </w:rPr>
        <w:t xml:space="preserve">Defences and Personal Claims Arising from </w:t>
      </w:r>
      <w:r w:rsidR="00CC1560" w:rsidRPr="00AC23D5">
        <w:rPr>
          <w:rStyle w:val="header2Char"/>
          <w:b w:val="0"/>
          <w:i/>
        </w:rPr>
        <w:t>Proprietary</w:t>
      </w:r>
      <w:r w:rsidR="00D71B6A" w:rsidRPr="00AC23D5">
        <w:rPr>
          <w:rStyle w:val="header2Char"/>
          <w:b w:val="0"/>
          <w:i/>
        </w:rPr>
        <w:t xml:space="preserve"> Restitution</w:t>
      </w:r>
    </w:p>
    <w:p w:rsidR="00D71B6A" w:rsidRDefault="00D71B6A" w:rsidP="00C937DB">
      <w:pPr>
        <w:spacing w:line="360" w:lineRule="auto"/>
        <w:jc w:val="both"/>
      </w:pPr>
    </w:p>
    <w:p w:rsidR="00D71B6A" w:rsidRDefault="00D71B6A" w:rsidP="00C937DB">
      <w:pPr>
        <w:spacing w:line="360" w:lineRule="auto"/>
        <w:jc w:val="both"/>
        <w:rPr>
          <w:rStyle w:val="header2Char"/>
          <w:i/>
          <w:szCs w:val="24"/>
        </w:rPr>
      </w:pPr>
      <w:r>
        <w:t xml:space="preserve">The final issues that remain to be clarified are, firstly, the relevant defences to a claim for proprietary restitution and, secondly, the nature of any personal claim that arises as an alternative to proprietary restitution. </w:t>
      </w:r>
      <w:r w:rsidRPr="00DA67AC">
        <w:t>In relation to the first point, when talking about a</w:t>
      </w:r>
      <w:r w:rsidR="00C32561">
        <w:t xml:space="preserve">n initially innocent </w:t>
      </w:r>
      <w:r w:rsidRPr="00DA67AC">
        <w:t>recipient</w:t>
      </w:r>
      <w:r w:rsidR="003C56EA" w:rsidRPr="00DA67AC">
        <w:t xml:space="preserve"> who </w:t>
      </w:r>
      <w:r w:rsidR="00C32561">
        <w:t>subsequently obtains</w:t>
      </w:r>
      <w:r w:rsidR="00C32561" w:rsidRPr="00DA67AC">
        <w:t xml:space="preserve"> </w:t>
      </w:r>
      <w:r w:rsidR="003C56EA" w:rsidRPr="00DA67AC">
        <w:t>knowledge and</w:t>
      </w:r>
      <w:r w:rsidR="009D7D57" w:rsidRPr="00DA67AC">
        <w:t xml:space="preserve"> </w:t>
      </w:r>
      <w:r w:rsidR="00B33859" w:rsidRPr="00DA67AC">
        <w:t>who has acted with wilful misconduct</w:t>
      </w:r>
      <w:r w:rsidR="003C56EA" w:rsidRPr="00DA67AC">
        <w:t xml:space="preserve">, </w:t>
      </w:r>
      <w:r w:rsidRPr="00DA67AC">
        <w:t>there is no need for any separate defences to proprietary restitution because sufficient protection is already ‘built-in’ (so to speak) in th</w:t>
      </w:r>
      <w:r w:rsidR="001A0528" w:rsidRPr="00DA67AC">
        <w:t xml:space="preserve">e requirements of knowledge and </w:t>
      </w:r>
      <w:r w:rsidR="00B33859" w:rsidRPr="00DA67AC">
        <w:t>wilful misconduct</w:t>
      </w:r>
      <w:r w:rsidRPr="00DA67AC">
        <w:t>.</w:t>
      </w:r>
      <w:r w:rsidRPr="006972B5">
        <w:t xml:space="preserve"> </w:t>
      </w:r>
      <w:r w:rsidR="001D18E2">
        <w:t>Moreover, u</w:t>
      </w:r>
      <w:r w:rsidR="00A40BC0">
        <w:t xml:space="preserve">nder the approach here, proprietary restitution requires the availability of a pre-existing right to restitution under unjust enrichment, so if the money is transferred to </w:t>
      </w:r>
      <w:r w:rsidR="00054CA0">
        <w:t xml:space="preserve">a </w:t>
      </w:r>
      <w:r w:rsidR="00A40BC0">
        <w:t>second innocent recipient before proprietary restitution arises, then the claimant</w:t>
      </w:r>
      <w:r w:rsidR="001D18E2">
        <w:t xml:space="preserve"> will</w:t>
      </w:r>
      <w:r w:rsidR="00A40BC0">
        <w:t xml:space="preserve"> </w:t>
      </w:r>
      <w:r w:rsidR="007553BD">
        <w:t>normally be restricted to a personal claim for restitution against the initial recipient</w:t>
      </w:r>
      <w:r w:rsidR="00A40BC0">
        <w:t>.</w:t>
      </w:r>
      <w:r w:rsidR="00A40BC0">
        <w:rPr>
          <w:rStyle w:val="FootnoteReference"/>
        </w:rPr>
        <w:footnoteReference w:id="193"/>
      </w:r>
      <w:r w:rsidR="00A40BC0">
        <w:t xml:space="preserve"> </w:t>
      </w:r>
      <w:r w:rsidRPr="006972B5">
        <w:t xml:space="preserve">The only uncertainty is what happens with innocent recipients who </w:t>
      </w:r>
      <w:r w:rsidR="00262F70">
        <w:t xml:space="preserve">subsequently </w:t>
      </w:r>
      <w:r w:rsidRPr="006972B5">
        <w:t xml:space="preserve">receive the traceable proceeds after </w:t>
      </w:r>
      <w:r>
        <w:t>proprietary</w:t>
      </w:r>
      <w:r w:rsidRPr="006972B5">
        <w:t xml:space="preserve"> restitution arises.</w:t>
      </w:r>
      <w:r w:rsidR="00250EA8">
        <w:t xml:space="preserve"> To clarify, once the duty is </w:t>
      </w:r>
      <w:r w:rsidR="00250EA8">
        <w:lastRenderedPageBreak/>
        <w:t>breached and proprietary restitution arises, the fund is no different to any other form of trust and can be followed and traced into the hands of subsequent recipients.</w:t>
      </w:r>
      <w:r w:rsidR="001E1DB7" w:rsidRPr="006972B5">
        <w:t xml:space="preserve"> </w:t>
      </w:r>
      <w:r w:rsidR="001E1DB7">
        <w:t xml:space="preserve">If the </w:t>
      </w:r>
      <w:r w:rsidR="000D08DA">
        <w:t xml:space="preserve">continued existence of the </w:t>
      </w:r>
      <w:r w:rsidR="001E1DB7">
        <w:t xml:space="preserve">proprietary claim was restricted to cases where the fund is still in the hands of a wrongdoer, it would only serve to </w:t>
      </w:r>
      <w:r w:rsidR="000D08DA">
        <w:t>repeat</w:t>
      </w:r>
      <w:r w:rsidR="009A0671">
        <w:t xml:space="preserve"> the complications </w:t>
      </w:r>
      <w:r w:rsidR="000D08DA">
        <w:t>created by</w:t>
      </w:r>
      <w:r w:rsidR="009A0671">
        <w:t xml:space="preserve"> </w:t>
      </w:r>
      <w:r w:rsidR="000D08DA">
        <w:t>the ‘mere equity’ analysis</w:t>
      </w:r>
      <w:r w:rsidR="001E1DB7">
        <w:t xml:space="preserve">. </w:t>
      </w:r>
      <w:r w:rsidR="00C10756">
        <w:t xml:space="preserve">Furthermore, from a practical perspective, in most cases the reason why the money has been transferred to a </w:t>
      </w:r>
      <w:r w:rsidR="00A15251">
        <w:t>subsequent recipient</w:t>
      </w:r>
      <w:r w:rsidR="00C10756">
        <w:t xml:space="preserve"> is inextricably linked with the deliberate breach of duty that has justified the imposition of the trust in the first place.</w:t>
      </w:r>
      <w:r w:rsidR="00C10756">
        <w:rPr>
          <w:rStyle w:val="FootnoteReference"/>
        </w:rPr>
        <w:footnoteReference w:id="194"/>
      </w:r>
      <w:r w:rsidR="00C10756">
        <w:t xml:space="preserve"> </w:t>
      </w:r>
      <w:r w:rsidR="00DB35FA">
        <w:t>In</w:t>
      </w:r>
      <w:r w:rsidR="00E21537">
        <w:t xml:space="preserve"> complicated cases of fraud, where the money is transferred between multiple accounts, it would be too onerous to require a claimant to demonstrate that each recipient had the requisite knowledge and had act</w:t>
      </w:r>
      <w:r w:rsidR="00DE5CC7">
        <w:t>ed</w:t>
      </w:r>
      <w:r w:rsidR="00E21537">
        <w:t xml:space="preserve"> with wilful misconduct. </w:t>
      </w:r>
      <w:r w:rsidR="00971088">
        <w:t xml:space="preserve">In light of this, the most appropriate means of buffering the impact on third party recipients is to ensure that innocent recipients are provided with sufficient defences. </w:t>
      </w:r>
      <w:r w:rsidRPr="006972B5">
        <w:t xml:space="preserve">In regards to innocent recipients, the claim for </w:t>
      </w:r>
      <w:r>
        <w:t xml:space="preserve">proprietary </w:t>
      </w:r>
      <w:r w:rsidRPr="006972B5">
        <w:t>restitution can be defeated by a good faith purchaser.</w:t>
      </w:r>
      <w:r>
        <w:rPr>
          <w:rStyle w:val="FootnoteReference"/>
        </w:rPr>
        <w:footnoteReference w:id="195"/>
      </w:r>
      <w:r>
        <w:rPr>
          <w:rStyle w:val="header2Char"/>
          <w:i/>
          <w:szCs w:val="24"/>
        </w:rPr>
        <w:t xml:space="preserve"> </w:t>
      </w:r>
      <w:r w:rsidRPr="006972B5">
        <w:t xml:space="preserve">It also seems that change of position </w:t>
      </w:r>
      <w:r w:rsidR="008220A3">
        <w:t xml:space="preserve">may </w:t>
      </w:r>
      <w:r w:rsidRPr="006972B5">
        <w:t>also be available to a party who relies on the payment in good faith,</w:t>
      </w:r>
      <w:bookmarkStart w:id="45" w:name="_Ref359262294"/>
      <w:r>
        <w:rPr>
          <w:rStyle w:val="FootnoteReference"/>
        </w:rPr>
        <w:footnoteReference w:id="196"/>
      </w:r>
      <w:bookmarkEnd w:id="45"/>
      <w:r>
        <w:rPr>
          <w:rStyle w:val="header2Char"/>
          <w:i/>
          <w:szCs w:val="24"/>
        </w:rPr>
        <w:t xml:space="preserve"> </w:t>
      </w:r>
      <w:r w:rsidRPr="006972B5">
        <w:t>although th</w:t>
      </w:r>
      <w:r w:rsidR="0066088A">
        <w:t>ere is some doubt about this</w:t>
      </w:r>
      <w:r w:rsidRPr="006972B5">
        <w:t>.</w:t>
      </w:r>
      <w:r>
        <w:rPr>
          <w:rStyle w:val="FootnoteReference"/>
        </w:rPr>
        <w:footnoteReference w:id="197"/>
      </w:r>
      <w:r w:rsidR="00703923">
        <w:t xml:space="preserve"> As the operation of proprietary restitution in the context of </w:t>
      </w:r>
      <w:r w:rsidR="00462E4D">
        <w:t>mistaken</w:t>
      </w:r>
      <w:r w:rsidR="00703923">
        <w:t xml:space="preserve"> transfers depends on wrongdoing, it would be preferable to make the change of position defence available</w:t>
      </w:r>
      <w:r w:rsidR="00DB1266">
        <w:t xml:space="preserve"> to innocent recipients</w:t>
      </w:r>
      <w:r w:rsidR="00703923">
        <w:t xml:space="preserve"> in addition to the defence of purchasing in good faith. This would limit the impact of proprietary restitution on innocent reci</w:t>
      </w:r>
      <w:r w:rsidR="000C302B">
        <w:t xml:space="preserve">pients and </w:t>
      </w:r>
      <w:r w:rsidR="00703923">
        <w:t>creditors.</w:t>
      </w:r>
    </w:p>
    <w:p w:rsidR="00D71B6A" w:rsidRDefault="00D71B6A" w:rsidP="00C937DB">
      <w:pPr>
        <w:spacing w:line="360" w:lineRule="auto"/>
        <w:ind w:firstLine="720"/>
        <w:jc w:val="both"/>
      </w:pPr>
      <w:r>
        <w:t xml:space="preserve">In relation to the second issue, it is evident that proprietary restitution does not preclude a personal claim as an alternative, </w:t>
      </w:r>
      <w:r w:rsidR="008220A3">
        <w:t>as demonstrated by the decision</w:t>
      </w:r>
      <w:r>
        <w:t xml:space="preserve"> in </w:t>
      </w:r>
      <w:r w:rsidRPr="006972B5">
        <w:rPr>
          <w:i/>
        </w:rPr>
        <w:t>Jones v Churcher</w:t>
      </w:r>
      <w:r w:rsidRPr="006972B5">
        <w:t>.</w:t>
      </w:r>
      <w:r>
        <w:rPr>
          <w:rStyle w:val="FootnoteReference"/>
        </w:rPr>
        <w:footnoteReference w:id="198"/>
      </w:r>
      <w:r w:rsidR="00CC4FF0">
        <w:t xml:space="preserve"> </w:t>
      </w:r>
      <w:r w:rsidR="00113F83">
        <w:t>It is also apparent that</w:t>
      </w:r>
      <w:r w:rsidR="00CC4FF0">
        <w:t xml:space="preserve"> personal claims in this context</w:t>
      </w:r>
      <w:r>
        <w:t xml:space="preserve"> </w:t>
      </w:r>
      <w:r w:rsidR="008220A3">
        <w:t>could be framed</w:t>
      </w:r>
      <w:r w:rsidR="00CC4FF0">
        <w:t xml:space="preserve"> </w:t>
      </w:r>
      <w:r>
        <w:t>using the language of both ‘knowing receipt’ and ‘unjust enrichment’.</w:t>
      </w:r>
      <w:r>
        <w:rPr>
          <w:rStyle w:val="FootnoteReference"/>
        </w:rPr>
        <w:footnoteReference w:id="199"/>
      </w:r>
      <w:r w:rsidRPr="00AB77D3">
        <w:rPr>
          <w:rStyle w:val="Heading2Char"/>
          <w:i/>
          <w:u w:val="none"/>
        </w:rPr>
        <w:t xml:space="preserve"> </w:t>
      </w:r>
      <w:r w:rsidRPr="006972B5">
        <w:t>In most scenarios</w:t>
      </w:r>
      <w:r>
        <w:t>,</w:t>
      </w:r>
      <w:r w:rsidRPr="006972B5">
        <w:t xml:space="preserve"> the language used makes </w:t>
      </w:r>
      <w:r w:rsidR="00703923">
        <w:t>little</w:t>
      </w:r>
      <w:r w:rsidRPr="006972B5">
        <w:t xml:space="preserve"> difference to the outcome of the case. </w:t>
      </w:r>
      <w:r>
        <w:t>T</w:t>
      </w:r>
      <w:r w:rsidRPr="006972B5">
        <w:t>he requirem</w:t>
      </w:r>
      <w:r>
        <w:t>ents of knowing receipt are</w:t>
      </w:r>
      <w:r w:rsidRPr="006972B5">
        <w:t xml:space="preserve"> satisfied </w:t>
      </w:r>
      <w:r w:rsidR="0083629D">
        <w:t>by the ‘unconscionable’ receipt of a third party</w:t>
      </w:r>
      <w:r>
        <w:t xml:space="preserve">, which </w:t>
      </w:r>
      <w:r w:rsidRPr="006972B5">
        <w:t xml:space="preserve">would also </w:t>
      </w:r>
      <w:r w:rsidR="000D08DA">
        <w:t xml:space="preserve">normally </w:t>
      </w:r>
      <w:r w:rsidRPr="006972B5">
        <w:t xml:space="preserve">preclude the </w:t>
      </w:r>
      <w:r w:rsidR="00AB5654">
        <w:t xml:space="preserve">availability of the </w:t>
      </w:r>
      <w:r w:rsidRPr="006972B5">
        <w:t>change of position defence</w:t>
      </w:r>
      <w:r w:rsidR="00AB5654">
        <w:t xml:space="preserve"> for the purposes of a claim in unjust enrichment</w:t>
      </w:r>
      <w:r w:rsidRPr="006972B5">
        <w:t>.</w:t>
      </w:r>
      <w:r>
        <w:rPr>
          <w:rStyle w:val="FootnoteReference"/>
        </w:rPr>
        <w:footnoteReference w:id="200"/>
      </w:r>
      <w:r>
        <w:t xml:space="preserve"> The main relevance of the terminology is whether an innocent </w:t>
      </w:r>
      <w:r w:rsidR="0083629D">
        <w:lastRenderedPageBreak/>
        <w:t xml:space="preserve">third party </w:t>
      </w:r>
      <w:r>
        <w:t xml:space="preserve">recipient </w:t>
      </w:r>
      <w:r w:rsidR="0083629D">
        <w:t>of the fund after proprietary restitution has been triggered</w:t>
      </w:r>
      <w:r>
        <w:t xml:space="preserve"> would be liable where they no longer retain the traceable proceeds of the claimant’s money, but are nonetheless still enriched. In the one case where this was relevant, the court seems to have taken the view that there was no claim on the basis of continuing enrichment. </w:t>
      </w:r>
      <w:r w:rsidRPr="00786688">
        <w:t xml:space="preserve">In </w:t>
      </w:r>
      <w:r w:rsidRPr="00786688">
        <w:rPr>
          <w:i/>
        </w:rPr>
        <w:t>Bank of America v Arnell</w:t>
      </w:r>
      <w:r>
        <w:t>,</w:t>
      </w:r>
      <w:r w:rsidRPr="00786688">
        <w:rPr>
          <w:rStyle w:val="FootnoteReference"/>
        </w:rPr>
        <w:footnoteReference w:id="201"/>
      </w:r>
      <w:r w:rsidRPr="00786688">
        <w:t xml:space="preserve"> money had been transferred under a counterfeit cheque to </w:t>
      </w:r>
      <w:r w:rsidR="00AB5654">
        <w:t xml:space="preserve">the account of a company owned by the first defendant, who then transferred this money to his personal account. The first defendant then sent the money to the account of the fourth </w:t>
      </w:r>
      <w:r w:rsidR="00D51695">
        <w:t>defendant</w:t>
      </w:r>
      <w:r w:rsidR="00AB5654">
        <w:t>,</w:t>
      </w:r>
      <w:r>
        <w:t xml:space="preserve"> </w:t>
      </w:r>
      <w:r w:rsidR="00DB1266">
        <w:t xml:space="preserve">who </w:t>
      </w:r>
      <w:r w:rsidR="00AB5654">
        <w:t xml:space="preserve">had innocently received the money. The fourth defendant </w:t>
      </w:r>
      <w:r w:rsidR="00DB1266">
        <w:t>initially retained £750 but then</w:t>
      </w:r>
      <w:r>
        <w:t xml:space="preserve"> spent </w:t>
      </w:r>
      <w:r w:rsidR="00DB1266">
        <w:t xml:space="preserve">this money </w:t>
      </w:r>
      <w:r>
        <w:t>on general expenses</w:t>
      </w:r>
      <w:r w:rsidRPr="00786688">
        <w:t>.</w:t>
      </w:r>
      <w:r>
        <w:t xml:space="preserve"> Therefore, she would not have </w:t>
      </w:r>
      <w:r w:rsidR="00002ABF">
        <w:t xml:space="preserve">had </w:t>
      </w:r>
      <w:r>
        <w:t xml:space="preserve">any personal liability under knowing receipt, but she </w:t>
      </w:r>
      <w:r w:rsidR="00356C75">
        <w:t>w</w:t>
      </w:r>
      <w:r>
        <w:t xml:space="preserve">ould </w:t>
      </w:r>
      <w:r w:rsidR="00356C75">
        <w:t xml:space="preserve">have </w:t>
      </w:r>
      <w:r>
        <w:t>be</w:t>
      </w:r>
      <w:r w:rsidR="00356C75">
        <w:t>en</w:t>
      </w:r>
      <w:r>
        <w:t xml:space="preserve"> liable under unjust enrichment as an ordinary expenditure</w:t>
      </w:r>
      <w:r w:rsidR="000C302B">
        <w:t>, such as this,</w:t>
      </w:r>
      <w:r>
        <w:t xml:space="preserve"> would not constitute a change of position.</w:t>
      </w:r>
      <w:r>
        <w:rPr>
          <w:rStyle w:val="FootnoteReference"/>
        </w:rPr>
        <w:footnoteReference w:id="202"/>
      </w:r>
      <w:r>
        <w:t xml:space="preserve"> Despite her continuing enrichment, no order was made for her to pay the claimant £750. </w:t>
      </w:r>
      <w:r w:rsidR="00703923">
        <w:t xml:space="preserve">Again, since the operation of proprietary restitution in the context of </w:t>
      </w:r>
      <w:r w:rsidR="00462E4D">
        <w:t>mistaken</w:t>
      </w:r>
      <w:r w:rsidR="00703923">
        <w:t xml:space="preserve"> transfers is </w:t>
      </w:r>
      <w:r w:rsidR="00D51695">
        <w:t xml:space="preserve">primarily </w:t>
      </w:r>
      <w:r w:rsidR="00703923">
        <w:t xml:space="preserve">concerned with preventing wrongdoing, it is preferable to adopt the position that buffers the impact on innocent parties. Therefore, as </w:t>
      </w:r>
      <w:r w:rsidR="00703923">
        <w:rPr>
          <w:i/>
        </w:rPr>
        <w:t>Arnell</w:t>
      </w:r>
      <w:r w:rsidR="000C302B">
        <w:rPr>
          <w:i/>
        </w:rPr>
        <w:t xml:space="preserve"> </w:t>
      </w:r>
      <w:r w:rsidR="000C302B">
        <w:t>demonstrates</w:t>
      </w:r>
      <w:r w:rsidR="00703923">
        <w:t>, there should be no liability for continuing enrichment</w:t>
      </w:r>
      <w:r w:rsidR="001A0528">
        <w:t xml:space="preserve"> </w:t>
      </w:r>
      <w:r w:rsidR="00AB5654">
        <w:t xml:space="preserve">once proprietary restitution is triggered </w:t>
      </w:r>
      <w:r w:rsidR="001A0528">
        <w:t>and it would thus be preferable to classify any personal claim against subsequent recipients as based on knowing (or unconscionable) receipt</w:t>
      </w:r>
      <w:r w:rsidR="00703923">
        <w:t>.</w:t>
      </w:r>
      <w:r w:rsidR="00C63A62">
        <w:rPr>
          <w:rStyle w:val="FootnoteReference"/>
        </w:rPr>
        <w:footnoteReference w:id="203"/>
      </w:r>
      <w:r w:rsidR="00A555DC">
        <w:t xml:space="preserve"> </w:t>
      </w:r>
    </w:p>
    <w:p w:rsidR="00A739E9" w:rsidRPr="00703923" w:rsidRDefault="00A739E9" w:rsidP="00C937DB">
      <w:pPr>
        <w:spacing w:line="360" w:lineRule="auto"/>
        <w:jc w:val="both"/>
      </w:pPr>
    </w:p>
    <w:p w:rsidR="00D71B6A" w:rsidRDefault="00D71B6A" w:rsidP="00C937DB">
      <w:pPr>
        <w:spacing w:line="360" w:lineRule="auto"/>
      </w:pPr>
    </w:p>
    <w:p w:rsidR="003E14AB" w:rsidRDefault="00AC23D5" w:rsidP="00C937DB">
      <w:pPr>
        <w:pStyle w:val="Header1"/>
        <w:spacing w:line="360" w:lineRule="auto"/>
      </w:pPr>
      <w:r>
        <w:t>VI</w:t>
      </w:r>
      <w:r w:rsidR="003E14AB">
        <w:t>. How this Approach Provides the best ‘Fit’ with the Case Law</w:t>
      </w:r>
    </w:p>
    <w:p w:rsidR="003E14AB" w:rsidRDefault="003E14AB" w:rsidP="00C937DB">
      <w:pPr>
        <w:spacing w:line="360" w:lineRule="auto"/>
      </w:pPr>
    </w:p>
    <w:p w:rsidR="00D71B6A" w:rsidRPr="00AC23D5" w:rsidRDefault="00D21266" w:rsidP="00C937DB">
      <w:pPr>
        <w:pStyle w:val="header2"/>
        <w:spacing w:line="360" w:lineRule="auto"/>
        <w:jc w:val="center"/>
        <w:rPr>
          <w:b w:val="0"/>
          <w:i/>
        </w:rPr>
      </w:pPr>
      <w:r>
        <w:rPr>
          <w:b w:val="0"/>
          <w:i/>
        </w:rPr>
        <w:t>A</w:t>
      </w:r>
      <w:r w:rsidR="00D71B6A" w:rsidRPr="00AC23D5">
        <w:rPr>
          <w:b w:val="0"/>
          <w:i/>
        </w:rPr>
        <w:t xml:space="preserve">. Examples where the requirements of </w:t>
      </w:r>
      <w:r w:rsidR="00CC1560" w:rsidRPr="00AC23D5">
        <w:rPr>
          <w:b w:val="0"/>
          <w:i/>
        </w:rPr>
        <w:t>proprietary</w:t>
      </w:r>
      <w:r w:rsidR="00D71B6A" w:rsidRPr="00AC23D5">
        <w:rPr>
          <w:b w:val="0"/>
          <w:i/>
        </w:rPr>
        <w:t xml:space="preserve"> restitution were present</w:t>
      </w:r>
    </w:p>
    <w:p w:rsidR="00D71B6A" w:rsidRPr="00753A3B" w:rsidRDefault="00D71B6A" w:rsidP="00C937DB">
      <w:pPr>
        <w:spacing w:line="360" w:lineRule="auto"/>
      </w:pPr>
    </w:p>
    <w:p w:rsidR="00405804" w:rsidRDefault="00D71B6A" w:rsidP="00FF3999">
      <w:pPr>
        <w:spacing w:line="360" w:lineRule="auto"/>
        <w:jc w:val="both"/>
      </w:pPr>
      <w:r w:rsidRPr="00753A3B">
        <w:t>The requirements of knowledge</w:t>
      </w:r>
      <w:r w:rsidR="001A0528">
        <w:t xml:space="preserve"> and</w:t>
      </w:r>
      <w:r w:rsidR="009D7D57">
        <w:t xml:space="preserve"> </w:t>
      </w:r>
      <w:r w:rsidR="00B33859">
        <w:t>wilful misconduct</w:t>
      </w:r>
      <w:r w:rsidRPr="00753A3B">
        <w:t xml:space="preserve"> are readily satisfied in cases</w:t>
      </w:r>
      <w:r w:rsidR="0087362C">
        <w:t xml:space="preserve"> where the recipient has</w:t>
      </w:r>
      <w:r w:rsidRPr="00753A3B">
        <w:t xml:space="preserve"> fraudulently </w:t>
      </w:r>
      <w:r w:rsidR="0087362C">
        <w:t>induced the transfer</w:t>
      </w:r>
      <w:r w:rsidRPr="00753A3B">
        <w:t>.</w:t>
      </w:r>
      <w:r w:rsidRPr="00753A3B">
        <w:rPr>
          <w:rStyle w:val="FootnoteReference"/>
        </w:rPr>
        <w:footnoteReference w:id="204"/>
      </w:r>
      <w:r>
        <w:t xml:space="preserve"> </w:t>
      </w:r>
      <w:r w:rsidR="00E24D9E">
        <w:t>In cases of fraud, w</w:t>
      </w:r>
      <w:r w:rsidR="00405804">
        <w:t xml:space="preserve">here the recipient has knowledge from the outset, all of their subsequent dealings with the mistaken payment will be coloured by that fraudulent motive. </w:t>
      </w:r>
      <w:r w:rsidR="00E24D9E">
        <w:t xml:space="preserve">From the moment of receipt, </w:t>
      </w:r>
      <w:r w:rsidR="00ED15B2">
        <w:t>it will be evident that</w:t>
      </w:r>
      <w:r w:rsidR="005A523F">
        <w:t xml:space="preserve"> </w:t>
      </w:r>
      <w:r w:rsidR="00E24D9E">
        <w:t>the</w:t>
      </w:r>
      <w:r w:rsidR="00583CE7">
        <w:t xml:space="preserve"> </w:t>
      </w:r>
      <w:r w:rsidR="00583CE7">
        <w:lastRenderedPageBreak/>
        <w:t xml:space="preserve">recipient will be treating the money as their own without intending to make restitution. </w:t>
      </w:r>
      <w:r w:rsidR="00E24D9E">
        <w:t>Th</w:t>
      </w:r>
      <w:r w:rsidR="00DC31E5">
        <w:t>is</w:t>
      </w:r>
      <w:r w:rsidR="00E24D9E">
        <w:t xml:space="preserve"> establishes the basis for proprietary restitution</w:t>
      </w:r>
      <w:r w:rsidR="00DC31E5">
        <w:t xml:space="preserve">. However, proprietary restitution would not arise from the outset where </w:t>
      </w:r>
      <w:r w:rsidR="00D24372">
        <w:t>a fraudster induces the payment to be received by a separate innocent party</w:t>
      </w:r>
      <w:r w:rsidR="00405804">
        <w:t>.</w:t>
      </w:r>
      <w:r w:rsidR="00664327">
        <w:rPr>
          <w:rStyle w:val="FootnoteReference"/>
        </w:rPr>
        <w:footnoteReference w:id="205"/>
      </w:r>
      <w:r w:rsidR="00D24372">
        <w:t xml:space="preserve"> </w:t>
      </w:r>
      <w:r w:rsidR="0005457B">
        <w:t xml:space="preserve">Whilst the award of proprietary restitution is justified on the basis of wrongful conduct, the key is not the presence of </w:t>
      </w:r>
      <w:r w:rsidR="0005457B">
        <w:rPr>
          <w:i/>
        </w:rPr>
        <w:t>any</w:t>
      </w:r>
      <w:r w:rsidR="0005457B">
        <w:t xml:space="preserve"> wrongful conduct</w:t>
      </w:r>
      <w:r w:rsidR="005A523F">
        <w:t xml:space="preserve"> (which would make the principle too wide in application)</w:t>
      </w:r>
      <w:r w:rsidR="0005457B">
        <w:t>, but rather the wrongful conduct of the recipient.</w:t>
      </w:r>
      <w:r w:rsidR="00AE5AE6">
        <w:t xml:space="preserve"> </w:t>
      </w:r>
    </w:p>
    <w:p w:rsidR="00073AE8" w:rsidRPr="00A959B4" w:rsidRDefault="00405804" w:rsidP="00583CE7">
      <w:pPr>
        <w:spacing w:line="360" w:lineRule="auto"/>
        <w:ind w:firstLine="720"/>
        <w:jc w:val="both"/>
      </w:pPr>
      <w:r>
        <w:t xml:space="preserve">The more </w:t>
      </w:r>
      <w:r w:rsidR="00DC31E5">
        <w:t>controversial proposition is that</w:t>
      </w:r>
      <w:r>
        <w:t xml:space="preserve"> </w:t>
      </w:r>
      <w:r w:rsidR="00DC31E5">
        <w:t>the recipient’s knowledge and wilful misconduct</w:t>
      </w:r>
      <w:r w:rsidR="00D71B6A" w:rsidRPr="00753A3B">
        <w:t xml:space="preserve"> can also provide the basis for </w:t>
      </w:r>
      <w:r w:rsidR="00D71B6A">
        <w:t>proprietary</w:t>
      </w:r>
      <w:r w:rsidR="0087362C">
        <w:t xml:space="preserve"> restitution for instances of</w:t>
      </w:r>
      <w:r w:rsidR="00D71B6A" w:rsidRPr="00753A3B">
        <w:t xml:space="preserve"> </w:t>
      </w:r>
      <w:r w:rsidR="000D08DA">
        <w:t xml:space="preserve">non-induced </w:t>
      </w:r>
      <w:r w:rsidR="00D71B6A" w:rsidRPr="00753A3B">
        <w:t xml:space="preserve">mistaken payments. </w:t>
      </w:r>
      <w:r w:rsidR="00D71B6A">
        <w:t xml:space="preserve">It is at this point that we can return the focus to the decision in </w:t>
      </w:r>
      <w:r w:rsidR="00D71B6A" w:rsidRPr="00753A3B">
        <w:rPr>
          <w:i/>
          <w:iCs/>
        </w:rPr>
        <w:t>Chase Manhattan</w:t>
      </w:r>
      <w:r w:rsidR="00D71B6A" w:rsidRPr="00753A3B">
        <w:rPr>
          <w:iCs/>
        </w:rPr>
        <w:t>.</w:t>
      </w:r>
      <w:r w:rsidR="00D71B6A" w:rsidRPr="00753A3B">
        <w:rPr>
          <w:rStyle w:val="FootnoteReference"/>
          <w:iCs/>
        </w:rPr>
        <w:footnoteReference w:id="206"/>
      </w:r>
      <w:r w:rsidR="00A82354">
        <w:fldChar w:fldCharType="begin"/>
      </w:r>
      <w:r w:rsidR="00D71B6A">
        <w:instrText xml:space="preserve"> TA \l "</w:instrText>
      </w:r>
      <w:r w:rsidR="00D71B6A" w:rsidRPr="0090386D">
        <w:rPr>
          <w:i/>
        </w:rPr>
        <w:instrText xml:space="preserve">Chase Manhattan Bank NA v Isreal-British Bank </w:instrText>
      </w:r>
      <w:r w:rsidR="00D71B6A" w:rsidRPr="0090386D">
        <w:instrText>[1981] Ch 105 (Ch).</w:instrText>
      </w:r>
      <w:r w:rsidR="00D71B6A">
        <w:instrText xml:space="preserve">" \s "[1981] Ch 105" \c 1 </w:instrText>
      </w:r>
      <w:r w:rsidR="00A82354">
        <w:fldChar w:fldCharType="end"/>
      </w:r>
      <w:r w:rsidR="00D71B6A" w:rsidRPr="00753A3B">
        <w:t xml:space="preserve"> In </w:t>
      </w:r>
      <w:r w:rsidR="00D71B6A" w:rsidRPr="00753A3B">
        <w:rPr>
          <w:i/>
        </w:rPr>
        <w:t>Chase Manhattan</w:t>
      </w:r>
      <w:r w:rsidR="00D71B6A" w:rsidRPr="00753A3B">
        <w:t xml:space="preserve">, the claimant had mistakenly paid money to the recipient, who </w:t>
      </w:r>
      <w:r w:rsidR="00204D43">
        <w:t>entered into liquidation</w:t>
      </w:r>
      <w:r w:rsidR="00D71B6A" w:rsidRPr="00753A3B">
        <w:t xml:space="preserve"> before th</w:t>
      </w:r>
      <w:r w:rsidR="00D71B6A">
        <w:t xml:space="preserve">e </w:t>
      </w:r>
      <w:r w:rsidR="00DB1266">
        <w:t>money was returned</w:t>
      </w:r>
      <w:r w:rsidR="00D71B6A">
        <w:t>. Although the reasoning in Goulding J</w:t>
      </w:r>
      <w:r w:rsidR="00E72F17">
        <w:t>.</w:t>
      </w:r>
      <w:r w:rsidR="00D71B6A">
        <w:t xml:space="preserve">’s judgment </w:t>
      </w:r>
      <w:r w:rsidR="00073AE8">
        <w:t>needs to be rejected in light of the analysis presented in this article</w:t>
      </w:r>
      <w:r w:rsidR="00D71B6A">
        <w:t xml:space="preserve">, it cannot be ignored that the outcome of the </w:t>
      </w:r>
      <w:r w:rsidR="00D71B6A" w:rsidRPr="00753A3B">
        <w:t>decisi</w:t>
      </w:r>
      <w:r w:rsidR="00D71B6A">
        <w:t>on was regarded as correct</w:t>
      </w:r>
      <w:r w:rsidR="00D71B6A" w:rsidRPr="00753A3B">
        <w:t xml:space="preserve"> by Lord Browne-Wilkinson</w:t>
      </w:r>
      <w:r w:rsidR="00D71B6A">
        <w:t xml:space="preserve"> in </w:t>
      </w:r>
      <w:r w:rsidR="00D71B6A" w:rsidRPr="00A43888">
        <w:rPr>
          <w:i/>
        </w:rPr>
        <w:t>Westdeutsche</w:t>
      </w:r>
      <w:r w:rsidR="00D71B6A" w:rsidRPr="00A43888">
        <w:t>.</w:t>
      </w:r>
      <w:r w:rsidR="00D71B6A" w:rsidRPr="00A43888">
        <w:rPr>
          <w:rStyle w:val="FootnoteReference"/>
        </w:rPr>
        <w:footnoteReference w:id="207"/>
      </w:r>
      <w:r w:rsidR="00D71B6A" w:rsidRPr="00753A3B">
        <w:t xml:space="preserve"> </w:t>
      </w:r>
      <w:r w:rsidR="00073AE8">
        <w:t xml:space="preserve">The benefit of the </w:t>
      </w:r>
      <w:r w:rsidR="00D71B6A" w:rsidRPr="00753A3B">
        <w:t xml:space="preserve">approach adopted </w:t>
      </w:r>
      <w:r w:rsidR="00073AE8">
        <w:t>in this article is that</w:t>
      </w:r>
      <w:r w:rsidR="00D71B6A" w:rsidRPr="00753A3B">
        <w:t xml:space="preserve"> the facts of </w:t>
      </w:r>
      <w:r w:rsidR="00D71B6A" w:rsidRPr="00753A3B">
        <w:rPr>
          <w:i/>
        </w:rPr>
        <w:t xml:space="preserve">Chase Manhattan </w:t>
      </w:r>
      <w:r w:rsidR="00D71B6A" w:rsidRPr="00753A3B">
        <w:t xml:space="preserve">would allow a claim for </w:t>
      </w:r>
      <w:r w:rsidR="0065318D">
        <w:t>proprietary</w:t>
      </w:r>
      <w:r w:rsidR="00D71B6A" w:rsidRPr="00753A3B">
        <w:t xml:space="preserve"> restitution</w:t>
      </w:r>
      <w:r w:rsidR="00D71B6A">
        <w:t xml:space="preserve"> </w:t>
      </w:r>
      <w:r w:rsidR="00120626">
        <w:t xml:space="preserve">if </w:t>
      </w:r>
      <w:r w:rsidR="00073AE8">
        <w:t>one accepts that the recipient</w:t>
      </w:r>
      <w:r w:rsidR="00120626">
        <w:t xml:space="preserve"> not only had knowledge but had also </w:t>
      </w:r>
      <w:r w:rsidR="00B33859">
        <w:t>acted with wilful misconduct in performing their duty to maintain the fund</w:t>
      </w:r>
      <w:r w:rsidR="00120626">
        <w:t>.</w:t>
      </w:r>
      <w:r w:rsidR="00E21537">
        <w:t xml:space="preserve"> In </w:t>
      </w:r>
      <w:r w:rsidR="00E21537">
        <w:rPr>
          <w:i/>
        </w:rPr>
        <w:t>Chase Manhattan</w:t>
      </w:r>
      <w:r w:rsidR="00E21537">
        <w:t>, it</w:t>
      </w:r>
      <w:r w:rsidR="0075419B">
        <w:t xml:space="preserve"> was concluded by Goulding J</w:t>
      </w:r>
      <w:r w:rsidR="00624DBB">
        <w:t>.</w:t>
      </w:r>
      <w:r w:rsidR="0075419B">
        <w:t xml:space="preserve"> that the recipient had knowledge </w:t>
      </w:r>
      <w:r w:rsidR="00B01948">
        <w:t xml:space="preserve">of the mistake for </w:t>
      </w:r>
      <w:r w:rsidR="0075419B">
        <w:t>nearly an entire month before petitioning for a winding up order. Under the approach presented in this article, this would establish the initial duty to maintain the fund until restitution was made. Following the central premise of this article, however, more would be required than mere knowledge of the mistake to constitute a breach of this duty. It is contended that</w:t>
      </w:r>
      <w:r w:rsidR="00054CA0">
        <w:t>,</w:t>
      </w:r>
      <w:r w:rsidR="0075419B">
        <w:t xml:space="preserve"> on the reported facts</w:t>
      </w:r>
      <w:r w:rsidR="00054CA0">
        <w:t>,</w:t>
      </w:r>
      <w:r w:rsidR="0075419B">
        <w:t xml:space="preserve"> the recipient’s actions should have been sufficient to be regarded as </w:t>
      </w:r>
      <w:r w:rsidR="00B33859">
        <w:t>wilful misconduct</w:t>
      </w:r>
      <w:r w:rsidR="0075419B">
        <w:t xml:space="preserve">. </w:t>
      </w:r>
      <w:r w:rsidR="00DE5CC7">
        <w:t>The recipient was already in financial difficulty at the time of receiving the mistaken payment, in</w:t>
      </w:r>
      <w:r w:rsidR="004A152D">
        <w:t>deed it was noted by Goulding J</w:t>
      </w:r>
      <w:r w:rsidR="00624DBB">
        <w:t>.</w:t>
      </w:r>
      <w:r w:rsidR="004A152D">
        <w:t xml:space="preserve"> that</w:t>
      </w:r>
      <w:r w:rsidR="00DE5CC7">
        <w:t xml:space="preserve"> the impending bankruptcy of the recipient bank was known to its employees.</w:t>
      </w:r>
      <w:r w:rsidR="0075419B">
        <w:rPr>
          <w:rStyle w:val="FootnoteReference"/>
        </w:rPr>
        <w:footnoteReference w:id="208"/>
      </w:r>
      <w:r w:rsidR="0075419B">
        <w:t xml:space="preserve"> </w:t>
      </w:r>
      <w:r w:rsidR="00B322EC">
        <w:t xml:space="preserve">The inaction of the recipient, in the circumstances, provides the basis for a breach of their duty to maintain the fund. </w:t>
      </w:r>
      <w:r w:rsidR="004A336F">
        <w:t xml:space="preserve">The case of </w:t>
      </w:r>
      <w:r w:rsidR="004A336F" w:rsidRPr="004F64D1">
        <w:rPr>
          <w:i/>
        </w:rPr>
        <w:t>Re Thellusson</w:t>
      </w:r>
      <w:r w:rsidR="004A336F">
        <w:t xml:space="preserve"> is a useful illustration of how </w:t>
      </w:r>
      <w:r w:rsidR="001D232C">
        <w:t xml:space="preserve">the failure to take positive steps to protect someone else’s rights to recover money would </w:t>
      </w:r>
      <w:r w:rsidR="001D232C">
        <w:lastRenderedPageBreak/>
        <w:t>call for the intervention of equity</w:t>
      </w:r>
      <w:r w:rsidR="004A336F">
        <w:t>.</w:t>
      </w:r>
      <w:r w:rsidR="004A336F">
        <w:rPr>
          <w:rStyle w:val="FootnoteReference"/>
        </w:rPr>
        <w:footnoteReference w:id="209"/>
      </w:r>
      <w:r w:rsidR="004A336F">
        <w:t xml:space="preserve"> In that case a recipient had arranged a loan with the claimant</w:t>
      </w:r>
      <w:r w:rsidR="000F76BF">
        <w:t xml:space="preserve">. Atkin L.J. concluded that </w:t>
      </w:r>
      <w:r w:rsidR="000D08DA">
        <w:t>the recipient’s subsequent knowledge of his impending bankruptcy meant that he</w:t>
      </w:r>
      <w:r w:rsidR="00200655">
        <w:t xml:space="preserve"> </w:t>
      </w:r>
      <w:r w:rsidR="00AB5654">
        <w:t>“</w:t>
      </w:r>
      <w:r w:rsidR="00200655">
        <w:t>ought as a just man then to have restored the money</w:t>
      </w:r>
      <w:r w:rsidR="00AB5654">
        <w:t>”</w:t>
      </w:r>
      <w:r w:rsidR="004A336F">
        <w:t>.</w:t>
      </w:r>
      <w:r w:rsidR="00200655">
        <w:rPr>
          <w:rStyle w:val="FootnoteReference"/>
        </w:rPr>
        <w:footnoteReference w:id="210"/>
      </w:r>
      <w:r w:rsidR="004A336F">
        <w:t xml:space="preserve"> </w:t>
      </w:r>
      <w:r w:rsidR="00E72111">
        <w:t>This was because</w:t>
      </w:r>
      <w:r w:rsidR="00E21537">
        <w:t xml:space="preserve"> t</w:t>
      </w:r>
      <w:r w:rsidR="004A336F">
        <w:t>he recipient w</w:t>
      </w:r>
      <w:r w:rsidR="00E21537">
        <w:t>ould be</w:t>
      </w:r>
      <w:r w:rsidR="004A336F">
        <w:t xml:space="preserve"> aware that </w:t>
      </w:r>
      <w:r w:rsidR="00AB5654">
        <w:t>“</w:t>
      </w:r>
      <w:r w:rsidR="004A336F">
        <w:t>the money would go straight into the possession of the Official Receiver, and that the sweeping away of his assets in bankruptcy would make it impossible for him to comply with his covenant to repay.</w:t>
      </w:r>
      <w:r w:rsidR="00AB5654">
        <w:t>”</w:t>
      </w:r>
      <w:r w:rsidR="004A336F">
        <w:rPr>
          <w:rStyle w:val="FootnoteReference"/>
        </w:rPr>
        <w:footnoteReference w:id="211"/>
      </w:r>
      <w:r w:rsidR="004A336F">
        <w:t xml:space="preserve"> </w:t>
      </w:r>
      <w:r w:rsidR="0075419B">
        <w:t xml:space="preserve">There is a similar issue in </w:t>
      </w:r>
      <w:r w:rsidR="0075419B">
        <w:rPr>
          <w:i/>
        </w:rPr>
        <w:t>Chase Manhattan</w:t>
      </w:r>
      <w:r w:rsidR="0075419B">
        <w:t xml:space="preserve">. </w:t>
      </w:r>
      <w:r w:rsidR="00B33859">
        <w:t xml:space="preserve">The recipient had sufficient knowledge of the mistaken payment and knowledge of the dire financial position which made the winding up the company an imminent eventuality. </w:t>
      </w:r>
      <w:r w:rsidR="00116DBA">
        <w:t xml:space="preserve">Moreover, the failure to make restitution during the month between the knowledge and the winding up order made the possibility of personal restitution impossible. </w:t>
      </w:r>
      <w:r w:rsidR="0075419B">
        <w:t>This is for the simple reason that when a winding up order is made, any attempt to return the money would in any case be void.</w:t>
      </w:r>
      <w:r w:rsidR="0075419B">
        <w:rPr>
          <w:rStyle w:val="FootnoteReference"/>
        </w:rPr>
        <w:footnoteReference w:id="212"/>
      </w:r>
      <w:r w:rsidR="00A959B4">
        <w:t xml:space="preserve"> </w:t>
      </w:r>
      <w:r w:rsidR="00872729">
        <w:t xml:space="preserve">As a result, it should be possible to regard the actions of the recipient in </w:t>
      </w:r>
      <w:r w:rsidR="00872729">
        <w:rPr>
          <w:i/>
        </w:rPr>
        <w:t>Chase Manhattan</w:t>
      </w:r>
      <w:r w:rsidR="00872729">
        <w:t xml:space="preserve"> as constituting ‘wilful misconduct.’ To </w:t>
      </w:r>
      <w:r w:rsidR="00AB5654">
        <w:t xml:space="preserve">further </w:t>
      </w:r>
      <w:r w:rsidR="00872729">
        <w:t xml:space="preserve">illustrate this, in </w:t>
      </w:r>
      <w:r w:rsidR="001D064C">
        <w:rPr>
          <w:i/>
        </w:rPr>
        <w:t>Lewis v Great Western Railway Company</w:t>
      </w:r>
      <w:r w:rsidR="001D064C">
        <w:t xml:space="preserve">, the court had to deal with the </w:t>
      </w:r>
      <w:r w:rsidR="00872729">
        <w:t xml:space="preserve">term ‘wilful misconduct’ in relation to the defendant’s duty to carry the claimant’s goods. In defining the nature of the duty, Brett L.J. stated that </w:t>
      </w:r>
      <w:r w:rsidR="00AB5654">
        <w:t>“</w:t>
      </w:r>
      <w:r w:rsidR="00872729">
        <w:t>if he does, or omits to do something which everybody must know is likely to endanger or damage the goods, then it follows that he is doing that which he knows to be a wrong thing to do</w:t>
      </w:r>
      <w:r w:rsidR="00AB5654">
        <w:t>”</w:t>
      </w:r>
      <w:r w:rsidR="00872729">
        <w:t>.</w:t>
      </w:r>
      <w:r w:rsidR="00872729">
        <w:rPr>
          <w:rStyle w:val="FootnoteReference"/>
        </w:rPr>
        <w:footnoteReference w:id="213"/>
      </w:r>
      <w:r w:rsidR="001D064C">
        <w:rPr>
          <w:i/>
        </w:rPr>
        <w:t xml:space="preserve"> </w:t>
      </w:r>
      <w:r w:rsidR="00AB5654">
        <w:t>Applying this reasoning by analogy, i</w:t>
      </w:r>
      <w:r w:rsidR="00A959B4">
        <w:t xml:space="preserve">f one accepts the existence of a duty to maintain the fund to ensure restitution of the mistaken payment, </w:t>
      </w:r>
      <w:r w:rsidR="00A959B4">
        <w:rPr>
          <w:i/>
        </w:rPr>
        <w:t>Chase Manhattan</w:t>
      </w:r>
      <w:r w:rsidR="00A959B4">
        <w:t xml:space="preserve"> is a</w:t>
      </w:r>
      <w:r w:rsidR="00116DBA">
        <w:t xml:space="preserve"> good</w:t>
      </w:r>
      <w:r w:rsidR="00A959B4">
        <w:t xml:space="preserve"> example </w:t>
      </w:r>
      <w:r w:rsidR="00116DBA">
        <w:t>of a</w:t>
      </w:r>
      <w:r w:rsidR="00A959B4">
        <w:t xml:space="preserve"> recipient </w:t>
      </w:r>
      <w:r w:rsidR="00872729">
        <w:t>failing to act</w:t>
      </w:r>
      <w:r w:rsidR="00422514">
        <w:t xml:space="preserve"> </w:t>
      </w:r>
      <w:r w:rsidR="00872729">
        <w:t xml:space="preserve">in circumstances where </w:t>
      </w:r>
      <w:r w:rsidR="00B322EC">
        <w:t>continued inaction of the recipient</w:t>
      </w:r>
      <w:r w:rsidR="00872729">
        <w:t xml:space="preserve"> was clearly going to endanger the fund</w:t>
      </w:r>
      <w:r w:rsidR="00422514">
        <w:t>.</w:t>
      </w:r>
      <w:r w:rsidR="00E72111">
        <w:rPr>
          <w:rStyle w:val="FootnoteReference"/>
        </w:rPr>
        <w:footnoteReference w:id="214"/>
      </w:r>
      <w:r w:rsidR="004A336F">
        <w:t xml:space="preserve"> </w:t>
      </w:r>
    </w:p>
    <w:p w:rsidR="00546BEF" w:rsidRDefault="005C59E2">
      <w:pPr>
        <w:spacing w:line="360" w:lineRule="auto"/>
        <w:ind w:firstLine="720"/>
        <w:jc w:val="both"/>
      </w:pPr>
      <w:r w:rsidRPr="00A43888">
        <w:t xml:space="preserve">The decision in </w:t>
      </w:r>
      <w:r w:rsidRPr="00A43888">
        <w:rPr>
          <w:i/>
        </w:rPr>
        <w:t xml:space="preserve">Chase Manhattan </w:t>
      </w:r>
      <w:r w:rsidRPr="00A43888">
        <w:t>was also applied by Dillon J</w:t>
      </w:r>
      <w:r w:rsidR="00463E80">
        <w:t>.</w:t>
      </w:r>
      <w:r w:rsidRPr="00A43888">
        <w:t xml:space="preserve"> only a year later in the unreported case of </w:t>
      </w:r>
      <w:r>
        <w:rPr>
          <w:i/>
        </w:rPr>
        <w:t>Pendray Sousa</w:t>
      </w:r>
      <w:r w:rsidRPr="00A43888">
        <w:rPr>
          <w:i/>
        </w:rPr>
        <w:t xml:space="preserve"> v Parselt Ltd</w:t>
      </w:r>
      <w:r w:rsidR="00463E80">
        <w:t>.</w:t>
      </w:r>
      <w:r w:rsidR="000C302B">
        <w:t xml:space="preserve">, in finding a </w:t>
      </w:r>
      <w:r>
        <w:t>constructive trust in relation to a series of overpayments</w:t>
      </w:r>
      <w:r w:rsidRPr="00A43888">
        <w:t>.</w:t>
      </w:r>
      <w:r>
        <w:rPr>
          <w:rStyle w:val="FootnoteReference"/>
        </w:rPr>
        <w:footnoteReference w:id="215"/>
      </w:r>
      <w:r>
        <w:t xml:space="preserve"> </w:t>
      </w:r>
      <w:r w:rsidR="00C93DA6">
        <w:rPr>
          <w:rStyle w:val="verdana"/>
        </w:rPr>
        <w:t xml:space="preserve">Although Dillon J. </w:t>
      </w:r>
      <w:r w:rsidR="00ED15B2">
        <w:rPr>
          <w:rStyle w:val="verdana"/>
        </w:rPr>
        <w:t xml:space="preserve">at one point </w:t>
      </w:r>
      <w:r w:rsidR="00C93DA6">
        <w:rPr>
          <w:rStyle w:val="verdana"/>
        </w:rPr>
        <w:t xml:space="preserve">seemed to conclude that the </w:t>
      </w:r>
      <w:r w:rsidR="00C93DA6">
        <w:rPr>
          <w:rStyle w:val="verdana"/>
        </w:rPr>
        <w:lastRenderedPageBreak/>
        <w:t xml:space="preserve">overpayments were held under constructive trust from the outset, the availability of the constructive trust can be better justified by applying the approach in this article. </w:t>
      </w:r>
      <w:r>
        <w:t xml:space="preserve">In </w:t>
      </w:r>
      <w:r>
        <w:rPr>
          <w:i/>
        </w:rPr>
        <w:t>Pendray Sousa</w:t>
      </w:r>
      <w:r>
        <w:t xml:space="preserve">, </w:t>
      </w:r>
      <w:r w:rsidR="00C93DA6">
        <w:t xml:space="preserve">the </w:t>
      </w:r>
      <w:r w:rsidR="00914A87">
        <w:t xml:space="preserve">first </w:t>
      </w:r>
      <w:r w:rsidR="00C93DA6">
        <w:t xml:space="preserve">defendant had received a number of overpayments. It was concluded that the </w:t>
      </w:r>
      <w:r w:rsidR="00914A87">
        <w:t xml:space="preserve">first </w:t>
      </w:r>
      <w:r w:rsidR="00C93DA6">
        <w:t xml:space="preserve">defendant had knowledge of the overpayments and had little intention of returning the money. Subsequently, the recipient </w:t>
      </w:r>
      <w:r w:rsidR="00914A87">
        <w:t>transferred t</w:t>
      </w:r>
      <w:r w:rsidR="004A152D">
        <w:t>his money into two</w:t>
      </w:r>
      <w:r>
        <w:t xml:space="preserve"> </w:t>
      </w:r>
      <w:r w:rsidR="00914A87">
        <w:t>bank accounts that belonged</w:t>
      </w:r>
      <w:r w:rsidR="00C93DA6">
        <w:t xml:space="preserve"> to another defendant.</w:t>
      </w:r>
      <w:r>
        <w:t xml:space="preserve"> </w:t>
      </w:r>
      <w:r w:rsidR="00C93DA6">
        <w:t>Th</w:t>
      </w:r>
      <w:r w:rsidR="00914A87">
        <w:t>is</w:t>
      </w:r>
      <w:r w:rsidR="00C93DA6">
        <w:t xml:space="preserve"> transfer </w:t>
      </w:r>
      <w:r w:rsidR="00914A87">
        <w:t xml:space="preserve">was </w:t>
      </w:r>
      <w:r>
        <w:t xml:space="preserve">described as having the purpose of taking </w:t>
      </w:r>
      <w:r>
        <w:rPr>
          <w:rStyle w:val="verdana"/>
        </w:rPr>
        <w:t>the monies “further away” from the claimants</w:t>
      </w:r>
      <w:r w:rsidR="00914A87">
        <w:rPr>
          <w:rStyle w:val="verdana"/>
        </w:rPr>
        <w:t xml:space="preserve"> and</w:t>
      </w:r>
      <w:r w:rsidR="00073AE8">
        <w:rPr>
          <w:rStyle w:val="verdana"/>
        </w:rPr>
        <w:t>,</w:t>
      </w:r>
      <w:r w:rsidR="00914A87">
        <w:rPr>
          <w:rStyle w:val="verdana"/>
        </w:rPr>
        <w:t xml:space="preserve"> moreover</w:t>
      </w:r>
      <w:r w:rsidR="00073AE8">
        <w:rPr>
          <w:rStyle w:val="verdana"/>
        </w:rPr>
        <w:t>, that</w:t>
      </w:r>
      <w:r w:rsidR="00914A87">
        <w:rPr>
          <w:rStyle w:val="verdana"/>
        </w:rPr>
        <w:t xml:space="preserve"> the transfer was </w:t>
      </w:r>
      <w:r w:rsidR="00AB5654">
        <w:rPr>
          <w:rStyle w:val="verdana"/>
        </w:rPr>
        <w:t>“</w:t>
      </w:r>
      <w:r w:rsidR="00914A87">
        <w:t>a device to assist Mr Parsons in cheating Mr George Pendray and keeping the money away from him</w:t>
      </w:r>
      <w:r w:rsidR="00AB5654">
        <w:t>”</w:t>
      </w:r>
      <w:r>
        <w:rPr>
          <w:rStyle w:val="verdana"/>
        </w:rPr>
        <w:t>.</w:t>
      </w:r>
      <w:r w:rsidR="000C302B">
        <w:rPr>
          <w:rStyle w:val="FootnoteReference"/>
        </w:rPr>
        <w:footnoteReference w:id="216"/>
      </w:r>
      <w:r w:rsidR="00914A87">
        <w:rPr>
          <w:rStyle w:val="verdana"/>
        </w:rPr>
        <w:t xml:space="preserve"> </w:t>
      </w:r>
      <w:r w:rsidR="00ED15B2">
        <w:rPr>
          <w:rStyle w:val="verdana"/>
        </w:rPr>
        <w:t>On the basis of the defendant’s actions,</w:t>
      </w:r>
      <w:r w:rsidR="00073AE8">
        <w:rPr>
          <w:rStyle w:val="verdana"/>
        </w:rPr>
        <w:t xml:space="preserve"> Dillon J. </w:t>
      </w:r>
      <w:r w:rsidR="00ED15B2">
        <w:rPr>
          <w:rStyle w:val="verdana"/>
        </w:rPr>
        <w:t xml:space="preserve">concluded </w:t>
      </w:r>
      <w:r w:rsidR="00914A87">
        <w:rPr>
          <w:rStyle w:val="verdana"/>
        </w:rPr>
        <w:t xml:space="preserve">that this money was </w:t>
      </w:r>
      <w:r w:rsidR="00073AE8">
        <w:rPr>
          <w:rStyle w:val="verdana"/>
        </w:rPr>
        <w:t>fixed with a</w:t>
      </w:r>
      <w:r w:rsidR="00914A87">
        <w:rPr>
          <w:rStyle w:val="verdana"/>
        </w:rPr>
        <w:t xml:space="preserve"> constructive trust, a conclusion that can only make sense if it is recognised that there was not a constructive trust available from the outset but that a constructive trust had arisen at a later point in time, i.e. when the first defendant </w:t>
      </w:r>
      <w:r w:rsidR="00A959B4">
        <w:rPr>
          <w:rStyle w:val="verdana"/>
        </w:rPr>
        <w:t xml:space="preserve">breached their duty by </w:t>
      </w:r>
      <w:r w:rsidR="00914A87">
        <w:rPr>
          <w:rStyle w:val="verdana"/>
        </w:rPr>
        <w:t>attempt</w:t>
      </w:r>
      <w:r w:rsidR="00A959B4">
        <w:rPr>
          <w:rStyle w:val="verdana"/>
        </w:rPr>
        <w:t>ing</w:t>
      </w:r>
      <w:r w:rsidR="00914A87">
        <w:rPr>
          <w:rStyle w:val="verdana"/>
        </w:rPr>
        <w:t xml:space="preserve"> to </w:t>
      </w:r>
      <w:r w:rsidR="00330D25">
        <w:rPr>
          <w:rStyle w:val="verdana"/>
        </w:rPr>
        <w:t>keep</w:t>
      </w:r>
      <w:r w:rsidR="00914A87">
        <w:rPr>
          <w:rStyle w:val="verdana"/>
        </w:rPr>
        <w:t xml:space="preserve"> the money </w:t>
      </w:r>
      <w:r w:rsidR="00330D25">
        <w:rPr>
          <w:rStyle w:val="verdana"/>
        </w:rPr>
        <w:t xml:space="preserve">out of the reach </w:t>
      </w:r>
      <w:r w:rsidR="00116DBA">
        <w:rPr>
          <w:rStyle w:val="verdana"/>
        </w:rPr>
        <w:t>of</w:t>
      </w:r>
      <w:r w:rsidR="00914A87">
        <w:rPr>
          <w:rStyle w:val="verdana"/>
        </w:rPr>
        <w:t xml:space="preserve"> the claimant.</w:t>
      </w:r>
    </w:p>
    <w:p w:rsidR="00D71B6A" w:rsidRPr="00753A3B" w:rsidRDefault="00D71B6A" w:rsidP="00422514">
      <w:pPr>
        <w:spacing w:line="360" w:lineRule="auto"/>
        <w:ind w:firstLine="720"/>
        <w:jc w:val="both"/>
      </w:pPr>
      <w:r w:rsidRPr="00B95F20">
        <w:rPr>
          <w:rStyle w:val="hit"/>
        </w:rPr>
        <w:t xml:space="preserve">The analysis presented in this </w:t>
      </w:r>
      <w:r>
        <w:rPr>
          <w:rStyle w:val="hit"/>
        </w:rPr>
        <w:t>article</w:t>
      </w:r>
      <w:r w:rsidRPr="00B95F20">
        <w:rPr>
          <w:rStyle w:val="hit"/>
        </w:rPr>
        <w:t xml:space="preserve"> is </w:t>
      </w:r>
      <w:r w:rsidR="005C59E2">
        <w:rPr>
          <w:rStyle w:val="hit"/>
        </w:rPr>
        <w:t>further</w:t>
      </w:r>
      <w:r w:rsidRPr="00B95F20">
        <w:rPr>
          <w:rStyle w:val="hit"/>
        </w:rPr>
        <w:t xml:space="preserve"> reflected in the </w:t>
      </w:r>
      <w:r w:rsidR="00972B38">
        <w:rPr>
          <w:rStyle w:val="hit"/>
        </w:rPr>
        <w:t xml:space="preserve">aforementioned </w:t>
      </w:r>
      <w:r w:rsidRPr="00B95F20">
        <w:rPr>
          <w:rStyle w:val="hit"/>
          <w:i/>
        </w:rPr>
        <w:t>Getronics</w:t>
      </w:r>
      <w:r w:rsidRPr="00B95F20">
        <w:rPr>
          <w:rStyle w:val="hit"/>
        </w:rPr>
        <w:t xml:space="preserve"> case.</w:t>
      </w:r>
      <w:r w:rsidRPr="00B95F20">
        <w:rPr>
          <w:rStyle w:val="FootnoteReference"/>
        </w:rPr>
        <w:footnoteReference w:id="217"/>
      </w:r>
      <w:r w:rsidRPr="00753A3B">
        <w:rPr>
          <w:rStyle w:val="hit"/>
        </w:rPr>
        <w:t xml:space="preserve"> Firstly, </w:t>
      </w:r>
      <w:r>
        <w:rPr>
          <w:rStyle w:val="hit"/>
        </w:rPr>
        <w:t xml:space="preserve">it was concluded that </w:t>
      </w:r>
      <w:r w:rsidRPr="00753A3B">
        <w:rPr>
          <w:rStyle w:val="hit"/>
        </w:rPr>
        <w:t>the defendants must have known at some point that the payments were made under a mistake.</w:t>
      </w:r>
      <w:r w:rsidRPr="00753A3B">
        <w:rPr>
          <w:rStyle w:val="FootnoteReference"/>
        </w:rPr>
        <w:footnoteReference w:id="218"/>
      </w:r>
      <w:r w:rsidRPr="00753A3B">
        <w:t xml:space="preserve"> Secondly, and importantly, the money was then paid to two other companies which were owned by </w:t>
      </w:r>
      <w:r>
        <w:t xml:space="preserve">the initial recipients. </w:t>
      </w:r>
      <w:r w:rsidR="00914A87">
        <w:t xml:space="preserve">As with </w:t>
      </w:r>
      <w:r w:rsidR="00914A87">
        <w:rPr>
          <w:i/>
        </w:rPr>
        <w:t xml:space="preserve">Pendray Sousa </w:t>
      </w:r>
      <w:r w:rsidR="00914A87">
        <w:t>above, t</w:t>
      </w:r>
      <w:r>
        <w:t xml:space="preserve">hese transfers </w:t>
      </w:r>
      <w:r w:rsidR="006E29B7">
        <w:t>constituted a</w:t>
      </w:r>
      <w:r w:rsidR="00422514">
        <w:t xml:space="preserve"> deliberate </w:t>
      </w:r>
      <w:r w:rsidR="006E29B7">
        <w:t xml:space="preserve">attempt to </w:t>
      </w:r>
      <w:r w:rsidR="00422514">
        <w:t>prevent</w:t>
      </w:r>
      <w:r w:rsidR="00422514" w:rsidRPr="00753A3B">
        <w:t xml:space="preserve"> </w:t>
      </w:r>
      <w:r w:rsidRPr="00753A3B">
        <w:t xml:space="preserve">the claimant </w:t>
      </w:r>
      <w:r w:rsidR="00422514">
        <w:t>from recovering</w:t>
      </w:r>
      <w:r w:rsidRPr="00753A3B">
        <w:t xml:space="preserve"> the money</w:t>
      </w:r>
      <w:r w:rsidR="00914A87">
        <w:t xml:space="preserve"> by taking the</w:t>
      </w:r>
      <w:r w:rsidR="00422514">
        <w:t xml:space="preserve"> funds</w:t>
      </w:r>
      <w:r w:rsidR="00914A87">
        <w:t xml:space="preserve"> </w:t>
      </w:r>
      <w:r w:rsidR="008B1D5E">
        <w:t xml:space="preserve">further </w:t>
      </w:r>
      <w:r w:rsidR="00914A87">
        <w:t>from the reach of the claimant</w:t>
      </w:r>
      <w:r w:rsidRPr="00753A3B">
        <w:t xml:space="preserve">. </w:t>
      </w:r>
      <w:r>
        <w:t>This supports the proposition that proprietary</w:t>
      </w:r>
      <w:r w:rsidRPr="00753A3B">
        <w:t xml:space="preserve"> restitution is </w:t>
      </w:r>
      <w:r>
        <w:t>available in cases of mistaken payments where</w:t>
      </w:r>
      <w:r w:rsidRPr="00753A3B">
        <w:t xml:space="preserve"> the </w:t>
      </w:r>
      <w:r>
        <w:t>recipien</w:t>
      </w:r>
      <w:r w:rsidRPr="00753A3B">
        <w:t>t has knowledge that the money was paid under a mistake</w:t>
      </w:r>
      <w:r w:rsidR="001A0528">
        <w:t xml:space="preserve"> and</w:t>
      </w:r>
      <w:r w:rsidRPr="00753A3B">
        <w:t xml:space="preserve"> </w:t>
      </w:r>
      <w:r w:rsidR="00CA062E">
        <w:t>has acted with wilful</w:t>
      </w:r>
      <w:r w:rsidR="00422514">
        <w:t xml:space="preserve"> misconduct in their duty to maintain the fund</w:t>
      </w:r>
      <w:r w:rsidRPr="00753A3B">
        <w:t>.</w:t>
      </w:r>
    </w:p>
    <w:p w:rsidR="00D71B6A" w:rsidRDefault="00D71B6A" w:rsidP="00C937DB">
      <w:pPr>
        <w:spacing w:line="360" w:lineRule="auto"/>
        <w:jc w:val="both"/>
      </w:pPr>
    </w:p>
    <w:p w:rsidR="00D71B6A" w:rsidRPr="00AC23D5" w:rsidRDefault="00D21266" w:rsidP="00C937DB">
      <w:pPr>
        <w:pStyle w:val="header2"/>
        <w:spacing w:line="360" w:lineRule="auto"/>
        <w:jc w:val="center"/>
        <w:rPr>
          <w:b w:val="0"/>
          <w:i/>
        </w:rPr>
      </w:pPr>
      <w:r>
        <w:rPr>
          <w:b w:val="0"/>
          <w:i/>
        </w:rPr>
        <w:t>B</w:t>
      </w:r>
      <w:r w:rsidR="00D71B6A" w:rsidRPr="00AC23D5">
        <w:rPr>
          <w:b w:val="0"/>
          <w:i/>
        </w:rPr>
        <w:t>. Examples where these requirements were absent</w:t>
      </w:r>
    </w:p>
    <w:p w:rsidR="00D71B6A" w:rsidRPr="00753A3B" w:rsidRDefault="00D71B6A" w:rsidP="00C937DB">
      <w:pPr>
        <w:spacing w:line="360" w:lineRule="auto"/>
        <w:jc w:val="both"/>
      </w:pPr>
    </w:p>
    <w:p w:rsidR="00422514" w:rsidRPr="00422514" w:rsidRDefault="00D71B6A" w:rsidP="00C937DB">
      <w:pPr>
        <w:spacing w:line="360" w:lineRule="auto"/>
        <w:jc w:val="both"/>
      </w:pPr>
      <w:r>
        <w:t>The reliability of this</w:t>
      </w:r>
      <w:r w:rsidRPr="00753A3B">
        <w:t xml:space="preserve"> analysis is </w:t>
      </w:r>
      <w:r>
        <w:t>further demonstrated</w:t>
      </w:r>
      <w:r w:rsidRPr="00753A3B">
        <w:t xml:space="preserve"> by</w:t>
      </w:r>
      <w:r w:rsidRPr="00753A3B">
        <w:rPr>
          <w:rStyle w:val="hit"/>
        </w:rPr>
        <w:t xml:space="preserve"> </w:t>
      </w:r>
      <w:r>
        <w:rPr>
          <w:rStyle w:val="hit"/>
        </w:rPr>
        <w:t xml:space="preserve">returning to </w:t>
      </w:r>
      <w:r w:rsidRPr="00753A3B">
        <w:rPr>
          <w:rStyle w:val="hit"/>
          <w:i/>
        </w:rPr>
        <w:t>Fitzalan-Howard v Hibbert</w:t>
      </w:r>
      <w:r>
        <w:rPr>
          <w:rStyle w:val="hit"/>
        </w:rPr>
        <w:t>.</w:t>
      </w:r>
      <w:r w:rsidRPr="00753A3B">
        <w:rPr>
          <w:rStyle w:val="FootnoteReference"/>
        </w:rPr>
        <w:footnoteReference w:id="219"/>
      </w:r>
      <w:r w:rsidRPr="00753A3B">
        <w:rPr>
          <w:rStyle w:val="hit"/>
        </w:rPr>
        <w:t xml:space="preserve"> </w:t>
      </w:r>
      <w:r>
        <w:rPr>
          <w:rStyle w:val="hit"/>
        </w:rPr>
        <w:t xml:space="preserve">As </w:t>
      </w:r>
      <w:r w:rsidRPr="00B95F20">
        <w:rPr>
          <w:rStyle w:val="hit"/>
        </w:rPr>
        <w:t>noted earlier, this case</w:t>
      </w:r>
      <w:r>
        <w:rPr>
          <w:rStyle w:val="hit"/>
        </w:rPr>
        <w:t xml:space="preserve"> </w:t>
      </w:r>
      <w:r w:rsidRPr="00753A3B">
        <w:rPr>
          <w:rStyle w:val="hit"/>
        </w:rPr>
        <w:t xml:space="preserve">is similar to </w:t>
      </w:r>
      <w:r w:rsidRPr="00753A3B">
        <w:rPr>
          <w:rStyle w:val="hit"/>
          <w:i/>
        </w:rPr>
        <w:t>Chase Manhattan</w:t>
      </w:r>
      <w:r w:rsidRPr="00753A3B">
        <w:rPr>
          <w:rStyle w:val="hit"/>
        </w:rPr>
        <w:t xml:space="preserve"> except for the fact that </w:t>
      </w:r>
      <w:r w:rsidR="000C302B">
        <w:rPr>
          <w:rStyle w:val="hit"/>
        </w:rPr>
        <w:t>the court was unprepared to find that the mistaken payment was held under a constructive trust</w:t>
      </w:r>
      <w:r w:rsidRPr="00753A3B">
        <w:rPr>
          <w:rStyle w:val="hit"/>
        </w:rPr>
        <w:t>.</w:t>
      </w:r>
      <w:r>
        <w:rPr>
          <w:rStyle w:val="FootnoteReference"/>
        </w:rPr>
        <w:footnoteReference w:id="220"/>
      </w:r>
      <w:r w:rsidRPr="00753A3B">
        <w:rPr>
          <w:rStyle w:val="hit"/>
        </w:rPr>
        <w:t xml:space="preserve"> In </w:t>
      </w:r>
      <w:r w:rsidRPr="00753A3B">
        <w:rPr>
          <w:rStyle w:val="hit"/>
          <w:i/>
        </w:rPr>
        <w:t>Fitzalan-Howard</w:t>
      </w:r>
      <w:r w:rsidRPr="00753A3B">
        <w:rPr>
          <w:rStyle w:val="hit"/>
        </w:rPr>
        <w:t xml:space="preserve">, a substantial sum was mistakenly paid to the recipient, who was notified of the mistake. The defendant had an opportunity to repay the money, but there was </w:t>
      </w:r>
      <w:r w:rsidRPr="00753A3B">
        <w:rPr>
          <w:rStyle w:val="hit"/>
        </w:rPr>
        <w:lastRenderedPageBreak/>
        <w:t>no obvious need for urgency. A few days later</w:t>
      </w:r>
      <w:r w:rsidR="00DB1266">
        <w:rPr>
          <w:rStyle w:val="hit"/>
        </w:rPr>
        <w:t>,</w:t>
      </w:r>
      <w:r w:rsidRPr="00753A3B">
        <w:rPr>
          <w:rStyle w:val="hit"/>
        </w:rPr>
        <w:t xml:space="preserve"> the defendant’s creditors withdrew their support an</w:t>
      </w:r>
      <w:r w:rsidR="00002ABF">
        <w:rPr>
          <w:rStyle w:val="hit"/>
        </w:rPr>
        <w:t xml:space="preserve">d </w:t>
      </w:r>
      <w:r w:rsidR="00482C86">
        <w:rPr>
          <w:rStyle w:val="hit"/>
        </w:rPr>
        <w:t>the bank applied its rights of set-off against the account where the mistaken payment had been received</w:t>
      </w:r>
      <w:r w:rsidR="00002ABF">
        <w:rPr>
          <w:rStyle w:val="hit"/>
        </w:rPr>
        <w:t>, an event which had not been anticipated by the defendants.</w:t>
      </w:r>
      <w:r w:rsidR="00BF3743">
        <w:rPr>
          <w:rStyle w:val="FootnoteReference"/>
        </w:rPr>
        <w:footnoteReference w:id="221"/>
      </w:r>
      <w:r w:rsidRPr="00753A3B">
        <w:rPr>
          <w:rStyle w:val="hit"/>
        </w:rPr>
        <w:t xml:space="preserve"> </w:t>
      </w:r>
      <w:r w:rsidRPr="00753A3B">
        <w:t>Although knowledge was present</w:t>
      </w:r>
      <w:r w:rsidR="004A152D">
        <w:t xml:space="preserve"> </w:t>
      </w:r>
      <w:r w:rsidR="00482C86">
        <w:t>before this event</w:t>
      </w:r>
      <w:r w:rsidRPr="00753A3B">
        <w:t>,</w:t>
      </w:r>
      <w:r w:rsidR="007B581A">
        <w:t xml:space="preserve"> </w:t>
      </w:r>
      <w:r w:rsidR="00914A87">
        <w:t>t</w:t>
      </w:r>
      <w:r w:rsidRPr="00753A3B">
        <w:t>he</w:t>
      </w:r>
      <w:r w:rsidR="00E816D7">
        <w:t xml:space="preserve"> </w:t>
      </w:r>
      <w:r w:rsidR="00482C86">
        <w:t>defendant had not foreseen the exercise of the bank’s right of set off nor the fact that personal restitution would become impossible in this event.</w:t>
      </w:r>
      <w:r w:rsidR="00E72826">
        <w:rPr>
          <w:rStyle w:val="FootnoteReference"/>
        </w:rPr>
        <w:footnoteReference w:id="222"/>
      </w:r>
      <w:r w:rsidRPr="00753A3B">
        <w:t xml:space="preserve"> </w:t>
      </w:r>
      <w:r w:rsidR="00914A87">
        <w:t xml:space="preserve">This provides a significant distinction with </w:t>
      </w:r>
      <w:r w:rsidR="00914A87">
        <w:rPr>
          <w:i/>
        </w:rPr>
        <w:t xml:space="preserve">Chase Manhattan </w:t>
      </w:r>
      <w:r w:rsidR="00914A87">
        <w:t xml:space="preserve">where in that case the delay was much longer and the defendant was fully aware of the impending bankruptcy but failed to take any steps to return the money. </w:t>
      </w:r>
    </w:p>
    <w:p w:rsidR="00546BEF" w:rsidRDefault="00D71B6A">
      <w:pPr>
        <w:spacing w:line="360" w:lineRule="auto"/>
        <w:ind w:firstLine="720"/>
        <w:jc w:val="both"/>
      </w:pPr>
      <w:r>
        <w:rPr>
          <w:rStyle w:val="hit"/>
        </w:rPr>
        <w:t xml:space="preserve">Furthermore, in </w:t>
      </w:r>
      <w:r w:rsidRPr="00EC3A59">
        <w:rPr>
          <w:i/>
        </w:rPr>
        <w:t>Pertemps v HMRC</w:t>
      </w:r>
      <w:r>
        <w:t>,</w:t>
      </w:r>
      <w:r w:rsidRPr="00EC3A59">
        <w:rPr>
          <w:rStyle w:val="FootnoteReference"/>
        </w:rPr>
        <w:footnoteReference w:id="223"/>
      </w:r>
      <w:r>
        <w:t xml:space="preserve"> it again makes sense that the mistaken payments were not regarded as being subject to proprietary restitution. The recipient did </w:t>
      </w:r>
      <w:r w:rsidR="005C59E2">
        <w:t xml:space="preserve">have knowledge that it had received mistaken payments, but </w:t>
      </w:r>
      <w:r w:rsidR="00992631">
        <w:t xml:space="preserve">was </w:t>
      </w:r>
      <w:r w:rsidR="005C59E2">
        <w:t>fully</w:t>
      </w:r>
      <w:r>
        <w:t xml:space="preserve"> </w:t>
      </w:r>
      <w:r w:rsidR="00992631">
        <w:t>prepar</w:t>
      </w:r>
      <w:r w:rsidR="005C59E2">
        <w:t>ed</w:t>
      </w:r>
      <w:r>
        <w:t xml:space="preserve"> to return the money to its agents. </w:t>
      </w:r>
      <w:r w:rsidR="00482C86">
        <w:t xml:space="preserve">In </w:t>
      </w:r>
      <w:r w:rsidR="00482C86">
        <w:rPr>
          <w:i/>
        </w:rPr>
        <w:t>Pertemps</w:t>
      </w:r>
      <w:r w:rsidR="00482C86">
        <w:t xml:space="preserve">, there were no circumstances which made immediate repayment a pressing concern, and </w:t>
      </w:r>
      <w:r w:rsidR="00AF7F38">
        <w:t xml:space="preserve">the recipient had taken steps to ensure that </w:t>
      </w:r>
      <w:r w:rsidR="000F76BF">
        <w:t>sufficient</w:t>
      </w:r>
      <w:r w:rsidR="00AF7F38">
        <w:t xml:space="preserve"> money would be available for </w:t>
      </w:r>
      <w:r w:rsidR="000F76BF">
        <w:t xml:space="preserve">claims by </w:t>
      </w:r>
      <w:r w:rsidR="00AF7F38">
        <w:t>the agents.</w:t>
      </w:r>
      <w:r w:rsidR="00482C86">
        <w:rPr>
          <w:i/>
        </w:rPr>
        <w:t xml:space="preserve"> </w:t>
      </w:r>
      <w:r w:rsidR="00F81C31">
        <w:t xml:space="preserve">There was, thus, </w:t>
      </w:r>
      <w:r w:rsidR="00422514">
        <w:t>no act of wilful misconduct</w:t>
      </w:r>
      <w:r w:rsidR="00F81C31">
        <w:t xml:space="preserve"> to justify treating the money as being subject to proprietary restitution</w:t>
      </w:r>
      <w:r w:rsidR="00A959B4">
        <w:t>.</w:t>
      </w:r>
    </w:p>
    <w:p w:rsidR="00392FDB" w:rsidRDefault="00392FDB" w:rsidP="00C937DB">
      <w:pPr>
        <w:spacing w:line="360" w:lineRule="auto"/>
        <w:jc w:val="both"/>
      </w:pPr>
    </w:p>
    <w:p w:rsidR="00D71B6A" w:rsidRPr="00753A3B" w:rsidRDefault="00AC23D5" w:rsidP="00C937DB">
      <w:pPr>
        <w:pStyle w:val="Header1"/>
        <w:spacing w:line="360" w:lineRule="auto"/>
      </w:pPr>
      <w:bookmarkStart w:id="46" w:name="_Toc300168453"/>
      <w:r>
        <w:t>VII</w:t>
      </w:r>
      <w:r w:rsidR="00D71B6A">
        <w:rPr>
          <w:i/>
        </w:rPr>
        <w:t xml:space="preserve">. </w:t>
      </w:r>
      <w:r w:rsidR="00D71B6A" w:rsidRPr="00753A3B">
        <w:t>Conclusion</w:t>
      </w:r>
      <w:bookmarkEnd w:id="46"/>
    </w:p>
    <w:p w:rsidR="003E14AB" w:rsidRPr="00753A3B" w:rsidRDefault="003E14AB" w:rsidP="00C937DB">
      <w:pPr>
        <w:spacing w:line="360" w:lineRule="auto"/>
        <w:jc w:val="both"/>
      </w:pPr>
    </w:p>
    <w:p w:rsidR="00CA6365" w:rsidRDefault="00D71B6A" w:rsidP="00C937DB">
      <w:pPr>
        <w:spacing w:line="360" w:lineRule="auto"/>
        <w:jc w:val="both"/>
      </w:pPr>
      <w:r w:rsidRPr="00753A3B">
        <w:t xml:space="preserve">The analysis presented here is consistent with the developing case law in this area and demonstrates </w:t>
      </w:r>
      <w:r w:rsidR="006A2351">
        <w:t xml:space="preserve">that </w:t>
      </w:r>
      <w:r w:rsidR="00204D43">
        <w:t xml:space="preserve">knowledge in cases of </w:t>
      </w:r>
      <w:r w:rsidR="00462E4D">
        <w:t>mistaken transfers</w:t>
      </w:r>
      <w:r w:rsidR="006A2351">
        <w:t xml:space="preserve"> is a necessary but not sufficient condition for proprietary restitution</w:t>
      </w:r>
      <w:r w:rsidR="005D3508">
        <w:t>.</w:t>
      </w:r>
      <w:r>
        <w:t xml:space="preserve"> </w:t>
      </w:r>
      <w:r w:rsidR="00E72F17">
        <w:t>A study</w:t>
      </w:r>
      <w:r w:rsidR="006A2351">
        <w:t xml:space="preserve"> of the case law</w:t>
      </w:r>
      <w:r w:rsidR="005D3508">
        <w:t xml:space="preserve"> reveals that p</w:t>
      </w:r>
      <w:r w:rsidR="00972B38">
        <w:t xml:space="preserve">roprietary </w:t>
      </w:r>
      <w:r>
        <w:t xml:space="preserve">restitution </w:t>
      </w:r>
      <w:r w:rsidR="00A17426">
        <w:t xml:space="preserve">in cases of </w:t>
      </w:r>
      <w:r w:rsidR="00462E4D">
        <w:t>mistaken</w:t>
      </w:r>
      <w:r w:rsidR="00A17426">
        <w:t xml:space="preserve"> transfers </w:t>
      </w:r>
      <w:r w:rsidR="00F81C31">
        <w:t>requires knowledge</w:t>
      </w:r>
      <w:r w:rsidR="00E72F17">
        <w:t>,</w:t>
      </w:r>
      <w:r w:rsidR="006A2351">
        <w:t xml:space="preserve"> as well as</w:t>
      </w:r>
      <w:r w:rsidR="00F81C31">
        <w:t xml:space="preserve"> </w:t>
      </w:r>
      <w:r w:rsidR="00422514">
        <w:t>the wilful misconduct of the recipient in failing to maintain the fund</w:t>
      </w:r>
      <w:r w:rsidRPr="00753A3B">
        <w:t xml:space="preserve">. </w:t>
      </w:r>
      <w:r w:rsidR="00972B38">
        <w:t xml:space="preserve">At present, </w:t>
      </w:r>
      <w:r w:rsidR="00661DFA">
        <w:t>most of the</w:t>
      </w:r>
      <w:r w:rsidR="00972B38">
        <w:t xml:space="preserve"> </w:t>
      </w:r>
      <w:r w:rsidR="00DB1266">
        <w:t>theories focus on the intention</w:t>
      </w:r>
      <w:r w:rsidR="00972B38">
        <w:t xml:space="preserve"> of the claimant as the sole factor in determining whether or not proprietary restitution is available. </w:t>
      </w:r>
      <w:r w:rsidR="00CC1560">
        <w:t xml:space="preserve">Those theories do not fit the pattern of the cases, and also end up providing an ‘all or nothing’ approach; </w:t>
      </w:r>
      <w:r w:rsidR="00920DE3">
        <w:t xml:space="preserve">according to those theories, </w:t>
      </w:r>
      <w:r w:rsidR="00CC1560">
        <w:t>e</w:t>
      </w:r>
      <w:r w:rsidR="00920DE3">
        <w:t>ither proprietary restitution should</w:t>
      </w:r>
      <w:r w:rsidR="00CC1560">
        <w:t xml:space="preserve"> </w:t>
      </w:r>
      <w:r w:rsidR="00920DE3">
        <w:t xml:space="preserve">always be </w:t>
      </w:r>
      <w:r w:rsidR="00CC1560">
        <w:t xml:space="preserve">available for </w:t>
      </w:r>
      <w:r w:rsidR="00462E4D">
        <w:t>mistaken</w:t>
      </w:r>
      <w:r w:rsidR="00727729">
        <w:t xml:space="preserve"> transfer</w:t>
      </w:r>
      <w:r w:rsidR="00CC1560">
        <w:t xml:space="preserve">s or it </w:t>
      </w:r>
      <w:r w:rsidR="00920DE3">
        <w:t xml:space="preserve">should never be available for </w:t>
      </w:r>
      <w:r w:rsidR="00462E4D">
        <w:t>mistaken</w:t>
      </w:r>
      <w:r w:rsidR="00920DE3">
        <w:t xml:space="preserve"> transfers</w:t>
      </w:r>
      <w:r w:rsidR="00CC1560">
        <w:t xml:space="preserve">. </w:t>
      </w:r>
      <w:r w:rsidR="005D3508">
        <w:t>However, t</w:t>
      </w:r>
      <w:r w:rsidR="00CC1560">
        <w:t xml:space="preserve">here </w:t>
      </w:r>
      <w:r w:rsidR="00081F3E">
        <w:t>will be</w:t>
      </w:r>
      <w:r w:rsidR="00CC1560">
        <w:t xml:space="preserve"> cases where</w:t>
      </w:r>
      <w:r w:rsidR="00476E77">
        <w:t xml:space="preserve"> an error by the claimant is a reason for precluding proprietary restitution just as there will be cases where, despite the error of the claimant, the behaviour of the recipient calls for the availability of proprietary restitution</w:t>
      </w:r>
      <w:r w:rsidR="006A2351">
        <w:t xml:space="preserve">. </w:t>
      </w:r>
      <w:r w:rsidR="00661DFA">
        <w:t xml:space="preserve">Although Lord Browne-Wilkinson’s </w:t>
      </w:r>
      <w:r w:rsidR="00AE755D">
        <w:t>suggestion</w:t>
      </w:r>
      <w:r w:rsidR="00661DFA">
        <w:t xml:space="preserve"> </w:t>
      </w:r>
      <w:r w:rsidR="00AE755D">
        <w:t>in</w:t>
      </w:r>
      <w:r w:rsidR="00AE755D">
        <w:rPr>
          <w:i/>
        </w:rPr>
        <w:t xml:space="preserve"> </w:t>
      </w:r>
      <w:r w:rsidR="0020560D" w:rsidRPr="0020560D">
        <w:rPr>
          <w:i/>
        </w:rPr>
        <w:t xml:space="preserve">Westdeutsche </w:t>
      </w:r>
      <w:r w:rsidR="00AE755D">
        <w:t xml:space="preserve">that a </w:t>
      </w:r>
      <w:r w:rsidR="00AE755D">
        <w:lastRenderedPageBreak/>
        <w:t xml:space="preserve">constructive trust arises upon the knowledge of the recipient </w:t>
      </w:r>
      <w:r w:rsidR="00CC1560">
        <w:t xml:space="preserve">has the benefit of making the defendant’s </w:t>
      </w:r>
      <w:r w:rsidR="00CB4E03">
        <w:t>state of mind</w:t>
      </w:r>
      <w:r w:rsidR="00CC1560">
        <w:t xml:space="preserve"> relevant, this article has argued that more should be needed to establish proprietary restitution</w:t>
      </w:r>
      <w:r w:rsidR="00661DFA">
        <w:t xml:space="preserve">. Knowledge alone seems an insufficient justification for proprietary restitution, and there is subsequent case law that cannot be reconciled with that approach. The suggestion in this article is that knowledge creates a duty to make restitution, and that proprietary restitution </w:t>
      </w:r>
      <w:r w:rsidR="00392FDB">
        <w:t xml:space="preserve">of the traceable proceeds </w:t>
      </w:r>
      <w:r w:rsidR="00661DFA">
        <w:t>is a response to the breach of that duty. The key element in identifying the breach of this duty, and thus the availability of proprietary restitution, is th</w:t>
      </w:r>
      <w:r w:rsidR="00476E77">
        <w:t xml:space="preserve">at it can be demonstrated that </w:t>
      </w:r>
      <w:r w:rsidR="00661DFA">
        <w:t xml:space="preserve">the recipient </w:t>
      </w:r>
      <w:r w:rsidR="00330D25">
        <w:t>acted with wilful misconduct in the performance of their duty</w:t>
      </w:r>
      <w:r w:rsidR="00661DFA">
        <w:t>. That provides a clearer justification</w:t>
      </w:r>
      <w:r w:rsidR="00CC1560">
        <w:t>, which not only fits w</w:t>
      </w:r>
      <w:r w:rsidR="00E72F17">
        <w:t>ith the patterns</w:t>
      </w:r>
      <w:r w:rsidR="00CC1560">
        <w:t xml:space="preserve"> of the case law, but furthermore fits the principles and precedents established by the courts of equity. </w:t>
      </w:r>
    </w:p>
    <w:sectPr w:rsidR="00CA6365" w:rsidSect="00B172C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844" w:rsidRDefault="00CB2844" w:rsidP="005219E1">
      <w:r>
        <w:separator/>
      </w:r>
    </w:p>
  </w:endnote>
  <w:endnote w:type="continuationSeparator" w:id="0">
    <w:p w:rsidR="00CB2844" w:rsidRDefault="00CB2844" w:rsidP="0052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C8E" w:rsidRDefault="00330C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0850"/>
      <w:docPartObj>
        <w:docPartGallery w:val="Page Numbers (Bottom of Page)"/>
        <w:docPartUnique/>
      </w:docPartObj>
    </w:sdtPr>
    <w:sdtEndPr/>
    <w:sdtContent>
      <w:p w:rsidR="00330C8E" w:rsidRDefault="00761C1A">
        <w:pPr>
          <w:pStyle w:val="Footer"/>
          <w:jc w:val="right"/>
        </w:pPr>
        <w:r>
          <w:fldChar w:fldCharType="begin"/>
        </w:r>
        <w:r>
          <w:instrText xml:space="preserve"> PAGE   \* MERGEFORMAT </w:instrText>
        </w:r>
        <w:r>
          <w:fldChar w:fldCharType="separate"/>
        </w:r>
        <w:r w:rsidR="00040DEB">
          <w:rPr>
            <w:noProof/>
          </w:rPr>
          <w:t>1</w:t>
        </w:r>
        <w:r>
          <w:rPr>
            <w:noProof/>
          </w:rPr>
          <w:fldChar w:fldCharType="end"/>
        </w:r>
      </w:p>
    </w:sdtContent>
  </w:sdt>
  <w:p w:rsidR="00330C8E" w:rsidRDefault="00330C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C8E" w:rsidRDefault="00330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844" w:rsidRDefault="00CB2844" w:rsidP="005219E1">
      <w:r>
        <w:separator/>
      </w:r>
    </w:p>
  </w:footnote>
  <w:footnote w:type="continuationSeparator" w:id="0">
    <w:p w:rsidR="00CB2844" w:rsidRDefault="00CB2844" w:rsidP="005219E1">
      <w:r>
        <w:continuationSeparator/>
      </w:r>
    </w:p>
  </w:footnote>
  <w:footnote w:id="1">
    <w:p w:rsidR="00850BCC" w:rsidRDefault="00850BCC" w:rsidP="00850BCC">
      <w:pPr>
        <w:pStyle w:val="FootnoteText"/>
      </w:pPr>
      <w:r>
        <w:rPr>
          <w:rStyle w:val="FootnoteReference"/>
        </w:rPr>
        <w:t>*</w:t>
      </w:r>
      <w:r>
        <w:t xml:space="preserve"> Address for Correspondence:  Aston Law, Aston Business School, University of Aston, Birmingham B4 7ET. Email: </w:t>
      </w:r>
      <w:hyperlink r:id="rId1" w:history="1">
        <w:r w:rsidRPr="003763CA">
          <w:rPr>
            <w:rStyle w:val="Hyperlink"/>
          </w:rPr>
          <w:t>d.salmons@aston.ac.uk</w:t>
        </w:r>
      </w:hyperlink>
      <w:r>
        <w:t>.</w:t>
      </w:r>
    </w:p>
    <w:p w:rsidR="00850BCC" w:rsidRDefault="00850BCC" w:rsidP="00850BCC">
      <w:pPr>
        <w:pStyle w:val="FootnoteText"/>
        <w:ind w:firstLine="720"/>
      </w:pPr>
      <w:r>
        <w:t>I would like to thank Dr Astrid Sanders for reading various versions of this article, as well as the invaluable comments of the two anonymous reviewers. This article was based on a paper delivered at the 2012 Society of Legal Scholars Conference at the University of Bristol. I would also like to thank the comments of those who were in attendance for the paper.</w:t>
      </w:r>
    </w:p>
  </w:footnote>
  <w:footnote w:id="2">
    <w:p w:rsidR="00330C8E" w:rsidRDefault="00330C8E">
      <w:pPr>
        <w:pStyle w:val="FootnoteText"/>
      </w:pPr>
      <w:r>
        <w:rPr>
          <w:rStyle w:val="FootnoteReference"/>
        </w:rPr>
        <w:footnoteRef/>
      </w:r>
      <w:r>
        <w:t xml:space="preserve"> A. Burrows, “</w:t>
      </w:r>
      <w:r w:rsidRPr="009D44ED">
        <w:t>The English Law of</w:t>
      </w:r>
      <w:r>
        <w:t xml:space="preserve"> Restitution: A Ten-Year Review”</w:t>
      </w:r>
      <w:r w:rsidRPr="009D44ED">
        <w:t xml:space="preserve"> in</w:t>
      </w:r>
      <w:r>
        <w:t xml:space="preserve"> J.</w:t>
      </w:r>
      <w:r w:rsidRPr="009D44ED">
        <w:t xml:space="preserve"> Neyers, </w:t>
      </w:r>
      <w:r>
        <w:t xml:space="preserve">M. </w:t>
      </w:r>
      <w:r w:rsidRPr="009D44ED">
        <w:t xml:space="preserve">McInnes and </w:t>
      </w:r>
      <w:r>
        <w:t xml:space="preserve">S. </w:t>
      </w:r>
      <w:r w:rsidRPr="009D44ED">
        <w:t>Pitel (eds</w:t>
      </w:r>
      <w:r>
        <w:t>.</w:t>
      </w:r>
      <w:r w:rsidRPr="009D44ED">
        <w:t xml:space="preserve">), </w:t>
      </w:r>
      <w:r w:rsidRPr="00594653">
        <w:rPr>
          <w:i/>
        </w:rPr>
        <w:t>Understanding Unjust Enrichment</w:t>
      </w:r>
      <w:r>
        <w:t xml:space="preserve"> (Oxford </w:t>
      </w:r>
      <w:r w:rsidRPr="009D44ED">
        <w:t>2004)</w:t>
      </w:r>
      <w:r>
        <w:t>, 23.</w:t>
      </w:r>
    </w:p>
  </w:footnote>
  <w:footnote w:id="3">
    <w:p w:rsidR="00330C8E" w:rsidRDefault="00330C8E">
      <w:pPr>
        <w:pStyle w:val="FootnoteText"/>
      </w:pPr>
      <w:r>
        <w:rPr>
          <w:rStyle w:val="FootnoteReference"/>
        </w:rPr>
        <w:footnoteRef/>
      </w:r>
      <w:r>
        <w:t xml:space="preserve"> </w:t>
      </w:r>
      <w:r>
        <w:rPr>
          <w:i/>
        </w:rPr>
        <w:t xml:space="preserve">Armitage v Nurse </w:t>
      </w:r>
      <w:r w:rsidRPr="00277480">
        <w:t>[1998] Ch. 241</w:t>
      </w:r>
      <w:r>
        <w:t>, 252 (Lord Millett).</w:t>
      </w:r>
    </w:p>
  </w:footnote>
  <w:footnote w:id="4">
    <w:p w:rsidR="00330C8E" w:rsidRDefault="00330C8E">
      <w:pPr>
        <w:pStyle w:val="FootnoteText"/>
      </w:pPr>
      <w:r>
        <w:rPr>
          <w:rStyle w:val="FootnoteReference"/>
        </w:rPr>
        <w:footnoteRef/>
      </w:r>
      <w:r>
        <w:t xml:space="preserve"> </w:t>
      </w:r>
      <w:r w:rsidRPr="0093340E">
        <w:t>P</w:t>
      </w:r>
      <w:r>
        <w:t>.</w:t>
      </w:r>
      <w:r w:rsidRPr="0093340E">
        <w:t xml:space="preserve"> Birks, </w:t>
      </w:r>
      <w:r w:rsidRPr="0093340E">
        <w:rPr>
          <w:i/>
          <w:iCs/>
        </w:rPr>
        <w:t>An Introduction to the Law of Restitution</w:t>
      </w:r>
      <w:r>
        <w:rPr>
          <w:iCs/>
        </w:rPr>
        <w:t>,</w:t>
      </w:r>
      <w:r>
        <w:t xml:space="preserve"> rev. ed. (Oxford 1989),</w:t>
      </w:r>
      <w:r>
        <w:rPr>
          <w:i/>
        </w:rPr>
        <w:t xml:space="preserve"> </w:t>
      </w:r>
      <w:r w:rsidRPr="0093340E">
        <w:t>313</w:t>
      </w:r>
      <w:r>
        <w:t xml:space="preserve">; P. Birks, ‘Rights, Wrongs, and Remedies’ (2000) 20 </w:t>
      </w:r>
      <w:r w:rsidRPr="004C49F0">
        <w:t>O</w:t>
      </w:r>
      <w:r>
        <w:t>.</w:t>
      </w:r>
      <w:r w:rsidRPr="004C49F0">
        <w:t>J</w:t>
      </w:r>
      <w:r>
        <w:t>.</w:t>
      </w:r>
      <w:r w:rsidRPr="004C49F0">
        <w:t>L</w:t>
      </w:r>
      <w:r>
        <w:t>.</w:t>
      </w:r>
      <w:r w:rsidRPr="004C49F0">
        <w:t>S</w:t>
      </w:r>
      <w:r>
        <w:t xml:space="preserve">. 1, 31-32. This is discussed at the text to note </w:t>
      </w:r>
      <w:r w:rsidR="00A82354">
        <w:fldChar w:fldCharType="begin"/>
      </w:r>
      <w:r>
        <w:instrText xml:space="preserve"> NOTEREF _Ref417461473 \h </w:instrText>
      </w:r>
      <w:r w:rsidR="00A82354">
        <w:fldChar w:fldCharType="separate"/>
      </w:r>
      <w:r w:rsidR="00265B00">
        <w:t>105</w:t>
      </w:r>
      <w:r w:rsidR="00A82354">
        <w:fldChar w:fldCharType="end"/>
      </w:r>
      <w:r>
        <w:t xml:space="preserve"> below.</w:t>
      </w:r>
    </w:p>
  </w:footnote>
  <w:footnote w:id="5">
    <w:p w:rsidR="00330C8E" w:rsidRPr="009655B8" w:rsidRDefault="00330C8E" w:rsidP="005219E1">
      <w:pPr>
        <w:pStyle w:val="FootnoteText"/>
      </w:pPr>
      <w:r>
        <w:rPr>
          <w:rStyle w:val="FootnoteReference"/>
        </w:rPr>
        <w:footnoteRef/>
      </w:r>
      <w:r>
        <w:t xml:space="preserve"> </w:t>
      </w:r>
      <w:r w:rsidRPr="009D4CC7">
        <w:rPr>
          <w:i/>
        </w:rPr>
        <w:t>E</w:t>
      </w:r>
      <w:r>
        <w:rPr>
          <w:i/>
        </w:rPr>
        <w:t>.</w:t>
      </w:r>
      <w:r w:rsidRPr="009D4CC7">
        <w:rPr>
          <w:i/>
        </w:rPr>
        <w:t>g</w:t>
      </w:r>
      <w:r>
        <w:rPr>
          <w:i/>
        </w:rPr>
        <w:t>.</w:t>
      </w:r>
      <w:r w:rsidRPr="009D4CC7">
        <w:rPr>
          <w:i/>
        </w:rPr>
        <w:t xml:space="preserve"> </w:t>
      </w:r>
      <w:r>
        <w:rPr>
          <w:i/>
        </w:rPr>
        <w:t>Getronics</w:t>
      </w:r>
      <w:r w:rsidRPr="006D4836">
        <w:rPr>
          <w:rStyle w:val="hit"/>
          <w:i/>
        </w:rPr>
        <w:t xml:space="preserve"> v Logistic &amp; Transport Consulting </w:t>
      </w:r>
      <w:r w:rsidRPr="00633839">
        <w:t>(</w:t>
      </w:r>
      <w:r>
        <w:t>QB, 30 April 2004</w:t>
      </w:r>
      <w:r w:rsidR="00A82354">
        <w:fldChar w:fldCharType="begin"/>
      </w:r>
      <w:r>
        <w:instrText xml:space="preserve"> TA \s "30 April 2004" </w:instrText>
      </w:r>
      <w:r w:rsidR="00A82354">
        <w:fldChar w:fldCharType="end"/>
      </w:r>
      <w:r w:rsidRPr="00633839">
        <w:t>)</w:t>
      </w:r>
      <w:r>
        <w:t xml:space="preserve">. See also </w:t>
      </w:r>
      <w:r w:rsidRPr="009655B8">
        <w:rPr>
          <w:i/>
        </w:rPr>
        <w:t>Deutsche Bank AG v Vik</w:t>
      </w:r>
      <w:r w:rsidRPr="00C0287D">
        <w:t xml:space="preserve"> </w:t>
      </w:r>
      <w:r w:rsidRPr="009655B8">
        <w:t>[2010] EWHC 551 (Comm)</w:t>
      </w:r>
      <w:r>
        <w:t xml:space="preserve"> [4] (Burton J.).</w:t>
      </w:r>
    </w:p>
  </w:footnote>
  <w:footnote w:id="6">
    <w:p w:rsidR="00330C8E" w:rsidRDefault="00330C8E">
      <w:pPr>
        <w:pStyle w:val="FootnoteText"/>
      </w:pPr>
      <w:r>
        <w:rPr>
          <w:rStyle w:val="FootnoteReference"/>
        </w:rPr>
        <w:footnoteRef/>
      </w:r>
      <w:r>
        <w:t xml:space="preserve"> B. </w:t>
      </w:r>
      <w:r w:rsidRPr="0018765A">
        <w:t xml:space="preserve">McFarlane, </w:t>
      </w:r>
      <w:r w:rsidRPr="0018765A">
        <w:rPr>
          <w:i/>
        </w:rPr>
        <w:t>The Structure of Property Law</w:t>
      </w:r>
      <w:r>
        <w:t xml:space="preserve"> (Oxford 2008),</w:t>
      </w:r>
      <w:r w:rsidRPr="0018765A">
        <w:t xml:space="preserve"> 305-3</w:t>
      </w:r>
      <w:r>
        <w:t xml:space="preserve">07. Somewhat tentative support is evident in G. Virgo, “The Role of Fault in the Law of Restitution” in A. Burrows and Lord Rodger (eds.), </w:t>
      </w:r>
      <w:r>
        <w:rPr>
          <w:i/>
        </w:rPr>
        <w:t>Mapping the Law: Essays in Memory of Peter Birks</w:t>
      </w:r>
      <w:r>
        <w:t xml:space="preserve"> (Oxford 2006), 92-94.</w:t>
      </w:r>
    </w:p>
  </w:footnote>
  <w:footnote w:id="7">
    <w:p w:rsidR="00330C8E" w:rsidRDefault="00330C8E" w:rsidP="00835D3E">
      <w:pPr>
        <w:pStyle w:val="FootnoteText"/>
      </w:pPr>
      <w:r>
        <w:rPr>
          <w:rStyle w:val="FootnoteReference"/>
        </w:rPr>
        <w:footnoteRef/>
      </w:r>
      <w:r>
        <w:t xml:space="preserve"> </w:t>
      </w:r>
      <w:r>
        <w:rPr>
          <w:i/>
        </w:rPr>
        <w:t>Fitzalan-Howard</w:t>
      </w:r>
      <w:r w:rsidRPr="001F12FE">
        <w:rPr>
          <w:i/>
        </w:rPr>
        <w:t xml:space="preserve"> v Hibbert</w:t>
      </w:r>
      <w:r>
        <w:t xml:space="preserve"> </w:t>
      </w:r>
      <w:r w:rsidRPr="001F12FE">
        <w:t>[2009] EWHC 2855 (QB)</w:t>
      </w:r>
      <w:r>
        <w:t xml:space="preserve">; </w:t>
      </w:r>
      <w:r w:rsidRPr="00EC3A59">
        <w:rPr>
          <w:i/>
        </w:rPr>
        <w:t>Pertemps Recruitment Partnership Ltd v HMRC</w:t>
      </w:r>
      <w:r>
        <w:t xml:space="preserve"> (2011)</w:t>
      </w:r>
      <w:r w:rsidRPr="00EC3A59">
        <w:t xml:space="preserve"> UKUT 272 (</w:t>
      </w:r>
      <w:r>
        <w:t>TCC</w:t>
      </w:r>
      <w:r w:rsidRPr="00EC3A59">
        <w:t>)</w:t>
      </w:r>
      <w:r>
        <w:t>.</w:t>
      </w:r>
      <w:r w:rsidRPr="00DD3423">
        <w:rPr>
          <w:iCs/>
        </w:rPr>
        <w:t xml:space="preserve"> </w:t>
      </w:r>
    </w:p>
  </w:footnote>
  <w:footnote w:id="8">
    <w:p w:rsidR="00330C8E" w:rsidRDefault="00330C8E" w:rsidP="00F54C8E">
      <w:pPr>
        <w:pStyle w:val="FootnoteText"/>
        <w:jc w:val="both"/>
      </w:pPr>
      <w:r w:rsidRPr="0093340E">
        <w:rPr>
          <w:rStyle w:val="FootnoteReference"/>
        </w:rPr>
        <w:footnoteRef/>
      </w:r>
      <w:r w:rsidRPr="0093340E">
        <w:t xml:space="preserve"> </w:t>
      </w:r>
      <w:r w:rsidRPr="0082626F">
        <w:rPr>
          <w:i/>
        </w:rPr>
        <w:t>E</w:t>
      </w:r>
      <w:r>
        <w:rPr>
          <w:i/>
        </w:rPr>
        <w:t>.</w:t>
      </w:r>
      <w:r w:rsidRPr="0082626F">
        <w:rPr>
          <w:i/>
        </w:rPr>
        <w:t>g</w:t>
      </w:r>
      <w:r>
        <w:rPr>
          <w:i/>
        </w:rPr>
        <w:t>.</w:t>
      </w:r>
      <w:r>
        <w:t xml:space="preserve"> </w:t>
      </w:r>
      <w:r w:rsidRPr="00753A3B">
        <w:rPr>
          <w:i/>
          <w:iCs/>
        </w:rPr>
        <w:t>Chase Manhattan Bank NA v Israeli-British Bank (London) Ltd</w:t>
      </w:r>
      <w:r w:rsidRPr="0093340E">
        <w:t xml:space="preserve"> [1981] Ch</w:t>
      </w:r>
      <w:r>
        <w:t>.</w:t>
      </w:r>
      <w:r w:rsidRPr="0093340E">
        <w:t xml:space="preserve"> </w:t>
      </w:r>
      <w:r w:rsidRPr="0018765A">
        <w:t>105</w:t>
      </w:r>
      <w:r>
        <w:t>.</w:t>
      </w:r>
      <w:r w:rsidR="00A82354" w:rsidRPr="0018765A">
        <w:fldChar w:fldCharType="begin"/>
      </w:r>
      <w:r w:rsidRPr="0018765A">
        <w:instrText xml:space="preserve"> TA \s "[1981] Ch 105" </w:instrText>
      </w:r>
      <w:r w:rsidR="00A82354" w:rsidRPr="0018765A">
        <w:fldChar w:fldCharType="end"/>
      </w:r>
    </w:p>
  </w:footnote>
  <w:footnote w:id="9">
    <w:p w:rsidR="00330C8E" w:rsidRPr="008D2BAC" w:rsidRDefault="00330C8E" w:rsidP="00F54C8E">
      <w:pPr>
        <w:pStyle w:val="FootnoteText"/>
      </w:pPr>
      <w:r>
        <w:rPr>
          <w:rStyle w:val="FootnoteReference"/>
        </w:rPr>
        <w:footnoteRef/>
      </w:r>
      <w:r>
        <w:t xml:space="preserve"> </w:t>
      </w:r>
      <w:r w:rsidRPr="0082626F">
        <w:rPr>
          <w:i/>
        </w:rPr>
        <w:t>E</w:t>
      </w:r>
      <w:r>
        <w:rPr>
          <w:i/>
        </w:rPr>
        <w:t>.</w:t>
      </w:r>
      <w:r w:rsidRPr="0082626F">
        <w:rPr>
          <w:i/>
        </w:rPr>
        <w:t>g</w:t>
      </w:r>
      <w:r>
        <w:rPr>
          <w:i/>
        </w:rPr>
        <w:t>.</w:t>
      </w:r>
      <w:r>
        <w:t xml:space="preserve"> </w:t>
      </w:r>
      <w:r w:rsidRPr="00753A3B">
        <w:rPr>
          <w:rStyle w:val="hit"/>
          <w:i/>
        </w:rPr>
        <w:t>Commerzbank A</w:t>
      </w:r>
      <w:r>
        <w:rPr>
          <w:rStyle w:val="hit"/>
          <w:i/>
        </w:rPr>
        <w:t>ktiengesellschaft v IMB Morgan p</w:t>
      </w:r>
      <w:r w:rsidRPr="00753A3B">
        <w:rPr>
          <w:rStyle w:val="hit"/>
          <w:i/>
        </w:rPr>
        <w:t>lc</w:t>
      </w:r>
      <w:r w:rsidRPr="00CF6537">
        <w:t xml:space="preserve"> [2004] EWHC 2771</w:t>
      </w:r>
      <w:r w:rsidR="00A82354">
        <w:fldChar w:fldCharType="begin"/>
      </w:r>
      <w:r>
        <w:instrText xml:space="preserve"> TA \l "</w:instrText>
      </w:r>
      <w:r w:rsidRPr="004B2624">
        <w:rPr>
          <w:i/>
        </w:rPr>
        <w:instrText>Commerzbank Aktiengesellschaft v IMB Morgan Plc</w:instrText>
      </w:r>
      <w:r w:rsidRPr="004B2624">
        <w:instrText xml:space="preserve"> [2004] EWHC 2771 (Ch), [2005] 2 All ER (Comm) 564.</w:instrText>
      </w:r>
      <w:r>
        <w:instrText xml:space="preserve">" \s "[2004] EWHC 2771" \c 1 </w:instrText>
      </w:r>
      <w:r w:rsidR="00A82354">
        <w:fldChar w:fldCharType="end"/>
      </w:r>
      <w:r>
        <w:t xml:space="preserve"> (Ch);</w:t>
      </w:r>
      <w:r w:rsidRPr="00633839">
        <w:t xml:space="preserve"> [2005] 2 All ER (Comm) </w:t>
      </w:r>
      <w:r w:rsidRPr="008D2BAC">
        <w:t>564</w:t>
      </w:r>
      <w:r>
        <w:t>.</w:t>
      </w:r>
    </w:p>
  </w:footnote>
  <w:footnote w:id="10">
    <w:p w:rsidR="00330C8E" w:rsidRDefault="00330C8E">
      <w:pPr>
        <w:pStyle w:val="FootnoteText"/>
      </w:pPr>
      <w:r>
        <w:rPr>
          <w:rStyle w:val="FootnoteReference"/>
        </w:rPr>
        <w:footnoteRef/>
      </w:r>
      <w:r>
        <w:t xml:space="preserve"> Birks, </w:t>
      </w:r>
      <w:r>
        <w:rPr>
          <w:i/>
        </w:rPr>
        <w:t>An Introduction to the Law of Restitution</w:t>
      </w:r>
      <w:r>
        <w:t>, rev. ed. (Oxford 1989),</w:t>
      </w:r>
      <w:r>
        <w:rPr>
          <w:i/>
        </w:rPr>
        <w:t xml:space="preserve"> </w:t>
      </w:r>
      <w:r>
        <w:t>140.</w:t>
      </w:r>
    </w:p>
  </w:footnote>
  <w:footnote w:id="11">
    <w:p w:rsidR="00330C8E" w:rsidRPr="005157FC" w:rsidRDefault="00330C8E" w:rsidP="00F54C8E">
      <w:pPr>
        <w:pStyle w:val="FootnoteText"/>
      </w:pPr>
      <w:r w:rsidRPr="008D2BAC">
        <w:rPr>
          <w:rStyle w:val="FootnoteReference"/>
        </w:rPr>
        <w:footnoteRef/>
      </w:r>
      <w:r w:rsidRPr="008D2BAC">
        <w:t xml:space="preserve"> </w:t>
      </w:r>
      <w:r>
        <w:t xml:space="preserve">See text following note </w:t>
      </w:r>
      <w:r w:rsidR="00A82354">
        <w:fldChar w:fldCharType="begin"/>
      </w:r>
      <w:r>
        <w:instrText xml:space="preserve"> NOTEREF _Ref404365157 \h </w:instrText>
      </w:r>
      <w:r w:rsidR="00A82354">
        <w:fldChar w:fldCharType="separate"/>
      </w:r>
      <w:r w:rsidR="00265B00">
        <w:t>155</w:t>
      </w:r>
      <w:r w:rsidR="00A82354">
        <w:fldChar w:fldCharType="end"/>
      </w:r>
      <w:r>
        <w:t xml:space="preserve"> below. This distinction is drawn from </w:t>
      </w:r>
      <w:r w:rsidRPr="00A54554">
        <w:t>R</w:t>
      </w:r>
      <w:r>
        <w:t>.</w:t>
      </w:r>
      <w:r w:rsidRPr="00A54554">
        <w:t xml:space="preserve"> Grantham and C</w:t>
      </w:r>
      <w:r>
        <w:t>.</w:t>
      </w:r>
      <w:r w:rsidRPr="00A54554">
        <w:t xml:space="preserve"> Rickett, </w:t>
      </w:r>
      <w:r>
        <w:t>“</w:t>
      </w:r>
      <w:r w:rsidRPr="00A54554">
        <w:t>Property and Unjust Enrichment: Categorical Truths o</w:t>
      </w:r>
      <w:r>
        <w:t>r Unnecessary Complexity” (1997) 5 N.Z.</w:t>
      </w:r>
      <w:r w:rsidRPr="00A54554">
        <w:t>L</w:t>
      </w:r>
      <w:r>
        <w:t>.</w:t>
      </w:r>
      <w:r w:rsidRPr="00A54554">
        <w:t xml:space="preserve"> Rev</w:t>
      </w:r>
      <w:r>
        <w:t>.</w:t>
      </w:r>
      <w:r w:rsidRPr="00A54554">
        <w:t xml:space="preserve"> 668</w:t>
      </w:r>
      <w:r>
        <w:t xml:space="preserve">, 684. </w:t>
      </w:r>
      <w:r w:rsidRPr="008D2BAC">
        <w:rPr>
          <w:i/>
        </w:rPr>
        <w:t>E</w:t>
      </w:r>
      <w:r>
        <w:rPr>
          <w:i/>
        </w:rPr>
        <w:t>.</w:t>
      </w:r>
      <w:r w:rsidRPr="008D2BAC">
        <w:rPr>
          <w:i/>
        </w:rPr>
        <w:t>g</w:t>
      </w:r>
      <w:r>
        <w:rPr>
          <w:i/>
        </w:rPr>
        <w:t>.</w:t>
      </w:r>
      <w:r w:rsidRPr="008D2BAC">
        <w:t xml:space="preserve"> </w:t>
      </w:r>
      <w:r w:rsidRPr="008D2BAC">
        <w:rPr>
          <w:i/>
        </w:rPr>
        <w:t>Lipkin Gorman v Karpnale</w:t>
      </w:r>
      <w:r w:rsidRPr="008D2BAC">
        <w:t xml:space="preserve"> [1991] 2 A</w:t>
      </w:r>
      <w:r>
        <w:t>.</w:t>
      </w:r>
      <w:r w:rsidRPr="008D2BAC">
        <w:t>C</w:t>
      </w:r>
      <w:r>
        <w:t>.</w:t>
      </w:r>
      <w:r w:rsidRPr="008D2BAC">
        <w:t xml:space="preserve"> 548.</w:t>
      </w:r>
      <w:r>
        <w:t xml:space="preserve"> </w:t>
      </w:r>
    </w:p>
  </w:footnote>
  <w:footnote w:id="12">
    <w:p w:rsidR="00330C8E" w:rsidRDefault="00330C8E" w:rsidP="00F54C8E">
      <w:pPr>
        <w:pStyle w:val="FootnoteText"/>
      </w:pPr>
      <w:r>
        <w:rPr>
          <w:rStyle w:val="FootnoteReference"/>
        </w:rPr>
        <w:footnoteRef/>
      </w:r>
      <w:r>
        <w:t xml:space="preserve"> G. Virgo, </w:t>
      </w:r>
      <w:r>
        <w:rPr>
          <w:i/>
        </w:rPr>
        <w:t>The Principles of the Law of Restitution</w:t>
      </w:r>
      <w:r>
        <w:t>, 2</w:t>
      </w:r>
      <w:r w:rsidRPr="006F5C17">
        <w:t>nd</w:t>
      </w:r>
      <w:r>
        <w:t xml:space="preserve"> edn, (Oxford </w:t>
      </w:r>
      <w:r w:rsidRPr="0002401B">
        <w:t>2006)</w:t>
      </w:r>
      <w:r>
        <w:t>, 585-589.</w:t>
      </w:r>
    </w:p>
  </w:footnote>
  <w:footnote w:id="13">
    <w:p w:rsidR="00330C8E" w:rsidRPr="00775FC2" w:rsidRDefault="00330C8E" w:rsidP="00F54C8E">
      <w:pPr>
        <w:pStyle w:val="FootnoteText"/>
      </w:pPr>
      <w:r>
        <w:rPr>
          <w:rStyle w:val="FootnoteReference"/>
        </w:rPr>
        <w:footnoteRef/>
      </w:r>
      <w:r>
        <w:t xml:space="preserve"> </w:t>
      </w:r>
      <w:r>
        <w:rPr>
          <w:i/>
        </w:rPr>
        <w:t xml:space="preserve">R v Middleton </w:t>
      </w:r>
      <w:r>
        <w:t>(1873) L.R. 2 C.C.R. 38.</w:t>
      </w:r>
    </w:p>
  </w:footnote>
  <w:footnote w:id="14">
    <w:p w:rsidR="00330C8E" w:rsidRDefault="00330C8E" w:rsidP="00F54C8E">
      <w:pPr>
        <w:pStyle w:val="FootnoteText"/>
      </w:pPr>
      <w:r>
        <w:rPr>
          <w:rStyle w:val="FootnoteReference"/>
        </w:rPr>
        <w:footnoteRef/>
      </w:r>
      <w:r>
        <w:t xml:space="preserve"> </w:t>
      </w:r>
      <w:r w:rsidRPr="00775FC2">
        <w:rPr>
          <w:i/>
        </w:rPr>
        <w:t>R v Ashwell</w:t>
      </w:r>
      <w:r w:rsidRPr="00775FC2">
        <w:t xml:space="preserve"> (1885) 16 Q</w:t>
      </w:r>
      <w:r>
        <w:t>.</w:t>
      </w:r>
      <w:r w:rsidRPr="00775FC2">
        <w:t>B</w:t>
      </w:r>
      <w:r>
        <w:t>.</w:t>
      </w:r>
      <w:r w:rsidRPr="00775FC2">
        <w:t>D</w:t>
      </w:r>
      <w:r>
        <w:t>.</w:t>
      </w:r>
      <w:r w:rsidRPr="00775FC2">
        <w:t xml:space="preserve"> 190.</w:t>
      </w:r>
    </w:p>
  </w:footnote>
  <w:footnote w:id="15">
    <w:p w:rsidR="00330C8E" w:rsidRDefault="00330C8E" w:rsidP="00F54C8E">
      <w:pPr>
        <w:pStyle w:val="FootnoteText"/>
      </w:pPr>
      <w:r>
        <w:rPr>
          <w:rStyle w:val="FootnoteReference"/>
        </w:rPr>
        <w:footnoteRef/>
      </w:r>
      <w:r>
        <w:t xml:space="preserve"> (1873) L.R. 2 C.C.R. 38.</w:t>
      </w:r>
    </w:p>
  </w:footnote>
  <w:footnote w:id="16">
    <w:p w:rsidR="00330C8E" w:rsidRDefault="00330C8E" w:rsidP="00F54C8E">
      <w:pPr>
        <w:pStyle w:val="FootnoteText"/>
      </w:pPr>
      <w:r>
        <w:rPr>
          <w:rStyle w:val="FootnoteReference"/>
        </w:rPr>
        <w:footnoteRef/>
      </w:r>
      <w:r>
        <w:t xml:space="preserve"> W. Swadling, “Unjust Delivery” in A. Burrows and Lord Rodger (eds.), </w:t>
      </w:r>
      <w:r>
        <w:rPr>
          <w:i/>
        </w:rPr>
        <w:t>Mapping the Law: Essays in Memory of Peter Birks</w:t>
      </w:r>
      <w:r>
        <w:t xml:space="preserve"> (Oxford 2006), 292-294.</w:t>
      </w:r>
    </w:p>
  </w:footnote>
  <w:footnote w:id="17">
    <w:p w:rsidR="00330C8E" w:rsidRDefault="00330C8E" w:rsidP="00F54C8E">
      <w:pPr>
        <w:pStyle w:val="FootnoteText"/>
      </w:pPr>
      <w:r>
        <w:rPr>
          <w:rStyle w:val="FootnoteReference"/>
        </w:rPr>
        <w:footnoteRef/>
      </w:r>
      <w:r>
        <w:t xml:space="preserve"> Ibid., 294-296.</w:t>
      </w:r>
    </w:p>
  </w:footnote>
  <w:footnote w:id="18">
    <w:p w:rsidR="00330C8E" w:rsidRDefault="00330C8E">
      <w:pPr>
        <w:pStyle w:val="FootnoteText"/>
      </w:pPr>
      <w:r>
        <w:rPr>
          <w:rStyle w:val="FootnoteReference"/>
        </w:rPr>
        <w:footnoteRef/>
      </w:r>
      <w:r>
        <w:t xml:space="preserve"> E. Sherwin, “</w:t>
      </w:r>
      <w:r w:rsidRPr="007528B0">
        <w:t>Restitution and Equity: An Analysis of the Principle of Unjust Enrichment</w:t>
      </w:r>
      <w:r>
        <w:t>” (2001) 79 Tex. L. Rev. 2083, 2107.</w:t>
      </w:r>
    </w:p>
  </w:footnote>
  <w:footnote w:id="19">
    <w:p w:rsidR="00330C8E" w:rsidRDefault="00330C8E" w:rsidP="00282069">
      <w:pPr>
        <w:pStyle w:val="FootnoteText"/>
      </w:pPr>
      <w:r>
        <w:rPr>
          <w:rStyle w:val="FootnoteReference"/>
        </w:rPr>
        <w:footnoteRef/>
      </w:r>
      <w:r>
        <w:t xml:space="preserve"> P.J. Millett,</w:t>
      </w:r>
      <w:r w:rsidRPr="00594653">
        <w:t xml:space="preserve"> “Restitution and Constructive Trusts” (1998) 114 L</w:t>
      </w:r>
      <w:r>
        <w:t>.</w:t>
      </w:r>
      <w:r w:rsidRPr="00594653">
        <w:t>Q</w:t>
      </w:r>
      <w:r>
        <w:t>.</w:t>
      </w:r>
      <w:r w:rsidRPr="00594653">
        <w:t>R 399</w:t>
      </w:r>
      <w:r>
        <w:t>, 400.</w:t>
      </w:r>
    </w:p>
  </w:footnote>
  <w:footnote w:id="20">
    <w:p w:rsidR="00330C8E" w:rsidRDefault="00330C8E" w:rsidP="00282069">
      <w:pPr>
        <w:pStyle w:val="FootnoteText"/>
      </w:pPr>
      <w:r>
        <w:rPr>
          <w:rStyle w:val="FootnoteReference"/>
        </w:rPr>
        <w:footnoteRef/>
      </w:r>
      <w:r>
        <w:t xml:space="preserve"> </w:t>
      </w:r>
      <w:r w:rsidRPr="0018765A">
        <w:t>R</w:t>
      </w:r>
      <w:r>
        <w:t>.</w:t>
      </w:r>
      <w:r w:rsidRPr="0018765A">
        <w:t xml:space="preserve"> Chambers, </w:t>
      </w:r>
      <w:r w:rsidRPr="0018765A">
        <w:rPr>
          <w:i/>
        </w:rPr>
        <w:t>Resulting Trusts</w:t>
      </w:r>
      <w:r>
        <w:t xml:space="preserve"> (Oxford 1997), 222-224.</w:t>
      </w:r>
    </w:p>
  </w:footnote>
  <w:footnote w:id="21">
    <w:p w:rsidR="00330C8E" w:rsidRPr="00B00F0D" w:rsidRDefault="00330C8E" w:rsidP="00B00F0D">
      <w:pPr>
        <w:pStyle w:val="FootnoteText"/>
      </w:pPr>
      <w:r>
        <w:rPr>
          <w:rStyle w:val="FootnoteReference"/>
        </w:rPr>
        <w:footnoteRef/>
      </w:r>
      <w:r>
        <w:t xml:space="preserve"> </w:t>
      </w:r>
      <w:r w:rsidRPr="007B4BE0">
        <w:t>Ibid.</w:t>
      </w:r>
      <w:r>
        <w:t>,</w:t>
      </w:r>
      <w:r>
        <w:rPr>
          <w:i/>
        </w:rPr>
        <w:t xml:space="preserve"> </w:t>
      </w:r>
      <w:r>
        <w:t>23-25.</w:t>
      </w:r>
    </w:p>
  </w:footnote>
  <w:footnote w:id="22">
    <w:p w:rsidR="00330C8E" w:rsidRDefault="00330C8E" w:rsidP="00FA0E47">
      <w:pPr>
        <w:pStyle w:val="FootnoteText"/>
      </w:pPr>
      <w:r w:rsidRPr="00594653">
        <w:rPr>
          <w:rStyle w:val="FootnoteReference"/>
        </w:rPr>
        <w:footnoteRef/>
      </w:r>
      <w:r w:rsidRPr="00594653">
        <w:t xml:space="preserve"> </w:t>
      </w:r>
      <w:r>
        <w:t>Millett,</w:t>
      </w:r>
      <w:r w:rsidRPr="00594653">
        <w:t xml:space="preserve"> </w:t>
      </w:r>
      <w:r>
        <w:t>“</w:t>
      </w:r>
      <w:r w:rsidRPr="00594653">
        <w:t>Restitution and Constructive Trusts</w:t>
      </w:r>
      <w:r>
        <w:t>”</w:t>
      </w:r>
      <w:r w:rsidRPr="00594653">
        <w:t xml:space="preserve">, </w:t>
      </w:r>
      <w:r>
        <w:t>415-</w:t>
      </w:r>
      <w:r w:rsidRPr="00594653">
        <w:t>416.</w:t>
      </w:r>
      <w:r>
        <w:t xml:space="preserve"> Another way of phrasing this is the “vindication of property rights”; G. Virgo, “</w:t>
      </w:r>
      <w:r w:rsidRPr="00955250">
        <w:t>What is the Law of Restitution About?</w:t>
      </w:r>
      <w:r>
        <w:t>”</w:t>
      </w:r>
      <w:r w:rsidRPr="00955250">
        <w:t xml:space="preserve"> in </w:t>
      </w:r>
      <w:r>
        <w:t xml:space="preserve">W.R. </w:t>
      </w:r>
      <w:r w:rsidRPr="00955250">
        <w:t>Cornish et al (eds</w:t>
      </w:r>
      <w:r>
        <w:t>.</w:t>
      </w:r>
      <w:r w:rsidRPr="00955250">
        <w:t xml:space="preserve">), </w:t>
      </w:r>
      <w:r w:rsidRPr="00955250">
        <w:rPr>
          <w:i/>
        </w:rPr>
        <w:t>Restitution Past, Present and Future: Essays in Honour of Gareth Jones</w:t>
      </w:r>
      <w:r w:rsidRPr="00955250">
        <w:t xml:space="preserve"> (</w:t>
      </w:r>
      <w:r>
        <w:t>Oxford</w:t>
      </w:r>
      <w:r w:rsidRPr="00955250">
        <w:t xml:space="preserve"> 1998)</w:t>
      </w:r>
      <w:r>
        <w:t>, 312-316</w:t>
      </w:r>
      <w:r w:rsidRPr="00955250">
        <w:t>.</w:t>
      </w:r>
    </w:p>
  </w:footnote>
  <w:footnote w:id="23">
    <w:p w:rsidR="00330C8E" w:rsidRDefault="00330C8E" w:rsidP="003424F5">
      <w:pPr>
        <w:pStyle w:val="FootnoteText"/>
      </w:pPr>
      <w:r>
        <w:rPr>
          <w:rStyle w:val="FootnoteReference"/>
        </w:rPr>
        <w:footnoteRef/>
      </w:r>
      <w:r>
        <w:t xml:space="preserve"> Virgo, </w:t>
      </w:r>
      <w:r>
        <w:rPr>
          <w:i/>
        </w:rPr>
        <w:t>The Principles of the Law of Restitution</w:t>
      </w:r>
      <w:r>
        <w:t>, p. 585-589;</w:t>
      </w:r>
      <w:r w:rsidRPr="00B35288">
        <w:t xml:space="preserve"> </w:t>
      </w:r>
      <w:r>
        <w:t xml:space="preserve">P. Millett, “Proprietary Restitution” in S. Degeling and J. Edelman (eds.), </w:t>
      </w:r>
      <w:r>
        <w:rPr>
          <w:i/>
        </w:rPr>
        <w:t>Equity in Commercial Law</w:t>
      </w:r>
      <w:r>
        <w:t xml:space="preserve"> (Sydney 2005), 320.</w:t>
      </w:r>
    </w:p>
  </w:footnote>
  <w:footnote w:id="24">
    <w:p w:rsidR="00330C8E" w:rsidRPr="000A4031" w:rsidRDefault="00330C8E" w:rsidP="00FA0E47">
      <w:pPr>
        <w:pStyle w:val="FootnoteText"/>
      </w:pPr>
      <w:r w:rsidRPr="00111D8E">
        <w:rPr>
          <w:rStyle w:val="FootnoteReference"/>
        </w:rPr>
        <w:footnoteRef/>
      </w:r>
      <w:r w:rsidRPr="00111D8E">
        <w:t xml:space="preserve"> </w:t>
      </w:r>
      <w:r>
        <w:t>I</w:t>
      </w:r>
      <w:r w:rsidRPr="00111D8E">
        <w:t xml:space="preserve">bid., Virgo, p. 585-589; ibid., Millett, </w:t>
      </w:r>
      <w:r>
        <w:t xml:space="preserve">p. </w:t>
      </w:r>
      <w:r w:rsidRPr="00111D8E">
        <w:t>320.</w:t>
      </w:r>
    </w:p>
  </w:footnote>
  <w:footnote w:id="25">
    <w:p w:rsidR="00330C8E" w:rsidRDefault="00330C8E" w:rsidP="00FA0E47">
      <w:pPr>
        <w:pStyle w:val="FootnoteText"/>
      </w:pPr>
      <w:r>
        <w:rPr>
          <w:rStyle w:val="FootnoteReference"/>
        </w:rPr>
        <w:footnoteRef/>
      </w:r>
      <w:r>
        <w:t xml:space="preserve"> Virgo, </w:t>
      </w:r>
      <w:r>
        <w:rPr>
          <w:i/>
        </w:rPr>
        <w:t>The Principles of the Law of Restitution</w:t>
      </w:r>
      <w:r>
        <w:t xml:space="preserve">, p. 613. Ibid., Millett, p. 321. </w:t>
      </w:r>
    </w:p>
  </w:footnote>
  <w:footnote w:id="26">
    <w:p w:rsidR="00330C8E" w:rsidRDefault="00330C8E">
      <w:pPr>
        <w:pStyle w:val="FootnoteText"/>
      </w:pPr>
      <w:r w:rsidRPr="003C61E9">
        <w:rPr>
          <w:rStyle w:val="FootnoteReference"/>
        </w:rPr>
        <w:footnoteRef/>
      </w:r>
      <w:r w:rsidRPr="003C61E9">
        <w:t xml:space="preserve"> See text to note </w:t>
      </w:r>
      <w:r w:rsidR="00761C1A">
        <w:fldChar w:fldCharType="begin"/>
      </w:r>
      <w:r w:rsidR="00761C1A">
        <w:instrText xml:space="preserve"> NOTEREF _Ref358560946 \h  \* MERGEFORMAT </w:instrText>
      </w:r>
      <w:r w:rsidR="00761C1A">
        <w:fldChar w:fldCharType="separate"/>
      </w:r>
      <w:r w:rsidR="00265B00">
        <w:t>53</w:t>
      </w:r>
      <w:r w:rsidR="00761C1A">
        <w:fldChar w:fldCharType="end"/>
      </w:r>
      <w:r w:rsidRPr="003C61E9">
        <w:t xml:space="preserve"> below.</w:t>
      </w:r>
    </w:p>
  </w:footnote>
  <w:footnote w:id="27">
    <w:p w:rsidR="00330C8E" w:rsidRDefault="00330C8E" w:rsidP="00FA0E47">
      <w:pPr>
        <w:pStyle w:val="FootnoteText"/>
      </w:pPr>
      <w:r>
        <w:rPr>
          <w:rStyle w:val="FootnoteReference"/>
        </w:rPr>
        <w:footnoteRef/>
      </w:r>
      <w:r>
        <w:t xml:space="preserve"> W. Swadling, “Ignorance and Unjust Enrichment” (2008) 28 O.J.L.S.</w:t>
      </w:r>
      <w:r w:rsidRPr="000862C2">
        <w:t xml:space="preserve"> 627</w:t>
      </w:r>
      <w:r>
        <w:t>,</w:t>
      </w:r>
      <w:r w:rsidRPr="000862C2">
        <w:t xml:space="preserve"> </w:t>
      </w:r>
      <w:r>
        <w:t xml:space="preserve">fn 92. Another academic who shares this view is </w:t>
      </w:r>
      <w:r w:rsidRPr="00FF61F1">
        <w:t xml:space="preserve">Calnan, </w:t>
      </w:r>
      <w:r w:rsidRPr="00FF61F1">
        <w:rPr>
          <w:i/>
        </w:rPr>
        <w:t>Proprietary Rights and Insolvency</w:t>
      </w:r>
      <w:r>
        <w:t>, para</w:t>
      </w:r>
      <w:r>
        <w:rPr>
          <w:i/>
        </w:rPr>
        <w:t xml:space="preserve"> </w:t>
      </w:r>
      <w:r>
        <w:t>[4.15] onwards.</w:t>
      </w:r>
    </w:p>
  </w:footnote>
  <w:footnote w:id="28">
    <w:p w:rsidR="00330C8E" w:rsidRDefault="00330C8E" w:rsidP="00FA0E47">
      <w:pPr>
        <w:pStyle w:val="FootnoteText"/>
      </w:pPr>
      <w:r>
        <w:rPr>
          <w:rStyle w:val="FootnoteReference"/>
        </w:rPr>
        <w:footnoteRef/>
      </w:r>
      <w:r>
        <w:t xml:space="preserve"> Ibid., Swadling, p. 642 at fn 92. (Also, ibid., Calnan; “[i]</w:t>
      </w:r>
      <w:r w:rsidRPr="006E4483">
        <w:t>f the issue were free from authority, one might ask wh</w:t>
      </w:r>
      <w:r>
        <w:t>y he should be able to [establish a claim for proprietary restitution]” para [4.75].)</w:t>
      </w:r>
    </w:p>
  </w:footnote>
  <w:footnote w:id="29">
    <w:p w:rsidR="00330C8E" w:rsidRDefault="00330C8E" w:rsidP="00FA0E47">
      <w:pPr>
        <w:pStyle w:val="FootnoteText"/>
      </w:pPr>
      <w:r>
        <w:rPr>
          <w:rStyle w:val="FootnoteReference"/>
        </w:rPr>
        <w:footnoteRef/>
      </w:r>
      <w:r>
        <w:t xml:space="preserve"> </w:t>
      </w:r>
      <w:r w:rsidRPr="00CF6537">
        <w:t>[2004] EWHC 2771</w:t>
      </w:r>
      <w:r w:rsidR="00A82354">
        <w:fldChar w:fldCharType="begin"/>
      </w:r>
      <w:r>
        <w:instrText xml:space="preserve"> TA \l "</w:instrText>
      </w:r>
      <w:r w:rsidRPr="004B2624">
        <w:rPr>
          <w:i/>
        </w:rPr>
        <w:instrText>Commerzbank Aktiengesellschaft v IMB Morgan Plc</w:instrText>
      </w:r>
      <w:r w:rsidRPr="004B2624">
        <w:instrText xml:space="preserve"> [2004] EWHC 2771 (Ch), [2005] 2 All ER (Comm) 564.</w:instrText>
      </w:r>
      <w:r>
        <w:instrText xml:space="preserve">" \s "[2004] EWHC 2771" \c 1 </w:instrText>
      </w:r>
      <w:r w:rsidR="00A82354">
        <w:fldChar w:fldCharType="end"/>
      </w:r>
      <w:r>
        <w:t xml:space="preserve"> (Ch);</w:t>
      </w:r>
      <w:r w:rsidRPr="00633839">
        <w:t xml:space="preserve"> [2005] 2 All E</w:t>
      </w:r>
      <w:r>
        <w:t>.</w:t>
      </w:r>
      <w:r w:rsidRPr="00633839">
        <w:t>R</w:t>
      </w:r>
      <w:r>
        <w:t>.</w:t>
      </w:r>
      <w:r w:rsidRPr="00633839">
        <w:t xml:space="preserve"> (Comm) 564</w:t>
      </w:r>
      <w:r>
        <w:t xml:space="preserve">. </w:t>
      </w:r>
    </w:p>
  </w:footnote>
  <w:footnote w:id="30">
    <w:p w:rsidR="00330C8E" w:rsidRDefault="00330C8E" w:rsidP="00FA0E47">
      <w:pPr>
        <w:pStyle w:val="FootnoteText"/>
      </w:pPr>
      <w:r>
        <w:rPr>
          <w:rStyle w:val="FootnoteReference"/>
        </w:rPr>
        <w:footnoteRef/>
      </w:r>
      <w:r>
        <w:t xml:space="preserve"> Swadling, “Ignorance and Unjust Enrichment”, p. 628.</w:t>
      </w:r>
    </w:p>
  </w:footnote>
  <w:footnote w:id="31">
    <w:p w:rsidR="00330C8E" w:rsidRDefault="00330C8E">
      <w:pPr>
        <w:pStyle w:val="FootnoteText"/>
      </w:pPr>
      <w:r>
        <w:rPr>
          <w:rStyle w:val="FootnoteReference"/>
        </w:rPr>
        <w:footnoteRef/>
      </w:r>
      <w:r>
        <w:t xml:space="preserve"> P. Birks, </w:t>
      </w:r>
      <w:r>
        <w:rPr>
          <w:i/>
        </w:rPr>
        <w:t xml:space="preserve">Unjust Enrichment </w:t>
      </w:r>
      <w:r>
        <w:t xml:space="preserve">(Oxford 2005), 192; A. Burrows, </w:t>
      </w:r>
      <w:r w:rsidRPr="00246289">
        <w:rPr>
          <w:i/>
          <w:iCs/>
        </w:rPr>
        <w:t>Understanding the Law of Obligations: Essays on Contract, Tort and Restitution</w:t>
      </w:r>
      <w:r>
        <w:t xml:space="preserve"> (Oxford 1998), 67.</w:t>
      </w:r>
    </w:p>
  </w:footnote>
  <w:footnote w:id="32">
    <w:p w:rsidR="00330C8E" w:rsidRDefault="00330C8E">
      <w:pPr>
        <w:pStyle w:val="FootnoteText"/>
      </w:pPr>
      <w:r>
        <w:rPr>
          <w:rStyle w:val="FootnoteReference"/>
        </w:rPr>
        <w:footnoteRef/>
      </w:r>
      <w:r>
        <w:t xml:space="preserve"> On this general trend of claimant-centred justifications in the theory of unjust enrichment; S. Hedley, “The Empire Strikes Back? A R</w:t>
      </w:r>
      <w:r w:rsidRPr="00CD578D">
        <w:t xml:space="preserve">estatement </w:t>
      </w:r>
      <w:r>
        <w:t>of the Law of Unjust Enrichment”</w:t>
      </w:r>
      <w:r w:rsidRPr="00CD578D">
        <w:t xml:space="preserve"> (2004) </w:t>
      </w:r>
      <w:r w:rsidRPr="00633839">
        <w:t>28 Melbourne Univ</w:t>
      </w:r>
      <w:r>
        <w:t>.</w:t>
      </w:r>
      <w:r w:rsidRPr="00633839">
        <w:t xml:space="preserve"> L</w:t>
      </w:r>
      <w:r>
        <w:t>.</w:t>
      </w:r>
      <w:r w:rsidRPr="00633839">
        <w:t xml:space="preserve"> Rev</w:t>
      </w:r>
      <w:r>
        <w:t>.</w:t>
      </w:r>
      <w:r w:rsidRPr="00487D78">
        <w:t xml:space="preserve"> </w:t>
      </w:r>
      <w:r w:rsidRPr="00CD578D">
        <w:t>759</w:t>
      </w:r>
      <w:r>
        <w:t>, 767.</w:t>
      </w:r>
    </w:p>
  </w:footnote>
  <w:footnote w:id="33">
    <w:p w:rsidR="00330C8E" w:rsidRDefault="00330C8E" w:rsidP="0019503A">
      <w:pPr>
        <w:pStyle w:val="FootnoteText"/>
        <w:jc w:val="both"/>
      </w:pPr>
      <w:r w:rsidRPr="0093340E">
        <w:rPr>
          <w:rStyle w:val="FootnoteReference"/>
        </w:rPr>
        <w:footnoteRef/>
      </w:r>
      <w:r w:rsidRPr="0093340E">
        <w:t xml:space="preserve"> </w:t>
      </w:r>
      <w:r w:rsidRPr="00753A3B">
        <w:rPr>
          <w:i/>
          <w:iCs/>
        </w:rPr>
        <w:t>Chase Manhattan Bank NA v Israeli-British Bank (London) Ltd</w:t>
      </w:r>
      <w:r w:rsidRPr="0093340E">
        <w:t xml:space="preserve"> [1981] Ch</w:t>
      </w:r>
      <w:r>
        <w:t>.</w:t>
      </w:r>
      <w:r w:rsidRPr="0093340E">
        <w:t xml:space="preserve"> </w:t>
      </w:r>
      <w:r w:rsidRPr="0018765A">
        <w:t>105</w:t>
      </w:r>
      <w:r>
        <w:t>.</w:t>
      </w:r>
    </w:p>
  </w:footnote>
  <w:footnote w:id="34">
    <w:p w:rsidR="00330C8E" w:rsidRDefault="00330C8E" w:rsidP="0019503A">
      <w:pPr>
        <w:pStyle w:val="FootnoteText"/>
      </w:pPr>
      <w:r>
        <w:rPr>
          <w:rStyle w:val="FootnoteReference"/>
        </w:rPr>
        <w:footnoteRef/>
      </w:r>
      <w:r>
        <w:t xml:space="preserve"> A. Burrows, </w:t>
      </w:r>
      <w:r>
        <w:rPr>
          <w:iCs/>
        </w:rPr>
        <w:t>“Proprietary Restitution: Unmasking Unjust Enrichment” (2001) 117 L.Q.R.</w:t>
      </w:r>
      <w:r>
        <w:t xml:space="preserve"> 412, 423-428; Birks, </w:t>
      </w:r>
      <w:r>
        <w:rPr>
          <w:i/>
        </w:rPr>
        <w:t>Unjust Enrichment</w:t>
      </w:r>
      <w:r>
        <w:t>, p. 192.</w:t>
      </w:r>
    </w:p>
  </w:footnote>
  <w:footnote w:id="35">
    <w:p w:rsidR="00330C8E" w:rsidRPr="00F42685" w:rsidRDefault="00330C8E" w:rsidP="0019503A">
      <w:pPr>
        <w:pStyle w:val="FootnoteText"/>
        <w:rPr>
          <w:b/>
        </w:rPr>
      </w:pPr>
      <w:r>
        <w:rPr>
          <w:rStyle w:val="FootnoteReference"/>
        </w:rPr>
        <w:footnoteRef/>
      </w:r>
      <w:r>
        <w:t xml:space="preserve"> Burrows notes that the general availability of trusts in response to unjust enrichment would have a significant impact on the current state of law; Burrows,</w:t>
      </w:r>
      <w:r w:rsidRPr="004B4C7D">
        <w:t xml:space="preserve"> </w:t>
      </w:r>
      <w:r w:rsidRPr="00246289">
        <w:rPr>
          <w:i/>
          <w:iCs/>
        </w:rPr>
        <w:t>Understanding the Law of Obligations</w:t>
      </w:r>
      <w:r>
        <w:t>, p. 67-68.</w:t>
      </w:r>
    </w:p>
  </w:footnote>
  <w:footnote w:id="36">
    <w:p w:rsidR="00330C8E" w:rsidRDefault="00330C8E" w:rsidP="0019503A">
      <w:pPr>
        <w:pStyle w:val="FootnoteText"/>
      </w:pPr>
      <w:r>
        <w:rPr>
          <w:rStyle w:val="FootnoteReference"/>
        </w:rPr>
        <w:footnoteRef/>
      </w:r>
      <w:r>
        <w:t xml:space="preserve"> </w:t>
      </w:r>
      <w:r w:rsidRPr="001F12FE">
        <w:t>[2009] EWHC 2855 (QB)</w:t>
      </w:r>
      <w:r>
        <w:t>.</w:t>
      </w:r>
    </w:p>
  </w:footnote>
  <w:footnote w:id="37">
    <w:p w:rsidR="00330C8E" w:rsidRDefault="00330C8E" w:rsidP="0019503A">
      <w:pPr>
        <w:pStyle w:val="FootnoteText"/>
      </w:pPr>
      <w:r>
        <w:rPr>
          <w:rStyle w:val="FootnoteReference"/>
        </w:rPr>
        <w:footnoteRef/>
      </w:r>
      <w:r>
        <w:t xml:space="preserve"> </w:t>
      </w:r>
      <w:r w:rsidRPr="004D7910">
        <w:t>Ibid</w:t>
      </w:r>
      <w:r>
        <w:t xml:space="preserve">., [50]. The claim was instead for dishonest assistance, but the presence of a trust was necessary for the success of the claim. </w:t>
      </w:r>
    </w:p>
  </w:footnote>
  <w:footnote w:id="38">
    <w:p w:rsidR="00330C8E" w:rsidRPr="00140A49" w:rsidRDefault="00330C8E" w:rsidP="0019503A">
      <w:pPr>
        <w:pStyle w:val="FootnoteText"/>
      </w:pPr>
      <w:r>
        <w:rPr>
          <w:rStyle w:val="FootnoteReference"/>
        </w:rPr>
        <w:footnoteRef/>
      </w:r>
      <w:r>
        <w:t xml:space="preserve"> “If a constructive trust does arise, it can only be from the point at which the conscience of the recipient is affected” at [49].</w:t>
      </w:r>
    </w:p>
  </w:footnote>
  <w:footnote w:id="39">
    <w:p w:rsidR="00330C8E" w:rsidRDefault="00330C8E" w:rsidP="0019503A">
      <w:pPr>
        <w:jc w:val="both"/>
      </w:pPr>
      <w:r w:rsidRPr="00F42685">
        <w:rPr>
          <w:rStyle w:val="FootnoteReference"/>
          <w:sz w:val="20"/>
          <w:szCs w:val="20"/>
        </w:rPr>
        <w:footnoteRef/>
      </w:r>
      <w:r w:rsidRPr="00F42685">
        <w:rPr>
          <w:sz w:val="20"/>
          <w:szCs w:val="20"/>
        </w:rPr>
        <w:t xml:space="preserve"> </w:t>
      </w:r>
      <w:r>
        <w:rPr>
          <w:sz w:val="20"/>
          <w:szCs w:val="20"/>
        </w:rPr>
        <w:t>(2011)</w:t>
      </w:r>
      <w:r w:rsidRPr="00EC3A59">
        <w:rPr>
          <w:sz w:val="20"/>
          <w:szCs w:val="20"/>
        </w:rPr>
        <w:t xml:space="preserve"> UKUT 272 (</w:t>
      </w:r>
      <w:r>
        <w:rPr>
          <w:sz w:val="20"/>
          <w:szCs w:val="20"/>
        </w:rPr>
        <w:t>TCC</w:t>
      </w:r>
      <w:r w:rsidRPr="00EC3A59">
        <w:rPr>
          <w:sz w:val="20"/>
          <w:szCs w:val="20"/>
        </w:rPr>
        <w:t>)</w:t>
      </w:r>
      <w:r>
        <w:rPr>
          <w:sz w:val="20"/>
          <w:szCs w:val="20"/>
        </w:rPr>
        <w:t xml:space="preserve"> [82]-[83].</w:t>
      </w:r>
    </w:p>
  </w:footnote>
  <w:footnote w:id="40">
    <w:p w:rsidR="00330C8E" w:rsidRDefault="00330C8E" w:rsidP="0019503A">
      <w:pPr>
        <w:pStyle w:val="FootnoteText"/>
      </w:pPr>
      <w:r>
        <w:rPr>
          <w:rStyle w:val="FootnoteReference"/>
        </w:rPr>
        <w:footnoteRef/>
      </w:r>
      <w:r>
        <w:t xml:space="preserve"> Birks, </w:t>
      </w:r>
      <w:r>
        <w:rPr>
          <w:i/>
        </w:rPr>
        <w:t>An Introduction to the Law of Restitution</w:t>
      </w:r>
      <w:r>
        <w:t>,</w:t>
      </w:r>
      <w:r>
        <w:rPr>
          <w:i/>
        </w:rPr>
        <w:t xml:space="preserve"> </w:t>
      </w:r>
      <w:r>
        <w:t>p. 378. See also R Chambers, “Constructive Trusts in Canada” (1999) 37 Alberta L.R. 173; “[t]he law has had difficulty working out precisely why and when an unjust enrichment will generate a trust”, 219.</w:t>
      </w:r>
    </w:p>
  </w:footnote>
  <w:footnote w:id="41">
    <w:p w:rsidR="00330C8E" w:rsidRPr="004D2478" w:rsidRDefault="00330C8E">
      <w:pPr>
        <w:pStyle w:val="FootnoteText"/>
      </w:pPr>
      <w:r>
        <w:rPr>
          <w:rStyle w:val="FootnoteReference"/>
        </w:rPr>
        <w:footnoteRef/>
      </w:r>
      <w:r>
        <w:t xml:space="preserve"> A. Burrows, “The Relationship between Unjust Enrichment and Property” in S. Degeling and J. Edelman, </w:t>
      </w:r>
      <w:r>
        <w:rPr>
          <w:i/>
        </w:rPr>
        <w:t xml:space="preserve">Unjust Enrichment in Commercial Law </w:t>
      </w:r>
      <w:r>
        <w:t>(Sydney 2008) 333-334.</w:t>
      </w:r>
    </w:p>
  </w:footnote>
  <w:footnote w:id="42">
    <w:p w:rsidR="00330C8E" w:rsidRDefault="00330C8E" w:rsidP="0019503A">
      <w:pPr>
        <w:pStyle w:val="FootnoteText"/>
      </w:pPr>
      <w:r>
        <w:rPr>
          <w:rStyle w:val="FootnoteReference"/>
        </w:rPr>
        <w:footnoteRef/>
      </w:r>
      <w:r>
        <w:t xml:space="preserve"> Birks </w:t>
      </w:r>
      <w:r>
        <w:rPr>
          <w:i/>
        </w:rPr>
        <w:t xml:space="preserve">Unjust Enrichment </w:t>
      </w:r>
      <w:r>
        <w:t>(Oxford 2005), p. 192. Similarly, Chambers,</w:t>
      </w:r>
      <w:r w:rsidRPr="0018765A">
        <w:t xml:space="preserve"> </w:t>
      </w:r>
      <w:r w:rsidRPr="0018765A">
        <w:rPr>
          <w:i/>
        </w:rPr>
        <w:t>Resulting Trusts</w:t>
      </w:r>
      <w:r>
        <w:t>, p. 108-109 and A Burrows, “</w:t>
      </w:r>
      <w:r w:rsidRPr="00903199">
        <w:t>Restitution of Mistaken Enrichments</w:t>
      </w:r>
      <w:r>
        <w:t>” (2012) 92 B.U.L.Rev. 767,</w:t>
      </w:r>
      <w:r w:rsidRPr="00903199">
        <w:t xml:space="preserve"> </w:t>
      </w:r>
      <w:r>
        <w:t>786.</w:t>
      </w:r>
    </w:p>
  </w:footnote>
  <w:footnote w:id="43">
    <w:p w:rsidR="00330C8E" w:rsidRDefault="00330C8E">
      <w:pPr>
        <w:pStyle w:val="FootnoteText"/>
      </w:pPr>
      <w:r>
        <w:rPr>
          <w:rStyle w:val="FootnoteReference"/>
        </w:rPr>
        <w:footnoteRef/>
      </w:r>
      <w:r>
        <w:t xml:space="preserve"> Swadling, “Ignorance and Unjust Enrichment”, p.</w:t>
      </w:r>
      <w:r w:rsidRPr="000862C2">
        <w:t xml:space="preserve"> </w:t>
      </w:r>
      <w:r>
        <w:t xml:space="preserve">641; </w:t>
      </w:r>
      <w:r w:rsidRPr="00FF61F1">
        <w:t xml:space="preserve">Calnan, </w:t>
      </w:r>
      <w:r w:rsidRPr="00FF61F1">
        <w:rPr>
          <w:i/>
        </w:rPr>
        <w:t>Proprietary Rights and Insolvency</w:t>
      </w:r>
      <w:r>
        <w:t>, para [4.126]. Virgo also states that this would provide “excessive protection”</w:t>
      </w:r>
      <w:r w:rsidRPr="00E062D4">
        <w:t xml:space="preserve"> </w:t>
      </w:r>
      <w:r>
        <w:t xml:space="preserve">in </w:t>
      </w:r>
      <w:r>
        <w:rPr>
          <w:i/>
        </w:rPr>
        <w:t>The Principles of the Law of Restitution</w:t>
      </w:r>
      <w:r>
        <w:t>, p. 574.</w:t>
      </w:r>
    </w:p>
  </w:footnote>
  <w:footnote w:id="44">
    <w:p w:rsidR="00330C8E" w:rsidRDefault="00330C8E" w:rsidP="0019503A">
      <w:pPr>
        <w:pStyle w:val="FootnoteText"/>
      </w:pPr>
      <w:r>
        <w:rPr>
          <w:rStyle w:val="FootnoteReference"/>
        </w:rPr>
        <w:footnoteRef/>
      </w:r>
      <w:r>
        <w:t xml:space="preserve"> A. Burrows, </w:t>
      </w:r>
      <w:r>
        <w:rPr>
          <w:i/>
        </w:rPr>
        <w:t>The Law of Restitution</w:t>
      </w:r>
      <w:r>
        <w:t xml:space="preserve"> (Oxford 2011),</w:t>
      </w:r>
      <w:r>
        <w:rPr>
          <w:i/>
        </w:rPr>
        <w:t xml:space="preserve"> </w:t>
      </w:r>
      <w:r>
        <w:t xml:space="preserve">176-179. </w:t>
      </w:r>
    </w:p>
  </w:footnote>
  <w:footnote w:id="45">
    <w:p w:rsidR="00330C8E" w:rsidRDefault="00330C8E" w:rsidP="0019503A">
      <w:pPr>
        <w:pStyle w:val="FootnoteText"/>
      </w:pPr>
      <w:r>
        <w:rPr>
          <w:rStyle w:val="FootnoteReference"/>
        </w:rPr>
        <w:footnoteRef/>
      </w:r>
      <w:r>
        <w:t xml:space="preserve"> </w:t>
      </w:r>
      <w:r w:rsidRPr="00B870D7">
        <w:t>A</w:t>
      </w:r>
      <w:r>
        <w:t>.</w:t>
      </w:r>
      <w:r w:rsidRPr="00B870D7">
        <w:t xml:space="preserve"> Duggan, </w:t>
      </w:r>
      <w:r>
        <w:t>“</w:t>
      </w:r>
      <w:r w:rsidRPr="00B870D7">
        <w:t>Proprietary Remedies in Insolvency: A Comparison of the Restatement (Third) of Restitution &amp; Unjust Enrichment with English and Commonwealth Law</w:t>
      </w:r>
      <w:r>
        <w:t>”</w:t>
      </w:r>
      <w:r w:rsidRPr="00B870D7">
        <w:t xml:space="preserve"> </w:t>
      </w:r>
      <w:r>
        <w:t xml:space="preserve">(2011) </w:t>
      </w:r>
      <w:r w:rsidRPr="00B870D7">
        <w:t xml:space="preserve">68 </w:t>
      </w:r>
      <w:r w:rsidRPr="00103146">
        <w:t>Wash.</w:t>
      </w:r>
      <w:r>
        <w:t xml:space="preserve"> </w:t>
      </w:r>
      <w:r w:rsidRPr="00103146">
        <w:t xml:space="preserve">&amp; Lee L.Rev. </w:t>
      </w:r>
      <w:r>
        <w:t>1229, 1253.</w:t>
      </w:r>
    </w:p>
  </w:footnote>
  <w:footnote w:id="46">
    <w:p w:rsidR="00330C8E" w:rsidRDefault="00330C8E" w:rsidP="0019503A">
      <w:pPr>
        <w:pStyle w:val="FootnoteText"/>
      </w:pPr>
      <w:r>
        <w:rPr>
          <w:rStyle w:val="FootnoteReference"/>
        </w:rPr>
        <w:footnoteRef/>
      </w:r>
      <w:r>
        <w:t xml:space="preserve"> </w:t>
      </w:r>
      <w:r w:rsidRPr="00103146">
        <w:rPr>
          <w:i/>
        </w:rPr>
        <w:t>E.g.</w:t>
      </w:r>
      <w:r>
        <w:t xml:space="preserve"> </w:t>
      </w:r>
      <w:r w:rsidRPr="00112D91">
        <w:rPr>
          <w:i/>
          <w:iCs/>
        </w:rPr>
        <w:t>Shalson v Russo</w:t>
      </w:r>
      <w:r>
        <w:t xml:space="preserve"> [2003] EWHC 1637 </w:t>
      </w:r>
      <w:r w:rsidRPr="00171A59">
        <w:t>(Ch</w:t>
      </w:r>
      <w:r w:rsidRPr="00633839">
        <w:t>),</w:t>
      </w:r>
      <w:r w:rsidRPr="00171A59">
        <w:t xml:space="preserve"> [2005] Ch 281</w:t>
      </w:r>
      <w:r>
        <w:t>.</w:t>
      </w:r>
      <w:r w:rsidR="00A82354">
        <w:fldChar w:fldCharType="begin"/>
      </w:r>
      <w:r>
        <w:instrText xml:space="preserve"> TA \l "</w:instrText>
      </w:r>
      <w:r w:rsidRPr="003876AD">
        <w:rPr>
          <w:i/>
          <w:iCs/>
        </w:rPr>
        <w:instrText>Shalson v Russo</w:instrText>
      </w:r>
      <w:r w:rsidRPr="003876AD">
        <w:instrText xml:space="preserve"> [2003] EWHC 1637 (Ch), [2005] Ch 281.</w:instrText>
      </w:r>
      <w:r>
        <w:instrText xml:space="preserve">" \s "[2003] EWHC 1637" \c 1 </w:instrText>
      </w:r>
      <w:r w:rsidR="00A82354">
        <w:fldChar w:fldCharType="end"/>
      </w:r>
    </w:p>
  </w:footnote>
  <w:footnote w:id="47">
    <w:p w:rsidR="00330C8E" w:rsidRDefault="00330C8E" w:rsidP="0019503A">
      <w:pPr>
        <w:pStyle w:val="FootnoteText"/>
      </w:pPr>
      <w:r>
        <w:rPr>
          <w:rStyle w:val="FootnoteReference"/>
        </w:rPr>
        <w:footnoteRef/>
      </w:r>
      <w:r>
        <w:t xml:space="preserve"> The idea that one could describe consumers as “taking the risk of insolvency” seems hard to reconcile with a case such as </w:t>
      </w:r>
      <w:r w:rsidRPr="00C80C8B">
        <w:rPr>
          <w:i/>
        </w:rPr>
        <w:t>Re Farepak Food and Gifts Ltd</w:t>
      </w:r>
      <w:r>
        <w:t xml:space="preserve"> [2006] EWHC 3272 (Ch),</w:t>
      </w:r>
      <w:r w:rsidRPr="00860205">
        <w:t xml:space="preserve"> [2008] BCC 22</w:t>
      </w:r>
      <w:r>
        <w:t>, [2] where Mann J. referred to the “considerable disappointment and disadvantage” of consumers when the company in question had become insolvent.</w:t>
      </w:r>
    </w:p>
  </w:footnote>
  <w:footnote w:id="48">
    <w:p w:rsidR="00330C8E" w:rsidRDefault="00330C8E" w:rsidP="0019503A">
      <w:pPr>
        <w:pStyle w:val="FootnoteText"/>
      </w:pPr>
      <w:r>
        <w:rPr>
          <w:rStyle w:val="FootnoteReference"/>
        </w:rPr>
        <w:footnoteRef/>
      </w:r>
      <w:r>
        <w:t xml:space="preserve"> Chambers, </w:t>
      </w:r>
      <w:r>
        <w:rPr>
          <w:i/>
        </w:rPr>
        <w:t>Resulting Trusts</w:t>
      </w:r>
      <w:r>
        <w:t>, p. 235.</w:t>
      </w:r>
    </w:p>
  </w:footnote>
  <w:footnote w:id="49">
    <w:p w:rsidR="00330C8E" w:rsidRDefault="00330C8E" w:rsidP="00246D9F">
      <w:pPr>
        <w:pStyle w:val="FootnoteText"/>
      </w:pPr>
      <w:r>
        <w:rPr>
          <w:rStyle w:val="FootnoteReference"/>
        </w:rPr>
        <w:footnoteRef/>
      </w:r>
      <w:r>
        <w:t xml:space="preserve"> Burrows, “</w:t>
      </w:r>
      <w:r w:rsidRPr="00903199">
        <w:t>Restitution of Mistaken Enrichments</w:t>
      </w:r>
      <w:r>
        <w:t>”,</w:t>
      </w:r>
      <w:r w:rsidRPr="00903199">
        <w:t xml:space="preserve"> </w:t>
      </w:r>
      <w:r>
        <w:t>p. 786.</w:t>
      </w:r>
    </w:p>
  </w:footnote>
  <w:footnote w:id="50">
    <w:p w:rsidR="00330C8E" w:rsidRDefault="00330C8E">
      <w:pPr>
        <w:pStyle w:val="FootnoteText"/>
      </w:pPr>
      <w:r>
        <w:rPr>
          <w:rStyle w:val="FootnoteReference"/>
        </w:rPr>
        <w:footnoteRef/>
      </w:r>
      <w:r>
        <w:t xml:space="preserve"> See also Millett, “Proprietary Restitution”, p. 322.</w:t>
      </w:r>
    </w:p>
  </w:footnote>
  <w:footnote w:id="51">
    <w:p w:rsidR="00330C8E" w:rsidRDefault="00330C8E">
      <w:pPr>
        <w:pStyle w:val="FootnoteText"/>
      </w:pPr>
      <w:r>
        <w:rPr>
          <w:rStyle w:val="FootnoteReference"/>
        </w:rPr>
        <w:footnoteRef/>
      </w:r>
      <w:r>
        <w:t xml:space="preserve"> E. Sherwin, “</w:t>
      </w:r>
      <w:r w:rsidRPr="00C54D81">
        <w:t>Why in re Omegas Group Was Right: An Essay on the Legal</w:t>
      </w:r>
      <w:r>
        <w:t xml:space="preserve"> Status of Equitable Rights”</w:t>
      </w:r>
      <w:r w:rsidRPr="00C54D81">
        <w:t xml:space="preserve"> </w:t>
      </w:r>
      <w:r>
        <w:t xml:space="preserve">(2012) 92 B.U.L.Rev. </w:t>
      </w:r>
      <w:r w:rsidRPr="00C54D81">
        <w:t>885</w:t>
      </w:r>
      <w:r>
        <w:t>.</w:t>
      </w:r>
    </w:p>
  </w:footnote>
  <w:footnote w:id="52">
    <w:p w:rsidR="00330C8E" w:rsidRDefault="00330C8E">
      <w:pPr>
        <w:pStyle w:val="FootnoteText"/>
      </w:pPr>
      <w:r>
        <w:rPr>
          <w:rStyle w:val="FootnoteReference"/>
        </w:rPr>
        <w:footnoteRef/>
      </w:r>
      <w:r>
        <w:t xml:space="preserve"> </w:t>
      </w:r>
      <w:r w:rsidRPr="0074380A">
        <w:t>Ibid</w:t>
      </w:r>
      <w:r>
        <w:t>., 895. Also, Duggan, “</w:t>
      </w:r>
      <w:r w:rsidRPr="00B870D7">
        <w:t>Proprietary Remedies in Insolvency</w:t>
      </w:r>
      <w:r>
        <w:t>”, p. 1244.</w:t>
      </w:r>
    </w:p>
  </w:footnote>
  <w:footnote w:id="53">
    <w:p w:rsidR="00330C8E" w:rsidRDefault="00330C8E">
      <w:pPr>
        <w:pStyle w:val="FootnoteText"/>
      </w:pPr>
      <w:r>
        <w:rPr>
          <w:rStyle w:val="FootnoteReference"/>
        </w:rPr>
        <w:footnoteRef/>
      </w:r>
      <w:r>
        <w:t xml:space="preserve"> Burrows, “</w:t>
      </w:r>
      <w:r w:rsidRPr="00903199">
        <w:t>Restitution of Mistaken Enrichments</w:t>
      </w:r>
      <w:r>
        <w:t>”, p. 788.</w:t>
      </w:r>
    </w:p>
  </w:footnote>
  <w:footnote w:id="54">
    <w:p w:rsidR="00330C8E" w:rsidRDefault="00330C8E" w:rsidP="0019503A">
      <w:pPr>
        <w:pStyle w:val="FootnoteText"/>
      </w:pPr>
      <w:r>
        <w:rPr>
          <w:rStyle w:val="FootnoteReference"/>
        </w:rPr>
        <w:footnoteRef/>
      </w:r>
      <w:r>
        <w:t xml:space="preserve"> </w:t>
      </w:r>
      <w:r w:rsidRPr="0002209A">
        <w:t>[1993] 3 All E</w:t>
      </w:r>
      <w:r>
        <w:t>.</w:t>
      </w:r>
      <w:r w:rsidRPr="0002209A">
        <w:t>R</w:t>
      </w:r>
      <w:r>
        <w:t>.</w:t>
      </w:r>
      <w:r w:rsidRPr="0002209A">
        <w:t xml:space="preserve"> 717</w:t>
      </w:r>
      <w:r>
        <w:t xml:space="preserve">, although similar reasoning was applied by Atkin L.J. in </w:t>
      </w:r>
      <w:r w:rsidRPr="00E73666">
        <w:rPr>
          <w:i/>
          <w:iCs/>
        </w:rPr>
        <w:t>Banque Belge pour l'Etranger v Hambrouck</w:t>
      </w:r>
      <w:r w:rsidRPr="00E73666">
        <w:t xml:space="preserve"> [1921] 1 K</w:t>
      </w:r>
      <w:r>
        <w:t>.</w:t>
      </w:r>
      <w:r w:rsidRPr="00E73666">
        <w:t>B</w:t>
      </w:r>
      <w:r>
        <w:t>.</w:t>
      </w:r>
      <w:r w:rsidRPr="00E73666">
        <w:t xml:space="preserve"> 321</w:t>
      </w:r>
      <w:r>
        <w:t>, 332.</w:t>
      </w:r>
    </w:p>
  </w:footnote>
  <w:footnote w:id="55">
    <w:p w:rsidR="00330C8E" w:rsidRDefault="00330C8E" w:rsidP="0019503A">
      <w:pPr>
        <w:pStyle w:val="FootnoteText"/>
      </w:pPr>
      <w:r w:rsidRPr="00A54554">
        <w:rPr>
          <w:rStyle w:val="FootnoteReference"/>
        </w:rPr>
        <w:footnoteRef/>
      </w:r>
      <w:r w:rsidRPr="00A54554">
        <w:t xml:space="preserve"> </w:t>
      </w:r>
      <w:r w:rsidRPr="00112D91">
        <w:rPr>
          <w:i/>
          <w:iCs/>
        </w:rPr>
        <w:t>Shalson v Russo</w:t>
      </w:r>
      <w:r>
        <w:t xml:space="preserve"> [2003] EWHC 1637 </w:t>
      </w:r>
      <w:r w:rsidRPr="00171A59">
        <w:t>(Ch</w:t>
      </w:r>
      <w:r w:rsidRPr="00633839">
        <w:t>),</w:t>
      </w:r>
      <w:r w:rsidRPr="00171A59">
        <w:t xml:space="preserve"> [2005] Ch 281</w:t>
      </w:r>
      <w:r>
        <w:t>, [122</w:t>
      </w:r>
      <w:r w:rsidRPr="00A54554">
        <w:t>].</w:t>
      </w:r>
    </w:p>
  </w:footnote>
  <w:footnote w:id="56">
    <w:p w:rsidR="00330C8E" w:rsidRPr="00E57095" w:rsidRDefault="00330C8E" w:rsidP="0019503A">
      <w:pPr>
        <w:pStyle w:val="FootnoteText"/>
      </w:pPr>
      <w:r>
        <w:rPr>
          <w:rStyle w:val="FootnoteReference"/>
        </w:rPr>
        <w:footnoteRef/>
      </w:r>
      <w:r w:rsidR="00A82354" w:rsidRPr="00E57095">
        <w:rPr>
          <w:i/>
        </w:rPr>
        <w:fldChar w:fldCharType="begin"/>
      </w:r>
      <w:r w:rsidRPr="00E57095">
        <w:rPr>
          <w:i/>
        </w:rPr>
        <w:instrText xml:space="preserve"> TA \l "London Allied Holdings Ltd v Lee [2007] EWHC 2061 (Ch)." \s "[2007] EWHC 2061" \c 1 </w:instrText>
      </w:r>
      <w:r w:rsidR="00A82354" w:rsidRPr="00E57095">
        <w:rPr>
          <w:i/>
        </w:rPr>
        <w:fldChar w:fldCharType="end"/>
      </w:r>
      <w:r w:rsidRPr="004D412B">
        <w:rPr>
          <w:i/>
        </w:rPr>
        <w:t xml:space="preserve"> </w:t>
      </w:r>
      <w:r w:rsidRPr="00D64114">
        <w:rPr>
          <w:i/>
        </w:rPr>
        <w:t>London Allied Holdings Ltd v Lee</w:t>
      </w:r>
      <w:r>
        <w:t xml:space="preserve"> </w:t>
      </w:r>
      <w:r w:rsidRPr="00D64114">
        <w:t>[2007] EWHC 2061 (Ch)</w:t>
      </w:r>
      <w:r>
        <w:t xml:space="preserve"> [276].</w:t>
      </w:r>
    </w:p>
  </w:footnote>
  <w:footnote w:id="57">
    <w:p w:rsidR="00330C8E" w:rsidRDefault="00330C8E" w:rsidP="0019503A">
      <w:pPr>
        <w:pStyle w:val="FootnoteText"/>
      </w:pPr>
      <w:r>
        <w:rPr>
          <w:rStyle w:val="FootnoteReference"/>
        </w:rPr>
        <w:footnoteRef/>
      </w:r>
      <w:r>
        <w:t xml:space="preserve"> B. Häcker, “Proprietary Restitution a</w:t>
      </w:r>
      <w:r w:rsidRPr="00202B03">
        <w:t>fter Impaired Consent Transfers: A Generalised</w:t>
      </w:r>
      <w:r>
        <w:t xml:space="preserve"> Power Model” (2009) 68 C.L.J. 324. See also, </w:t>
      </w:r>
      <w:r w:rsidRPr="00860AE0">
        <w:t>E</w:t>
      </w:r>
      <w:r>
        <w:t>.</w:t>
      </w:r>
      <w:r w:rsidRPr="00860AE0">
        <w:t xml:space="preserve"> Bant, </w:t>
      </w:r>
      <w:r>
        <w:t>“</w:t>
      </w:r>
      <w:r w:rsidRPr="00860AE0">
        <w:t>Reconsidering the Role of Election in Rescission</w:t>
      </w:r>
      <w:r>
        <w:t>”</w:t>
      </w:r>
      <w:r w:rsidRPr="00860AE0">
        <w:t xml:space="preserve"> (2012) 32 O</w:t>
      </w:r>
      <w:r>
        <w:t>.</w:t>
      </w:r>
      <w:r w:rsidRPr="00860AE0">
        <w:t>J</w:t>
      </w:r>
      <w:r>
        <w:t>.</w:t>
      </w:r>
      <w:r w:rsidRPr="00860AE0">
        <w:t>L</w:t>
      </w:r>
      <w:r>
        <w:t>.</w:t>
      </w:r>
      <w:r w:rsidRPr="00860AE0">
        <w:t>S</w:t>
      </w:r>
      <w:r>
        <w:t>. 467.</w:t>
      </w:r>
    </w:p>
  </w:footnote>
  <w:footnote w:id="58">
    <w:p w:rsidR="00330C8E" w:rsidRDefault="00330C8E" w:rsidP="0019503A">
      <w:pPr>
        <w:pStyle w:val="FootnoteText"/>
      </w:pPr>
      <w:r>
        <w:rPr>
          <w:rStyle w:val="FootnoteReference"/>
        </w:rPr>
        <w:footnoteRef/>
      </w:r>
      <w:r>
        <w:t xml:space="preserve"> </w:t>
      </w:r>
      <w:r w:rsidRPr="0074380A">
        <w:t>Ibid</w:t>
      </w:r>
      <w:r>
        <w:t>., p. 339-341.</w:t>
      </w:r>
    </w:p>
  </w:footnote>
  <w:footnote w:id="59">
    <w:p w:rsidR="00330C8E" w:rsidRPr="00CE329D" w:rsidRDefault="00330C8E" w:rsidP="0019503A">
      <w:pPr>
        <w:pStyle w:val="FootnoteText"/>
      </w:pPr>
      <w:r>
        <w:rPr>
          <w:rStyle w:val="FootnoteReference"/>
        </w:rPr>
        <w:footnoteRef/>
      </w:r>
      <w:r>
        <w:t xml:space="preserve"> </w:t>
      </w:r>
      <w:r w:rsidRPr="00E90564">
        <w:rPr>
          <w:i/>
        </w:rPr>
        <w:t>Lonrho</w:t>
      </w:r>
      <w:r>
        <w:rPr>
          <w:i/>
        </w:rPr>
        <w:t xml:space="preserve"> plc v Fayed (No </w:t>
      </w:r>
      <w:r w:rsidRPr="00162960">
        <w:rPr>
          <w:i/>
        </w:rPr>
        <w:t>2</w:t>
      </w:r>
      <w:r w:rsidRPr="000366F9">
        <w:rPr>
          <w:i/>
        </w:rPr>
        <w:t>)</w:t>
      </w:r>
      <w:r>
        <w:t xml:space="preserve"> [1992] 1 W.L.R. 1, </w:t>
      </w:r>
      <w:r w:rsidRPr="00E90564">
        <w:t>12</w:t>
      </w:r>
      <w:r>
        <w:t xml:space="preserve"> (Millett </w:t>
      </w:r>
      <w:r w:rsidRPr="00E90564">
        <w:t>J)</w:t>
      </w:r>
      <w:r>
        <w:t xml:space="preserve">; D. Fox, </w:t>
      </w:r>
      <w:r>
        <w:rPr>
          <w:i/>
        </w:rPr>
        <w:t>Property Rights in Money</w:t>
      </w:r>
      <w:r>
        <w:t xml:space="preserve"> (Oxford 2008), [6.53]-[6.59].</w:t>
      </w:r>
    </w:p>
  </w:footnote>
  <w:footnote w:id="60">
    <w:p w:rsidR="00330C8E" w:rsidRPr="00942D86" w:rsidRDefault="00330C8E" w:rsidP="0019503A">
      <w:pPr>
        <w:pStyle w:val="FootnoteText"/>
      </w:pPr>
      <w:r>
        <w:rPr>
          <w:rStyle w:val="FootnoteReference"/>
        </w:rPr>
        <w:footnoteRef/>
      </w:r>
      <w:r>
        <w:t xml:space="preserve"> S. Worthington, “</w:t>
      </w:r>
      <w:r w:rsidRPr="00B140DB">
        <w:t>Reviewing Rescission: Real Rights</w:t>
      </w:r>
      <w:r>
        <w:t xml:space="preserve"> or Mere Possibilities” (2003)</w:t>
      </w:r>
      <w:r w:rsidRPr="00B140DB">
        <w:t xml:space="preserve"> </w:t>
      </w:r>
      <w:r>
        <w:t>1 Insolvency Lawyer</w:t>
      </w:r>
      <w:r w:rsidRPr="00B140DB">
        <w:t xml:space="preserve"> </w:t>
      </w:r>
      <w:r>
        <w:t xml:space="preserve">14, 14. </w:t>
      </w:r>
    </w:p>
  </w:footnote>
  <w:footnote w:id="61">
    <w:p w:rsidR="00330C8E" w:rsidRPr="00577201" w:rsidRDefault="00330C8E" w:rsidP="0019503A">
      <w:pPr>
        <w:pStyle w:val="FootnoteText"/>
      </w:pPr>
      <w:r>
        <w:rPr>
          <w:rStyle w:val="FootnoteReference"/>
        </w:rPr>
        <w:footnoteRef/>
      </w:r>
      <w:r>
        <w:t xml:space="preserve"> </w:t>
      </w:r>
      <w:r w:rsidRPr="001532FC">
        <w:t>J</w:t>
      </w:r>
      <w:r>
        <w:t>.</w:t>
      </w:r>
      <w:r w:rsidRPr="001532FC">
        <w:t xml:space="preserve"> O’Sullivan, </w:t>
      </w:r>
      <w:r>
        <w:t>“</w:t>
      </w:r>
      <w:r w:rsidRPr="001532FC">
        <w:t>Rescission as a Self-Help Remedy: A Critical Analysis</w:t>
      </w:r>
      <w:r>
        <w:t>”</w:t>
      </w:r>
      <w:r w:rsidRPr="001532FC">
        <w:t xml:space="preserve"> (2000) 59 C</w:t>
      </w:r>
      <w:r>
        <w:t>.</w:t>
      </w:r>
      <w:r w:rsidRPr="001532FC">
        <w:t>L</w:t>
      </w:r>
      <w:r>
        <w:t>.</w:t>
      </w:r>
      <w:r w:rsidRPr="001532FC">
        <w:t>J</w:t>
      </w:r>
      <w:r>
        <w:t>.</w:t>
      </w:r>
      <w:r w:rsidRPr="001532FC">
        <w:t xml:space="preserve"> 509</w:t>
      </w:r>
      <w:r>
        <w:t xml:space="preserve">, 528; Fox, </w:t>
      </w:r>
      <w:r>
        <w:rPr>
          <w:i/>
        </w:rPr>
        <w:t>Property Rights in Money</w:t>
      </w:r>
      <w:r>
        <w:t>, para [6.64] – [6.66].</w:t>
      </w:r>
    </w:p>
  </w:footnote>
  <w:footnote w:id="62">
    <w:p w:rsidR="00330C8E" w:rsidRDefault="00330C8E" w:rsidP="002A03EC">
      <w:pPr>
        <w:pStyle w:val="FootnoteText"/>
      </w:pPr>
      <w:r>
        <w:rPr>
          <w:rStyle w:val="FootnoteReference"/>
        </w:rPr>
        <w:footnoteRef/>
      </w:r>
      <w:r>
        <w:t xml:space="preserve"> Häcker, “</w:t>
      </w:r>
      <w:r w:rsidRPr="00202B03">
        <w:t>A Generalised</w:t>
      </w:r>
      <w:r>
        <w:t xml:space="preserve"> Power Model”, p. 351. Also, Worthington, “</w:t>
      </w:r>
      <w:r w:rsidRPr="00B140DB">
        <w:t>Reviewing Rescission</w:t>
      </w:r>
      <w:r>
        <w:t xml:space="preserve">”, p. 19-20 and 22; </w:t>
      </w:r>
      <w:r w:rsidRPr="00860AE0">
        <w:t xml:space="preserve">Bant, </w:t>
      </w:r>
      <w:r>
        <w:t>“</w:t>
      </w:r>
      <w:r w:rsidRPr="00860AE0">
        <w:t>Reconsidering the Role of Election in Rescission</w:t>
      </w:r>
      <w:r>
        <w:t xml:space="preserve">”, p. 483; Fox, </w:t>
      </w:r>
      <w:r>
        <w:rPr>
          <w:i/>
        </w:rPr>
        <w:t>Property Rights in Money</w:t>
      </w:r>
      <w:r>
        <w:t xml:space="preserve">, p. 230-232; </w:t>
      </w:r>
      <w:r>
        <w:rPr>
          <w:i/>
        </w:rPr>
        <w:t xml:space="preserve">Independent Trustee Services Ltd v GP Noble Trustees Ltd </w:t>
      </w:r>
      <w:r>
        <w:t>[2012] EWCA Civ 195; [2012] 3 W.L.R. 597 [53] (Patten L.J.).</w:t>
      </w:r>
    </w:p>
  </w:footnote>
  <w:footnote w:id="63">
    <w:p w:rsidR="00330C8E" w:rsidRDefault="00330C8E" w:rsidP="002A03EC">
      <w:pPr>
        <w:pStyle w:val="FootnoteText"/>
      </w:pPr>
      <w:r>
        <w:rPr>
          <w:rStyle w:val="FootnoteReference"/>
        </w:rPr>
        <w:footnoteRef/>
      </w:r>
      <w:r>
        <w:t xml:space="preserve"> </w:t>
      </w:r>
      <w:r w:rsidRPr="0018765A">
        <w:t xml:space="preserve">Chambers, </w:t>
      </w:r>
      <w:r>
        <w:rPr>
          <w:i/>
        </w:rPr>
        <w:t>Resulting Trusts</w:t>
      </w:r>
      <w:r>
        <w:t xml:space="preserve">, p. 171-184; </w:t>
      </w:r>
      <w:r>
        <w:rPr>
          <w:i/>
        </w:rPr>
        <w:t xml:space="preserve">El Ajou </w:t>
      </w:r>
      <w:r w:rsidRPr="0002209A">
        <w:t>[1993] 3 All E</w:t>
      </w:r>
      <w:r>
        <w:t>.</w:t>
      </w:r>
      <w:r w:rsidRPr="0002209A">
        <w:t>R</w:t>
      </w:r>
      <w:r>
        <w:t>.</w:t>
      </w:r>
      <w:r w:rsidRPr="0002209A">
        <w:t xml:space="preserve"> 717</w:t>
      </w:r>
      <w:r>
        <w:t xml:space="preserve">, 734 (Millett J.). </w:t>
      </w:r>
    </w:p>
  </w:footnote>
  <w:footnote w:id="64">
    <w:p w:rsidR="00330C8E" w:rsidRDefault="00330C8E" w:rsidP="0019503A">
      <w:pPr>
        <w:pStyle w:val="FootnoteText"/>
      </w:pPr>
      <w:r>
        <w:rPr>
          <w:rStyle w:val="FootnoteReference"/>
        </w:rPr>
        <w:footnoteRef/>
      </w:r>
      <w:r>
        <w:t xml:space="preserve"> Häcker, “</w:t>
      </w:r>
      <w:r w:rsidRPr="00202B03">
        <w:t>A Generalised</w:t>
      </w:r>
      <w:r>
        <w:t xml:space="preserve"> Power Model”, p. 357; “[o]ne advantage of the power model is that it does not present a black-or-white choice in the matter of proprietary restitution”.</w:t>
      </w:r>
    </w:p>
  </w:footnote>
  <w:footnote w:id="65">
    <w:p w:rsidR="00330C8E" w:rsidRPr="002F2958" w:rsidRDefault="00330C8E" w:rsidP="0019503A">
      <w:pPr>
        <w:pStyle w:val="FootnoteText"/>
      </w:pPr>
      <w:r>
        <w:rPr>
          <w:rStyle w:val="FootnoteReference"/>
        </w:rPr>
        <w:footnoteRef/>
      </w:r>
      <w:r>
        <w:t xml:space="preserve"> See text to note </w:t>
      </w:r>
      <w:r w:rsidR="00A82354">
        <w:fldChar w:fldCharType="begin"/>
      </w:r>
      <w:r>
        <w:instrText xml:space="preserve"> NOTEREF _Ref359275501 \h </w:instrText>
      </w:r>
      <w:r w:rsidR="00A82354">
        <w:fldChar w:fldCharType="separate"/>
      </w:r>
      <w:r w:rsidR="00265B00">
        <w:t>34</w:t>
      </w:r>
      <w:r w:rsidR="00A82354">
        <w:fldChar w:fldCharType="end"/>
      </w:r>
      <w:r>
        <w:t xml:space="preserve"> above.</w:t>
      </w:r>
    </w:p>
  </w:footnote>
  <w:footnote w:id="66">
    <w:p w:rsidR="00330C8E" w:rsidRDefault="00330C8E" w:rsidP="0019503A">
      <w:pPr>
        <w:pStyle w:val="FootnoteText"/>
      </w:pPr>
      <w:r>
        <w:rPr>
          <w:rStyle w:val="FootnoteReference"/>
        </w:rPr>
        <w:footnoteRef/>
      </w:r>
      <w:r>
        <w:t xml:space="preserve"> See text to note </w:t>
      </w:r>
      <w:r w:rsidR="00A82354">
        <w:fldChar w:fldCharType="begin"/>
      </w:r>
      <w:r>
        <w:instrText xml:space="preserve"> NOTEREF _Ref358478507 \h </w:instrText>
      </w:r>
      <w:r w:rsidR="00A82354">
        <w:fldChar w:fldCharType="separate"/>
      </w:r>
      <w:r w:rsidR="00265B00">
        <w:t>38</w:t>
      </w:r>
      <w:r w:rsidR="00A82354">
        <w:fldChar w:fldCharType="end"/>
      </w:r>
      <w:r>
        <w:t xml:space="preserve"> above.</w:t>
      </w:r>
    </w:p>
  </w:footnote>
  <w:footnote w:id="67">
    <w:p w:rsidR="00330C8E" w:rsidRDefault="00330C8E" w:rsidP="0019503A">
      <w:pPr>
        <w:pStyle w:val="FootnoteText"/>
      </w:pPr>
      <w:r>
        <w:rPr>
          <w:rStyle w:val="FootnoteReference"/>
        </w:rPr>
        <w:footnoteRef/>
      </w:r>
      <w:r>
        <w:t xml:space="preserve"> </w:t>
      </w:r>
      <w:r w:rsidRPr="00EC3A59">
        <w:rPr>
          <w:i/>
        </w:rPr>
        <w:t>Pertemps Recruitment Partnership Ltd v HMRC</w:t>
      </w:r>
      <w:r>
        <w:t xml:space="preserve"> (2011)</w:t>
      </w:r>
      <w:r w:rsidRPr="00EC3A59">
        <w:t xml:space="preserve"> UKUT 272 (</w:t>
      </w:r>
      <w:r>
        <w:t>TCC</w:t>
      </w:r>
      <w:r w:rsidRPr="00EC3A59">
        <w:t>)</w:t>
      </w:r>
      <w:r>
        <w:t>.</w:t>
      </w:r>
    </w:p>
  </w:footnote>
  <w:footnote w:id="68">
    <w:p w:rsidR="00330C8E" w:rsidRDefault="00330C8E" w:rsidP="0019503A">
      <w:pPr>
        <w:pStyle w:val="FootnoteText"/>
      </w:pPr>
      <w:r>
        <w:rPr>
          <w:rStyle w:val="FootnoteReference"/>
        </w:rPr>
        <w:footnoteRef/>
      </w:r>
      <w:r>
        <w:t xml:space="preserve"> </w:t>
      </w:r>
      <w:r>
        <w:rPr>
          <w:rStyle w:val="st"/>
        </w:rPr>
        <w:t xml:space="preserve">[1967] 2 AC 291; </w:t>
      </w:r>
      <w:r>
        <w:t xml:space="preserve">S. Worthington, </w:t>
      </w:r>
      <w:r w:rsidRPr="004D1300">
        <w:rPr>
          <w:i/>
        </w:rPr>
        <w:t>Proprietary Interests in Commercial Transactions</w:t>
      </w:r>
      <w:r>
        <w:t xml:space="preserve"> (Oxford 1997), 212.</w:t>
      </w:r>
    </w:p>
  </w:footnote>
  <w:footnote w:id="69">
    <w:p w:rsidR="00330C8E" w:rsidRPr="005945CF" w:rsidRDefault="00330C8E" w:rsidP="0019503A">
      <w:pPr>
        <w:pStyle w:val="FootnoteText"/>
      </w:pPr>
      <w:r w:rsidRPr="005945CF">
        <w:rPr>
          <w:rStyle w:val="FootnoteReference"/>
        </w:rPr>
        <w:footnoteRef/>
      </w:r>
      <w:r w:rsidRPr="005945CF">
        <w:t xml:space="preserve"> [2004] UKHL 25; [2004] 1 W.L.R. 1409, [36]-[37] (Lord Walker).</w:t>
      </w:r>
    </w:p>
  </w:footnote>
  <w:footnote w:id="70">
    <w:p w:rsidR="00330C8E" w:rsidRPr="005945CF" w:rsidRDefault="00330C8E" w:rsidP="0019503A">
      <w:pPr>
        <w:pStyle w:val="FootnoteText"/>
      </w:pPr>
      <w:r w:rsidRPr="005945CF">
        <w:rPr>
          <w:rStyle w:val="FootnoteReference"/>
        </w:rPr>
        <w:footnoteRef/>
      </w:r>
      <w:r w:rsidRPr="005945CF">
        <w:t xml:space="preserve"> See P. Watts, “Birks and Proprietary Claims” in C. Rickett and R. Grantham (eds.), </w:t>
      </w:r>
      <w:r w:rsidRPr="005945CF">
        <w:rPr>
          <w:i/>
        </w:rPr>
        <w:t>Structure and Justification in Private Law: Essays for Peter Birks</w:t>
      </w:r>
      <w:r w:rsidRPr="005945CF">
        <w:t xml:space="preserve"> (Oxford 2008), 375-376; W. Swadling, “Rescission, Property and the Common Law” (2005) 121 L.Q.R. 122; Millett, “Proprietary Restitution”, p. 320 at fn31.</w:t>
      </w:r>
    </w:p>
  </w:footnote>
  <w:footnote w:id="71">
    <w:p w:rsidR="00330C8E" w:rsidRPr="005945CF" w:rsidRDefault="00330C8E" w:rsidP="0019503A">
      <w:pPr>
        <w:pStyle w:val="FootnoteText"/>
      </w:pPr>
      <w:r w:rsidRPr="005945CF">
        <w:rPr>
          <w:rStyle w:val="FootnoteReference"/>
        </w:rPr>
        <w:footnoteRef/>
      </w:r>
      <w:r w:rsidRPr="005945CF">
        <w:t xml:space="preserve"> </w:t>
      </w:r>
      <w:r w:rsidRPr="005945CF">
        <w:rPr>
          <w:i/>
        </w:rPr>
        <w:t>E.g.</w:t>
      </w:r>
      <w:r w:rsidRPr="005945CF">
        <w:t xml:space="preserve"> </w:t>
      </w:r>
      <w:r w:rsidRPr="005945CF">
        <w:rPr>
          <w:rStyle w:val="Emphasis"/>
        </w:rPr>
        <w:t xml:space="preserve">In re Eastgate; Ex p Ward </w:t>
      </w:r>
      <w:r w:rsidRPr="005945CF">
        <w:rPr>
          <w:rStyle w:val="Emphasis"/>
          <w:i w:val="0"/>
        </w:rPr>
        <w:t>[1905] 1 K.B. 465</w:t>
      </w:r>
      <w:r w:rsidRPr="005945CF">
        <w:t xml:space="preserve">. </w:t>
      </w:r>
    </w:p>
  </w:footnote>
  <w:footnote w:id="72">
    <w:p w:rsidR="00330C8E" w:rsidRPr="00ED322C" w:rsidRDefault="00330C8E" w:rsidP="00D83954">
      <w:pPr>
        <w:pStyle w:val="FootnoteText"/>
        <w:rPr>
          <w:highlight w:val="yellow"/>
        </w:rPr>
      </w:pPr>
      <w:r w:rsidRPr="005945CF">
        <w:rPr>
          <w:rStyle w:val="FootnoteReference"/>
        </w:rPr>
        <w:footnoteRef/>
      </w:r>
      <w:r w:rsidRPr="005945CF">
        <w:t xml:space="preserve"> Calnan, </w:t>
      </w:r>
      <w:r w:rsidRPr="005945CF">
        <w:rPr>
          <w:i/>
        </w:rPr>
        <w:t>Proprietary Rights and Insolvency</w:t>
      </w:r>
      <w:r w:rsidRPr="005945CF">
        <w:t>, para [4.105].</w:t>
      </w:r>
      <w:r w:rsidRPr="00890A4B">
        <w:rPr>
          <w:highlight w:val="yellow"/>
        </w:rPr>
        <w:t xml:space="preserve"> </w:t>
      </w:r>
    </w:p>
  </w:footnote>
  <w:footnote w:id="73">
    <w:p w:rsidR="00330C8E" w:rsidRPr="005945CF" w:rsidRDefault="00330C8E">
      <w:pPr>
        <w:pStyle w:val="FootnoteText"/>
      </w:pPr>
      <w:r w:rsidRPr="005945CF">
        <w:rPr>
          <w:rStyle w:val="FootnoteReference"/>
        </w:rPr>
        <w:footnoteRef/>
      </w:r>
      <w:r w:rsidRPr="005945CF">
        <w:t xml:space="preserve"> </w:t>
      </w:r>
      <w:r w:rsidRPr="005945CF">
        <w:rPr>
          <w:i/>
        </w:rPr>
        <w:t xml:space="preserve">Re Goldcorp </w:t>
      </w:r>
      <w:r w:rsidRPr="005945CF">
        <w:t>[1995] 1 A.C. 74, 102 “[w]hat the customers would recover on rescission would not be ‘their’ money, but an equivalent sum.” (Lord Mustill).</w:t>
      </w:r>
    </w:p>
  </w:footnote>
  <w:footnote w:id="74">
    <w:p w:rsidR="00330C8E" w:rsidRDefault="00330C8E">
      <w:pPr>
        <w:pStyle w:val="FootnoteText"/>
      </w:pPr>
      <w:r w:rsidRPr="005945CF">
        <w:rPr>
          <w:rStyle w:val="FootnoteReference"/>
        </w:rPr>
        <w:footnoteRef/>
      </w:r>
      <w:r w:rsidRPr="005945CF">
        <w:t xml:space="preserve"> Millett, “Restitution and Constructive Trusts”, p. 416. Also, Millett, “Proprietary Restitution”, p. 321.</w:t>
      </w:r>
    </w:p>
  </w:footnote>
  <w:footnote w:id="75">
    <w:p w:rsidR="00330C8E" w:rsidRDefault="00330C8E" w:rsidP="002E6C16">
      <w:pPr>
        <w:pStyle w:val="FootnoteText"/>
      </w:pPr>
      <w:r>
        <w:rPr>
          <w:rStyle w:val="FootnoteReference"/>
        </w:rPr>
        <w:footnoteRef/>
      </w:r>
      <w:r>
        <w:t xml:space="preserve"> </w:t>
      </w:r>
      <w:r w:rsidRPr="0002209A">
        <w:t>[1993] 3 All E</w:t>
      </w:r>
      <w:r>
        <w:t>.</w:t>
      </w:r>
      <w:r w:rsidRPr="0002209A">
        <w:t>R</w:t>
      </w:r>
      <w:r>
        <w:t>.</w:t>
      </w:r>
      <w:r w:rsidRPr="0002209A">
        <w:t xml:space="preserve"> 717</w:t>
      </w:r>
      <w:r>
        <w:t>.</w:t>
      </w:r>
      <w:r w:rsidRPr="004F2AB0">
        <w:t xml:space="preserve"> </w:t>
      </w:r>
      <w:r w:rsidRPr="00D32818">
        <w:t>Notably, although Millett J</w:t>
      </w:r>
      <w:r>
        <w:t>.</w:t>
      </w:r>
      <w:r w:rsidRPr="00D32818">
        <w:t xml:space="preserve"> had discussed the possibility of rescission in </w:t>
      </w:r>
      <w:r w:rsidRPr="00D32818">
        <w:rPr>
          <w:i/>
        </w:rPr>
        <w:t>El Ajou</w:t>
      </w:r>
      <w:r w:rsidRPr="00D32818">
        <w:t>, A</w:t>
      </w:r>
      <w:r>
        <w:t>.</w:t>
      </w:r>
      <w:r w:rsidRPr="00D32818">
        <w:t>J</w:t>
      </w:r>
      <w:r>
        <w:t>.</w:t>
      </w:r>
      <w:r w:rsidRPr="00D32818">
        <w:t xml:space="preserve"> Oakley notes that Millett later indicated that this was merely for the purposes of establishing a personal claim for knowing receipt, and that “different considerations would have arisen had an equitable proprietary remedy been sought”; “Restitution and Constructive Trusts: Commentary” in W</w:t>
      </w:r>
      <w:r>
        <w:t>.</w:t>
      </w:r>
      <w:r w:rsidRPr="00D32818">
        <w:t>R</w:t>
      </w:r>
      <w:r>
        <w:t>.</w:t>
      </w:r>
      <w:r w:rsidRPr="00D32818">
        <w:t xml:space="preserve"> Cornish </w:t>
      </w:r>
      <w:r w:rsidRPr="00E56006">
        <w:t>et al</w:t>
      </w:r>
      <w:r w:rsidRPr="00D32818">
        <w:t xml:space="preserve"> (eds</w:t>
      </w:r>
      <w:r>
        <w:t>.</w:t>
      </w:r>
      <w:r w:rsidRPr="00D32818">
        <w:t xml:space="preserve">), </w:t>
      </w:r>
      <w:r w:rsidRPr="00D32818">
        <w:rPr>
          <w:i/>
          <w:iCs/>
        </w:rPr>
        <w:t>Restitution, Past, Present and Future</w:t>
      </w:r>
      <w:r>
        <w:t xml:space="preserve"> (Oxford</w:t>
      </w:r>
      <w:r w:rsidRPr="00D32818">
        <w:t xml:space="preserve"> 1998), 229.</w:t>
      </w:r>
    </w:p>
  </w:footnote>
  <w:footnote w:id="76">
    <w:p w:rsidR="00330C8E" w:rsidRDefault="00330C8E" w:rsidP="0019503A">
      <w:pPr>
        <w:pStyle w:val="FootnoteText"/>
      </w:pPr>
      <w:r>
        <w:rPr>
          <w:rStyle w:val="FootnoteReference"/>
        </w:rPr>
        <w:footnoteRef/>
      </w:r>
      <w:r>
        <w:t xml:space="preserve"> </w:t>
      </w:r>
      <w:r>
        <w:rPr>
          <w:i/>
        </w:rPr>
        <w:t>Re Goldcorp</w:t>
      </w:r>
      <w:r>
        <w:t xml:space="preserve">, </w:t>
      </w:r>
      <w:r w:rsidRPr="00D32818">
        <w:t>[1995] 1 A</w:t>
      </w:r>
      <w:r>
        <w:t>.</w:t>
      </w:r>
      <w:r w:rsidRPr="00D32818">
        <w:t>C</w:t>
      </w:r>
      <w:r>
        <w:t>.</w:t>
      </w:r>
      <w:r w:rsidRPr="00D32818">
        <w:t xml:space="preserve"> 74</w:t>
      </w:r>
      <w:r>
        <w:t>.</w:t>
      </w:r>
    </w:p>
  </w:footnote>
  <w:footnote w:id="77">
    <w:p w:rsidR="00330C8E" w:rsidRPr="00DE13E9" w:rsidRDefault="00330C8E" w:rsidP="0019503A">
      <w:pPr>
        <w:pStyle w:val="FootnoteText"/>
      </w:pPr>
      <w:r>
        <w:rPr>
          <w:rStyle w:val="FootnoteReference"/>
        </w:rPr>
        <w:footnoteRef/>
      </w:r>
      <w:r>
        <w:t xml:space="preserve"> </w:t>
      </w:r>
      <w:r w:rsidRPr="00E56006">
        <w:t>Ibid</w:t>
      </w:r>
      <w:r>
        <w:t xml:space="preserve">., 102-103. </w:t>
      </w:r>
    </w:p>
  </w:footnote>
  <w:footnote w:id="78">
    <w:p w:rsidR="00330C8E" w:rsidRPr="00C05765" w:rsidRDefault="00330C8E" w:rsidP="0019503A">
      <w:pPr>
        <w:pStyle w:val="FootnoteText"/>
      </w:pPr>
      <w:r>
        <w:rPr>
          <w:rStyle w:val="FootnoteReference"/>
        </w:rPr>
        <w:footnoteRef/>
      </w:r>
      <w:r>
        <w:t xml:space="preserve"> (1879) 4 App. Cas. 615; “</w:t>
      </w:r>
      <w:r>
        <w:rPr>
          <w:rStyle w:val="verdana"/>
        </w:rPr>
        <w:t xml:space="preserve">if the company has become insolvent… a wholly different state of things appears to me to arise…. The repudiation of shares which, while the company was solvent, would not or need not have inflicted any injury upon creditors must now of necessity inflict a serious injury on creditors” 622 (Earl Cairns L.C.). The case law indicates that </w:t>
      </w:r>
      <w:r w:rsidRPr="00135EED">
        <w:rPr>
          <w:rStyle w:val="verdana"/>
        </w:rPr>
        <w:t>rescission</w:t>
      </w:r>
      <w:r>
        <w:rPr>
          <w:rStyle w:val="verdana"/>
        </w:rPr>
        <w:t xml:space="preserve"> must occur </w:t>
      </w:r>
      <w:r>
        <w:rPr>
          <w:rStyle w:val="verdana"/>
          <w:i/>
        </w:rPr>
        <w:t>before</w:t>
      </w:r>
      <w:r>
        <w:rPr>
          <w:rStyle w:val="verdana"/>
        </w:rPr>
        <w:t xml:space="preserve"> insolvency or the winding up of the company; </w:t>
      </w:r>
      <w:r w:rsidRPr="00C05765">
        <w:rPr>
          <w:rStyle w:val="verdana"/>
          <w:i/>
        </w:rPr>
        <w:t>Mycock v Beatson</w:t>
      </w:r>
      <w:r>
        <w:rPr>
          <w:rStyle w:val="verdana"/>
        </w:rPr>
        <w:t xml:space="preserve"> (1879) 13 Ch. D.</w:t>
      </w:r>
      <w:r w:rsidRPr="00C05765">
        <w:rPr>
          <w:rStyle w:val="verdana"/>
        </w:rPr>
        <w:t xml:space="preserve"> 384</w:t>
      </w:r>
      <w:r>
        <w:rPr>
          <w:rStyle w:val="verdana"/>
        </w:rPr>
        <w:t>.</w:t>
      </w:r>
    </w:p>
  </w:footnote>
  <w:footnote w:id="79">
    <w:p w:rsidR="00330C8E" w:rsidRPr="002848AE" w:rsidRDefault="00330C8E" w:rsidP="0019503A">
      <w:pPr>
        <w:pStyle w:val="FootnoteText"/>
        <w:rPr>
          <w:i/>
        </w:rPr>
      </w:pPr>
      <w:r>
        <w:rPr>
          <w:rStyle w:val="FootnoteReference"/>
        </w:rPr>
        <w:footnoteRef/>
      </w:r>
      <w:r>
        <w:t xml:space="preserve"> </w:t>
      </w:r>
      <w:r w:rsidRPr="009D4CC7">
        <w:rPr>
          <w:i/>
        </w:rPr>
        <w:t xml:space="preserve">Eg </w:t>
      </w:r>
      <w:r w:rsidRPr="00753A3B">
        <w:rPr>
          <w:rStyle w:val="hit"/>
          <w:i/>
        </w:rPr>
        <w:t>Commerzbank A</w:t>
      </w:r>
      <w:r>
        <w:rPr>
          <w:rStyle w:val="hit"/>
          <w:i/>
        </w:rPr>
        <w:t>ktiengesellschaft v IMB Morgan p</w:t>
      </w:r>
      <w:r w:rsidRPr="00753A3B">
        <w:rPr>
          <w:rStyle w:val="hit"/>
          <w:i/>
        </w:rPr>
        <w:t>lc</w:t>
      </w:r>
      <w:r w:rsidRPr="00CF6537">
        <w:t xml:space="preserve"> [2004] EWHC 2771</w:t>
      </w:r>
      <w:r w:rsidR="00A82354">
        <w:fldChar w:fldCharType="begin"/>
      </w:r>
      <w:r>
        <w:instrText xml:space="preserve"> TA \l "</w:instrText>
      </w:r>
      <w:r w:rsidRPr="004B2624">
        <w:rPr>
          <w:i/>
        </w:rPr>
        <w:instrText>Commerzbank Aktiengesellschaft v IMB Morgan Plc</w:instrText>
      </w:r>
      <w:r w:rsidRPr="004B2624">
        <w:instrText xml:space="preserve"> [2004] EWHC 2771 (Ch), [2005] 2 All ER (Comm) 564.</w:instrText>
      </w:r>
      <w:r>
        <w:instrText xml:space="preserve">" \s "[2004] EWHC 2771" \c 1 </w:instrText>
      </w:r>
      <w:r w:rsidR="00A82354">
        <w:fldChar w:fldCharType="end"/>
      </w:r>
      <w:r>
        <w:t xml:space="preserve"> (Ch);</w:t>
      </w:r>
      <w:r w:rsidRPr="00633839">
        <w:t xml:space="preserve"> [2005] 2 All ER (Comm) </w:t>
      </w:r>
      <w:r w:rsidRPr="008D2BAC">
        <w:t>564</w:t>
      </w:r>
      <w:r>
        <w:t>.</w:t>
      </w:r>
    </w:p>
  </w:footnote>
  <w:footnote w:id="80">
    <w:p w:rsidR="00330C8E" w:rsidRPr="00DE13E9" w:rsidRDefault="00330C8E" w:rsidP="00126600">
      <w:pPr>
        <w:pStyle w:val="FootnoteText"/>
      </w:pPr>
      <w:r>
        <w:rPr>
          <w:rStyle w:val="FootnoteReference"/>
        </w:rPr>
        <w:footnoteRef/>
      </w:r>
      <w:r>
        <w:t xml:space="preserve"> </w:t>
      </w:r>
      <w:r>
        <w:rPr>
          <w:i/>
        </w:rPr>
        <w:t>Re Goldcorp</w:t>
      </w:r>
      <w:r>
        <w:t xml:space="preserve"> </w:t>
      </w:r>
      <w:r w:rsidRPr="00D32818">
        <w:t>[1995] 1 A</w:t>
      </w:r>
      <w:r>
        <w:t>.</w:t>
      </w:r>
      <w:r w:rsidRPr="00D32818">
        <w:t>C</w:t>
      </w:r>
      <w:r>
        <w:t>.</w:t>
      </w:r>
      <w:r w:rsidRPr="00D32818">
        <w:t xml:space="preserve"> 74</w:t>
      </w:r>
      <w:r>
        <w:t xml:space="preserve">; </w:t>
      </w:r>
      <w:r>
        <w:rPr>
          <w:i/>
        </w:rPr>
        <w:t xml:space="preserve">Tennent </w:t>
      </w:r>
      <w:r w:rsidRPr="00324D42">
        <w:rPr>
          <w:i/>
        </w:rPr>
        <w:t>v City of Glasgow Bank</w:t>
      </w:r>
      <w:r>
        <w:t xml:space="preserve"> (1879) 4 App. Cas. 615.</w:t>
      </w:r>
    </w:p>
  </w:footnote>
  <w:footnote w:id="81">
    <w:p w:rsidR="00330C8E" w:rsidRPr="00F4610C" w:rsidRDefault="00330C8E" w:rsidP="00126600">
      <w:pPr>
        <w:pStyle w:val="FootnoteText"/>
      </w:pPr>
      <w:r>
        <w:rPr>
          <w:rStyle w:val="FootnoteReference"/>
        </w:rPr>
        <w:footnoteRef/>
      </w:r>
      <w:r>
        <w:t xml:space="preserve"> This criticism is noted by P. Birks, in “Trusts Raised to Reverse Unjust Enrichment: The </w:t>
      </w:r>
      <w:r>
        <w:rPr>
          <w:i/>
        </w:rPr>
        <w:t>Westdeutsche Case</w:t>
      </w:r>
      <w:r>
        <w:t>” (1996) 4 R.L.R. 1, 21.</w:t>
      </w:r>
    </w:p>
  </w:footnote>
  <w:footnote w:id="82">
    <w:p w:rsidR="00330C8E" w:rsidRPr="006F75F1" w:rsidRDefault="00330C8E">
      <w:pPr>
        <w:pStyle w:val="FootnoteText"/>
      </w:pPr>
      <w:r>
        <w:rPr>
          <w:rStyle w:val="FootnoteReference"/>
        </w:rPr>
        <w:footnoteRef/>
      </w:r>
      <w:r>
        <w:t xml:space="preserve"> A way around this may be to treat these cases as examples of mispredictions, which would preclude even a personal claim in restitution, as demonstrated by </w:t>
      </w:r>
      <w:r>
        <w:rPr>
          <w:i/>
        </w:rPr>
        <w:t xml:space="preserve">Dextra Bank v Bank of Jamaica </w:t>
      </w:r>
      <w:r>
        <w:t>[2002] 1 All E.R.</w:t>
      </w:r>
      <w:r w:rsidRPr="006F75F1">
        <w:t xml:space="preserve"> (Comm) 193</w:t>
      </w:r>
      <w:r>
        <w:t xml:space="preserve">. However, it is accepted in cases such as </w:t>
      </w:r>
      <w:r>
        <w:rPr>
          <w:i/>
        </w:rPr>
        <w:t>Tennent</w:t>
      </w:r>
      <w:r>
        <w:t xml:space="preserve"> that the claimant could have effectively rescinded before the insolvency of the company.</w:t>
      </w:r>
    </w:p>
  </w:footnote>
  <w:footnote w:id="83">
    <w:p w:rsidR="00330C8E" w:rsidRPr="00704FA9" w:rsidRDefault="00330C8E" w:rsidP="00126600">
      <w:pPr>
        <w:pStyle w:val="FootnoteText"/>
      </w:pPr>
      <w:r>
        <w:rPr>
          <w:rStyle w:val="FootnoteReference"/>
        </w:rPr>
        <w:footnoteRef/>
      </w:r>
      <w:r>
        <w:t xml:space="preserve"> </w:t>
      </w:r>
      <w:r>
        <w:rPr>
          <w:i/>
        </w:rPr>
        <w:t>Re Goldcorp</w:t>
      </w:r>
      <w:r>
        <w:t xml:space="preserve"> </w:t>
      </w:r>
      <w:r w:rsidRPr="00D32818">
        <w:t>[1995] 1 A</w:t>
      </w:r>
      <w:r>
        <w:t>.</w:t>
      </w:r>
      <w:r w:rsidRPr="00D32818">
        <w:t>C</w:t>
      </w:r>
      <w:r>
        <w:t>.</w:t>
      </w:r>
      <w:r w:rsidRPr="00D32818">
        <w:t xml:space="preserve"> 74</w:t>
      </w:r>
      <w:r>
        <w:t xml:space="preserve">, 102-103 (Lord Mustill); </w:t>
      </w:r>
      <w:r w:rsidRPr="00F42685">
        <w:rPr>
          <w:i/>
        </w:rPr>
        <w:t>Eldan Services Ltd v Chandag Motors Ltd</w:t>
      </w:r>
      <w:r>
        <w:t xml:space="preserve"> [1990] 3 All E.R. 459, 462.</w:t>
      </w:r>
    </w:p>
  </w:footnote>
  <w:footnote w:id="84">
    <w:p w:rsidR="00330C8E" w:rsidRPr="00DE7133" w:rsidRDefault="00330C8E" w:rsidP="00126600">
      <w:pPr>
        <w:pStyle w:val="FootnoteText"/>
      </w:pPr>
      <w:r>
        <w:rPr>
          <w:rStyle w:val="FootnoteReference"/>
        </w:rPr>
        <w:footnoteRef/>
      </w:r>
      <w:r>
        <w:t xml:space="preserve"> C.</w:t>
      </w:r>
      <w:r w:rsidRPr="00DE7133">
        <w:t xml:space="preserve"> Rickett</w:t>
      </w:r>
      <w:r>
        <w:t xml:space="preserve"> and R. Grantham, “</w:t>
      </w:r>
      <w:r w:rsidRPr="00DE7133">
        <w:t>On the Sub</w:t>
      </w:r>
      <w:r>
        <w:t xml:space="preserve">sidiarity of Unjust Enrichment” </w:t>
      </w:r>
      <w:r w:rsidRPr="00DE7133">
        <w:t xml:space="preserve">(2001) 117 </w:t>
      </w:r>
      <w:r>
        <w:t>L.Q.R.</w:t>
      </w:r>
      <w:r w:rsidRPr="00DE7133">
        <w:t xml:space="preserve"> 273</w:t>
      </w:r>
      <w:r>
        <w:t>.</w:t>
      </w:r>
    </w:p>
  </w:footnote>
  <w:footnote w:id="85">
    <w:p w:rsidR="00330C8E" w:rsidRDefault="00330C8E">
      <w:pPr>
        <w:pStyle w:val="FootnoteText"/>
      </w:pPr>
      <w:r>
        <w:rPr>
          <w:rStyle w:val="FootnoteReference"/>
        </w:rPr>
        <w:footnoteRef/>
      </w:r>
      <w:r>
        <w:t xml:space="preserve"> See Virgo, </w:t>
      </w:r>
      <w:r>
        <w:rPr>
          <w:i/>
        </w:rPr>
        <w:t>The Principles of the Law of Restitution</w:t>
      </w:r>
      <w:r>
        <w:t xml:space="preserve">, p. 610. E.g. </w:t>
      </w:r>
      <w:r w:rsidRPr="00E90564">
        <w:rPr>
          <w:i/>
        </w:rPr>
        <w:t>Lonrho</w:t>
      </w:r>
      <w:r>
        <w:rPr>
          <w:i/>
        </w:rPr>
        <w:t xml:space="preserve"> plc v Fayed (No </w:t>
      </w:r>
      <w:r w:rsidRPr="00162960">
        <w:rPr>
          <w:i/>
        </w:rPr>
        <w:t>2</w:t>
      </w:r>
      <w:r w:rsidRPr="000366F9">
        <w:rPr>
          <w:i/>
        </w:rPr>
        <w:t>)</w:t>
      </w:r>
      <w:r>
        <w:t xml:space="preserve"> [1992] 1 W.L.R. 1</w:t>
      </w:r>
      <w:r w:rsidRPr="009806C0">
        <w:t xml:space="preserve">, </w:t>
      </w:r>
      <w:r>
        <w:t>11-12.</w:t>
      </w:r>
    </w:p>
  </w:footnote>
  <w:footnote w:id="86">
    <w:p w:rsidR="00330C8E" w:rsidRPr="00162F47" w:rsidRDefault="00330C8E" w:rsidP="00126600">
      <w:pPr>
        <w:pStyle w:val="FootnoteText"/>
      </w:pPr>
      <w:r>
        <w:rPr>
          <w:rStyle w:val="FootnoteReference"/>
        </w:rPr>
        <w:footnoteRef/>
      </w:r>
      <w:r>
        <w:t xml:space="preserve"> Compare </w:t>
      </w:r>
      <w:r>
        <w:rPr>
          <w:i/>
        </w:rPr>
        <w:t>Tennent</w:t>
      </w:r>
      <w:r w:rsidRPr="00E56006">
        <w:rPr>
          <w:i/>
        </w:rPr>
        <w:t xml:space="preserve"> </w:t>
      </w:r>
      <w:r w:rsidRPr="00324D42">
        <w:rPr>
          <w:i/>
        </w:rPr>
        <w:t>v City of Glasgow Bank</w:t>
      </w:r>
      <w:r>
        <w:rPr>
          <w:i/>
        </w:rPr>
        <w:t xml:space="preserve"> </w:t>
      </w:r>
      <w:r>
        <w:t xml:space="preserve">(1879) 4 App. Cas. 615 with </w:t>
      </w:r>
      <w:r w:rsidRPr="00162F47">
        <w:rPr>
          <w:i/>
        </w:rPr>
        <w:t>Reese River Silver Mining Co Ltd</w:t>
      </w:r>
      <w:r>
        <w:rPr>
          <w:i/>
        </w:rPr>
        <w:t>.</w:t>
      </w:r>
      <w:r w:rsidRPr="00162F47">
        <w:rPr>
          <w:i/>
        </w:rPr>
        <w:t xml:space="preserve"> v Smith</w:t>
      </w:r>
      <w:r>
        <w:t xml:space="preserve"> (1869-70) L.R. 4 H.L. 64. </w:t>
      </w:r>
    </w:p>
  </w:footnote>
  <w:footnote w:id="87">
    <w:p w:rsidR="00330C8E" w:rsidRPr="00704FA9" w:rsidRDefault="00330C8E" w:rsidP="00126600">
      <w:pPr>
        <w:pStyle w:val="FootnoteText"/>
      </w:pPr>
      <w:r>
        <w:rPr>
          <w:rStyle w:val="FootnoteReference"/>
        </w:rPr>
        <w:footnoteRef/>
      </w:r>
      <w:r>
        <w:t xml:space="preserve"> </w:t>
      </w:r>
      <w:r>
        <w:rPr>
          <w:i/>
        </w:rPr>
        <w:t>Halley v Law Society</w:t>
      </w:r>
      <w:r>
        <w:t xml:space="preserve"> </w:t>
      </w:r>
      <w:r w:rsidRPr="0082039D">
        <w:t>[2003] EWCA Civ 97; [2003] W</w:t>
      </w:r>
      <w:r>
        <w:t>.</w:t>
      </w:r>
      <w:r w:rsidRPr="0082039D">
        <w:t>T</w:t>
      </w:r>
      <w:r>
        <w:t>.</w:t>
      </w:r>
      <w:r w:rsidRPr="0082039D">
        <w:t>L</w:t>
      </w:r>
      <w:r>
        <w:t>.</w:t>
      </w:r>
      <w:r w:rsidRPr="0082039D">
        <w:t>R</w:t>
      </w:r>
      <w:r>
        <w:t xml:space="preserve">. 845, [47]-[48] (Carnwarth L.J.); </w:t>
      </w:r>
      <w:r>
        <w:rPr>
          <w:i/>
        </w:rPr>
        <w:t>Campden Hill</w:t>
      </w:r>
      <w:r>
        <w:t xml:space="preserve"> </w:t>
      </w:r>
      <w:r w:rsidRPr="00860205">
        <w:rPr>
          <w:i/>
        </w:rPr>
        <w:t>v Chakrani</w:t>
      </w:r>
      <w:r>
        <w:t xml:space="preserve"> [2005] EWHC 911. Also, the possibility of a proprietary claim where a contract was never capable of being performed was described as a “viable” argument by Ward L.J. in </w:t>
      </w:r>
      <w:r w:rsidRPr="00AF5B28">
        <w:rPr>
          <w:i/>
        </w:rPr>
        <w:t>Maqsood v Mahmood</w:t>
      </w:r>
      <w:r w:rsidRPr="00AF5B28">
        <w:t xml:space="preserve"> [2012] EWCA Civ 251</w:t>
      </w:r>
      <w:r>
        <w:t xml:space="preserve"> [40]. </w:t>
      </w:r>
    </w:p>
  </w:footnote>
  <w:footnote w:id="88">
    <w:p w:rsidR="00330C8E" w:rsidRDefault="00330C8E" w:rsidP="00126600">
      <w:pPr>
        <w:pStyle w:val="FootnoteText"/>
      </w:pPr>
      <w:r>
        <w:rPr>
          <w:rStyle w:val="FootnoteReference"/>
        </w:rPr>
        <w:footnoteRef/>
      </w:r>
      <w:r>
        <w:t xml:space="preserve"> </w:t>
      </w:r>
      <w:r>
        <w:rPr>
          <w:i/>
        </w:rPr>
        <w:t>Tennent</w:t>
      </w:r>
      <w:r w:rsidRPr="00E56006">
        <w:rPr>
          <w:i/>
        </w:rPr>
        <w:t xml:space="preserve"> </w:t>
      </w:r>
      <w:r w:rsidRPr="00324D42">
        <w:rPr>
          <w:i/>
        </w:rPr>
        <w:t>v City of Glasgow Bank</w:t>
      </w:r>
      <w:r>
        <w:rPr>
          <w:i/>
        </w:rPr>
        <w:t xml:space="preserve"> </w:t>
      </w:r>
      <w:r>
        <w:t>(1879) 4 App. Cas. 615.</w:t>
      </w:r>
    </w:p>
  </w:footnote>
  <w:footnote w:id="89">
    <w:p w:rsidR="00330C8E" w:rsidRDefault="00330C8E" w:rsidP="0019503A">
      <w:pPr>
        <w:pStyle w:val="FootnoteText"/>
      </w:pPr>
      <w:r>
        <w:rPr>
          <w:rStyle w:val="FootnoteReference"/>
        </w:rPr>
        <w:footnoteRef/>
      </w:r>
      <w:r>
        <w:t xml:space="preserve"> </w:t>
      </w:r>
      <w:r w:rsidRPr="00DD3423">
        <w:rPr>
          <w:iCs/>
        </w:rPr>
        <w:t>[</w:t>
      </w:r>
      <w:r>
        <w:t>1996] A.C. 669</w:t>
      </w:r>
      <w:r w:rsidR="00A82354">
        <w:fldChar w:fldCharType="begin"/>
      </w:r>
      <w:r>
        <w:instrText xml:space="preserve"> TA \s "[1996] AC 669" </w:instrText>
      </w:r>
      <w:r w:rsidR="00A82354">
        <w:fldChar w:fldCharType="end"/>
      </w:r>
      <w:r>
        <w:t>, 689-690</w:t>
      </w:r>
      <w:r>
        <w:rPr>
          <w:iCs/>
        </w:rPr>
        <w:t xml:space="preserve">; </w:t>
      </w:r>
      <w:r>
        <w:t xml:space="preserve">B. </w:t>
      </w:r>
      <w:r w:rsidRPr="0018765A">
        <w:t xml:space="preserve">McFarlane, </w:t>
      </w:r>
      <w:r>
        <w:t xml:space="preserve">“Trusts and Knowledge: Lessons from Australia” in J. Glister and P. Ridge (eds.), </w:t>
      </w:r>
      <w:r>
        <w:rPr>
          <w:i/>
        </w:rPr>
        <w:t>Fault Lines in Equity</w:t>
      </w:r>
      <w:r>
        <w:t xml:space="preserve"> (Oxford 2012);</w:t>
      </w:r>
      <w:r>
        <w:rPr>
          <w:i/>
        </w:rPr>
        <w:t xml:space="preserve"> </w:t>
      </w:r>
      <w:r>
        <w:t xml:space="preserve">McFarlane, </w:t>
      </w:r>
      <w:r w:rsidRPr="0018765A">
        <w:rPr>
          <w:i/>
        </w:rPr>
        <w:t>The Structure of Property Law</w:t>
      </w:r>
      <w:r>
        <w:t>, p.</w:t>
      </w:r>
      <w:r w:rsidRPr="0018765A">
        <w:t xml:space="preserve"> 305-312</w:t>
      </w:r>
      <w:r>
        <w:t>.</w:t>
      </w:r>
    </w:p>
  </w:footnote>
  <w:footnote w:id="90">
    <w:p w:rsidR="00330C8E" w:rsidRDefault="00330C8E" w:rsidP="0019503A">
      <w:pPr>
        <w:pStyle w:val="FootnoteText"/>
      </w:pPr>
      <w:r>
        <w:rPr>
          <w:rStyle w:val="FootnoteReference"/>
        </w:rPr>
        <w:footnoteRef/>
      </w:r>
      <w:r>
        <w:t xml:space="preserve"> </w:t>
      </w:r>
      <w:r>
        <w:rPr>
          <w:i/>
        </w:rPr>
        <w:t xml:space="preserve">Westdeutsche </w:t>
      </w:r>
      <w:r w:rsidRPr="00804EA1">
        <w:rPr>
          <w:i/>
        </w:rPr>
        <w:t xml:space="preserve">Landesbank Girozentrale </w:t>
      </w:r>
      <w:r>
        <w:rPr>
          <w:i/>
        </w:rPr>
        <w:t xml:space="preserve">v London Islington Borough Council </w:t>
      </w:r>
      <w:r w:rsidRPr="00DD3423">
        <w:rPr>
          <w:iCs/>
        </w:rPr>
        <w:t>[</w:t>
      </w:r>
      <w:r>
        <w:t>1996] A.C. 669, 716.</w:t>
      </w:r>
    </w:p>
  </w:footnote>
  <w:footnote w:id="91">
    <w:p w:rsidR="00330C8E" w:rsidRPr="003E714E" w:rsidRDefault="00330C8E" w:rsidP="00461195">
      <w:pPr>
        <w:pStyle w:val="FootnoteText"/>
      </w:pPr>
      <w:r>
        <w:rPr>
          <w:rStyle w:val="FootnoteReference"/>
        </w:rPr>
        <w:footnoteRef/>
      </w:r>
      <w:r w:rsidRPr="004F76B0">
        <w:rPr>
          <w:i/>
          <w:iCs/>
        </w:rPr>
        <w:t xml:space="preserve"> </w:t>
      </w:r>
      <w:r>
        <w:rPr>
          <w:iCs/>
        </w:rPr>
        <w:t xml:space="preserve">Ibid., 716. </w:t>
      </w:r>
      <w:r>
        <w:t xml:space="preserve">Ward L.J. described this proposition as merely “tentative” and not part of the ratio of </w:t>
      </w:r>
      <w:r>
        <w:rPr>
          <w:i/>
        </w:rPr>
        <w:t>Westdeutsche</w:t>
      </w:r>
      <w:r>
        <w:t xml:space="preserve"> in</w:t>
      </w:r>
      <w:r w:rsidRPr="003E714E">
        <w:t xml:space="preserve"> </w:t>
      </w:r>
      <w:r w:rsidRPr="003E714E">
        <w:rPr>
          <w:i/>
        </w:rPr>
        <w:t xml:space="preserve">Maqsood v Mahmood </w:t>
      </w:r>
      <w:r w:rsidRPr="003E714E">
        <w:t>[2012] EWCA Civ 251</w:t>
      </w:r>
      <w:r>
        <w:t xml:space="preserve">, [37]. </w:t>
      </w:r>
      <w:r>
        <w:rPr>
          <w:iCs/>
        </w:rPr>
        <w:t xml:space="preserve">It has also been questioned by </w:t>
      </w:r>
      <w:r>
        <w:t xml:space="preserve">Rimer J. in </w:t>
      </w:r>
      <w:r w:rsidRPr="00112D91">
        <w:rPr>
          <w:i/>
          <w:iCs/>
        </w:rPr>
        <w:t>Shalson v Russo</w:t>
      </w:r>
      <w:r>
        <w:t xml:space="preserve"> [2003] EWHC 1637 </w:t>
      </w:r>
      <w:r w:rsidRPr="00171A59">
        <w:t>(Ch</w:t>
      </w:r>
      <w:r w:rsidRPr="00633839">
        <w:t>),</w:t>
      </w:r>
      <w:r w:rsidRPr="00171A59">
        <w:t xml:space="preserve"> [2005] Ch 281</w:t>
      </w:r>
      <w:r>
        <w:t>, [110].</w:t>
      </w:r>
    </w:p>
  </w:footnote>
  <w:footnote w:id="92">
    <w:p w:rsidR="00330C8E" w:rsidRPr="0018765A" w:rsidRDefault="00330C8E" w:rsidP="00461195">
      <w:pPr>
        <w:pStyle w:val="FootnoteText"/>
      </w:pPr>
      <w:r w:rsidRPr="0018765A">
        <w:rPr>
          <w:rStyle w:val="FootnoteReference"/>
        </w:rPr>
        <w:footnoteRef/>
      </w:r>
      <w:r>
        <w:t xml:space="preserve"> Ibid., </w:t>
      </w:r>
      <w:r w:rsidRPr="0018765A">
        <w:t>716.</w:t>
      </w:r>
    </w:p>
  </w:footnote>
  <w:footnote w:id="93">
    <w:p w:rsidR="00330C8E" w:rsidRPr="00942B80" w:rsidRDefault="00330C8E" w:rsidP="00461195">
      <w:pPr>
        <w:pStyle w:val="FootnoteText"/>
      </w:pPr>
      <w:r>
        <w:rPr>
          <w:rStyle w:val="FootnoteReference"/>
        </w:rPr>
        <w:footnoteRef/>
      </w:r>
      <w:r>
        <w:t xml:space="preserve"> See text to note </w:t>
      </w:r>
      <w:r w:rsidR="00A82354">
        <w:fldChar w:fldCharType="begin"/>
      </w:r>
      <w:r>
        <w:instrText xml:space="preserve"> NOTEREF _Ref376897980 \h </w:instrText>
      </w:r>
      <w:r w:rsidR="00A82354">
        <w:fldChar w:fldCharType="separate"/>
      </w:r>
      <w:r w:rsidR="00265B00">
        <w:t>166</w:t>
      </w:r>
      <w:r w:rsidR="00A82354">
        <w:fldChar w:fldCharType="end"/>
      </w:r>
      <w:r>
        <w:t xml:space="preserve"> below. </w:t>
      </w:r>
    </w:p>
  </w:footnote>
  <w:footnote w:id="94">
    <w:p w:rsidR="00330C8E" w:rsidRPr="00CD73B0" w:rsidRDefault="00330C8E" w:rsidP="00461195">
      <w:pPr>
        <w:pStyle w:val="FootnoteText"/>
      </w:pPr>
      <w:r w:rsidRPr="0018765A">
        <w:rPr>
          <w:rStyle w:val="FootnoteReference"/>
        </w:rPr>
        <w:footnoteRef/>
      </w:r>
      <w:r w:rsidRPr="0018765A">
        <w:t xml:space="preserve"> </w:t>
      </w:r>
      <w:r>
        <w:rPr>
          <w:i/>
        </w:rPr>
        <w:t xml:space="preserve">Westdeutsche </w:t>
      </w:r>
      <w:r w:rsidRPr="00804EA1">
        <w:rPr>
          <w:i/>
        </w:rPr>
        <w:t xml:space="preserve">Landesbank Girozentrale </w:t>
      </w:r>
      <w:r>
        <w:rPr>
          <w:i/>
        </w:rPr>
        <w:t xml:space="preserve">v London Islington Borough Council </w:t>
      </w:r>
      <w:r w:rsidRPr="00DD3423">
        <w:rPr>
          <w:iCs/>
        </w:rPr>
        <w:t>[</w:t>
      </w:r>
      <w:r>
        <w:t>1996] A.C. 669</w:t>
      </w:r>
      <w:r w:rsidRPr="00E95AC6">
        <w:t xml:space="preserve">, </w:t>
      </w:r>
      <w:r w:rsidRPr="0018765A">
        <w:t>71</w:t>
      </w:r>
      <w:r>
        <w:t>5</w:t>
      </w:r>
      <w:r w:rsidRPr="0018765A">
        <w:t>.</w:t>
      </w:r>
    </w:p>
  </w:footnote>
  <w:footnote w:id="95">
    <w:p w:rsidR="00330C8E" w:rsidRPr="00CD73B0" w:rsidRDefault="00330C8E" w:rsidP="00461195">
      <w:pPr>
        <w:pStyle w:val="FootnoteText"/>
        <w:rPr>
          <w:b/>
        </w:rPr>
      </w:pPr>
      <w:r w:rsidRPr="0018765A">
        <w:rPr>
          <w:rStyle w:val="FootnoteReference"/>
        </w:rPr>
        <w:footnoteRef/>
      </w:r>
      <w:r>
        <w:t xml:space="preserve"> Birks, “Trusts Raised to Reverse Unjust Enrichment”, p. 19-20;</w:t>
      </w:r>
      <w:r>
        <w:rPr>
          <w:i/>
        </w:rPr>
        <w:t xml:space="preserve"> </w:t>
      </w:r>
      <w:r w:rsidRPr="0018765A">
        <w:t xml:space="preserve">Chambers, </w:t>
      </w:r>
      <w:r>
        <w:rPr>
          <w:i/>
        </w:rPr>
        <w:t>Resulting Trusts</w:t>
      </w:r>
      <w:r>
        <w:t>, p. 208</w:t>
      </w:r>
      <w:r w:rsidRPr="0018765A">
        <w:t>.</w:t>
      </w:r>
      <w:r>
        <w:t xml:space="preserve"> See also Watts, “Birks and Proprietary Claims”, p. 363.</w:t>
      </w:r>
    </w:p>
  </w:footnote>
  <w:footnote w:id="96">
    <w:p w:rsidR="00330C8E" w:rsidRDefault="00330C8E" w:rsidP="0019503A">
      <w:pPr>
        <w:pStyle w:val="FootnoteText"/>
      </w:pPr>
      <w:r>
        <w:rPr>
          <w:rStyle w:val="FootnoteReference"/>
        </w:rPr>
        <w:footnoteRef/>
      </w:r>
      <w:r>
        <w:t xml:space="preserve"> McFarlane, “Trusts and Knowledge”, p. 173. Also, </w:t>
      </w:r>
      <w:r w:rsidRPr="0018765A">
        <w:t xml:space="preserve">McFarlane, </w:t>
      </w:r>
      <w:r w:rsidRPr="0018765A">
        <w:rPr>
          <w:i/>
        </w:rPr>
        <w:t>The Structure of Property Law</w:t>
      </w:r>
      <w:r>
        <w:t xml:space="preserve">, p. </w:t>
      </w:r>
      <w:r w:rsidRPr="0018765A">
        <w:t>305-312</w:t>
      </w:r>
      <w:r>
        <w:t>.</w:t>
      </w:r>
    </w:p>
  </w:footnote>
  <w:footnote w:id="97">
    <w:p w:rsidR="00330C8E" w:rsidRDefault="00330C8E" w:rsidP="00837437">
      <w:pPr>
        <w:pStyle w:val="FootnoteText"/>
      </w:pPr>
      <w:r>
        <w:rPr>
          <w:rStyle w:val="FootnoteReference"/>
        </w:rPr>
        <w:footnoteRef/>
      </w:r>
      <w:r>
        <w:t xml:space="preserve"> </w:t>
      </w:r>
      <w:r w:rsidRPr="00D32818">
        <w:t>P</w:t>
      </w:r>
      <w:r>
        <w:t>.</w:t>
      </w:r>
      <w:r w:rsidRPr="00D32818">
        <w:t xml:space="preserve"> Birks, “The Role of Fault in the Law of Unjust Enrichment” in W</w:t>
      </w:r>
      <w:r>
        <w:t xml:space="preserve">. Swadling and G. </w:t>
      </w:r>
      <w:r w:rsidRPr="00D32818">
        <w:t>Jones (eds</w:t>
      </w:r>
      <w:r>
        <w:t>.</w:t>
      </w:r>
      <w:r w:rsidRPr="00D32818">
        <w:t xml:space="preserve">), </w:t>
      </w:r>
      <w:r w:rsidRPr="00D32818">
        <w:rPr>
          <w:i/>
        </w:rPr>
        <w:t>The Search for Principle: Essays in Honour of Lord Goff of Chieveley</w:t>
      </w:r>
      <w:r>
        <w:t xml:space="preserve"> (Oxford</w:t>
      </w:r>
      <w:r w:rsidRPr="00D32818">
        <w:t xml:space="preserve"> 1999), 27</w:t>
      </w:r>
      <w:r>
        <w:t>1-274</w:t>
      </w:r>
      <w:r w:rsidRPr="00D32818">
        <w:t>.</w:t>
      </w:r>
    </w:p>
  </w:footnote>
  <w:footnote w:id="98">
    <w:p w:rsidR="00330C8E" w:rsidRDefault="00330C8E" w:rsidP="00837437">
      <w:pPr>
        <w:pStyle w:val="FootnoteText"/>
      </w:pPr>
      <w:r>
        <w:rPr>
          <w:rStyle w:val="FootnoteReference"/>
        </w:rPr>
        <w:footnoteRef/>
      </w:r>
      <w:r>
        <w:t xml:space="preserve"> (1810) 17 Ves. Jr. 329.</w:t>
      </w:r>
    </w:p>
  </w:footnote>
  <w:footnote w:id="99">
    <w:p w:rsidR="00330C8E" w:rsidRDefault="00330C8E" w:rsidP="00837437">
      <w:pPr>
        <w:pStyle w:val="FootnoteText"/>
      </w:pPr>
      <w:r>
        <w:rPr>
          <w:rStyle w:val="FootnoteReference"/>
        </w:rPr>
        <w:footnoteRef/>
      </w:r>
      <w:r>
        <w:t xml:space="preserve"> </w:t>
      </w:r>
      <w:r w:rsidRPr="00A24F47">
        <w:t>Ibid</w:t>
      </w:r>
      <w:r>
        <w:t>.,</w:t>
      </w:r>
      <w:r>
        <w:rPr>
          <w:i/>
        </w:rPr>
        <w:t xml:space="preserve"> </w:t>
      </w:r>
      <w:r>
        <w:t xml:space="preserve">331. </w:t>
      </w:r>
    </w:p>
  </w:footnote>
  <w:footnote w:id="100">
    <w:p w:rsidR="00330C8E" w:rsidRDefault="00330C8E" w:rsidP="00837437">
      <w:pPr>
        <w:pStyle w:val="FootnoteText"/>
      </w:pPr>
      <w:r>
        <w:rPr>
          <w:rStyle w:val="FootnoteReference"/>
        </w:rPr>
        <w:footnoteRef/>
      </w:r>
      <w:r>
        <w:t xml:space="preserve"> </w:t>
      </w:r>
      <w:r w:rsidRPr="00011C6E">
        <w:t>[1958] 2 Q</w:t>
      </w:r>
      <w:r>
        <w:t>.</w:t>
      </w:r>
      <w:r w:rsidRPr="00011C6E">
        <w:t>B</w:t>
      </w:r>
      <w:r>
        <w:t>.</w:t>
      </w:r>
      <w:r w:rsidRPr="00011C6E">
        <w:t xml:space="preserve"> 146, 167</w:t>
      </w:r>
      <w:r>
        <w:t>. Swadling, “Ignorance and Unjust Enrichment”, note 92.</w:t>
      </w:r>
    </w:p>
  </w:footnote>
  <w:footnote w:id="101">
    <w:p w:rsidR="00330C8E" w:rsidRPr="00CB0B0B" w:rsidRDefault="00330C8E" w:rsidP="000E4DFA">
      <w:pPr>
        <w:pStyle w:val="FootnoteText"/>
      </w:pPr>
      <w:r>
        <w:rPr>
          <w:rStyle w:val="FootnoteReference"/>
        </w:rPr>
        <w:footnoteRef/>
      </w:r>
      <w:r>
        <w:t xml:space="preserve"> </w:t>
      </w:r>
      <w:r>
        <w:rPr>
          <w:i/>
        </w:rPr>
        <w:t>Fitzalan-Howard</w:t>
      </w:r>
      <w:r w:rsidRPr="001F12FE">
        <w:rPr>
          <w:i/>
        </w:rPr>
        <w:t xml:space="preserve"> v Hibbert</w:t>
      </w:r>
      <w:r>
        <w:t xml:space="preserve"> </w:t>
      </w:r>
      <w:r w:rsidRPr="001F12FE">
        <w:t>[2009] EWHC 2855 (QB)</w:t>
      </w:r>
      <w:r>
        <w:t>.</w:t>
      </w:r>
    </w:p>
  </w:footnote>
  <w:footnote w:id="102">
    <w:p w:rsidR="00330C8E" w:rsidRDefault="00330C8E" w:rsidP="000E4DFA">
      <w:pPr>
        <w:jc w:val="both"/>
      </w:pPr>
      <w:r w:rsidRPr="00317187">
        <w:rPr>
          <w:rStyle w:val="FootnoteReference"/>
          <w:sz w:val="20"/>
          <w:szCs w:val="20"/>
        </w:rPr>
        <w:footnoteRef/>
      </w:r>
      <w:r>
        <w:t xml:space="preserve"> </w:t>
      </w:r>
      <w:r>
        <w:rPr>
          <w:i/>
          <w:sz w:val="20"/>
          <w:szCs w:val="20"/>
        </w:rPr>
        <w:t>Pertemps</w:t>
      </w:r>
      <w:r w:rsidRPr="00A24F47">
        <w:t xml:space="preserve"> </w:t>
      </w:r>
      <w:r w:rsidRPr="00A24F47">
        <w:rPr>
          <w:i/>
          <w:sz w:val="20"/>
          <w:szCs w:val="20"/>
        </w:rPr>
        <w:t>Recruitment Partnership Ltd v HMRC</w:t>
      </w:r>
      <w:r>
        <w:rPr>
          <w:i/>
          <w:sz w:val="20"/>
          <w:szCs w:val="20"/>
        </w:rPr>
        <w:t xml:space="preserve"> </w:t>
      </w:r>
      <w:r>
        <w:rPr>
          <w:sz w:val="20"/>
          <w:szCs w:val="20"/>
        </w:rPr>
        <w:t>(2011)</w:t>
      </w:r>
      <w:r w:rsidRPr="00EC3A59">
        <w:rPr>
          <w:sz w:val="20"/>
          <w:szCs w:val="20"/>
        </w:rPr>
        <w:t xml:space="preserve"> UKUT 272 (</w:t>
      </w:r>
      <w:r>
        <w:rPr>
          <w:sz w:val="20"/>
          <w:szCs w:val="20"/>
        </w:rPr>
        <w:t>TCC</w:t>
      </w:r>
      <w:r w:rsidRPr="00EC3A59">
        <w:rPr>
          <w:sz w:val="20"/>
          <w:szCs w:val="20"/>
        </w:rPr>
        <w:t>)</w:t>
      </w:r>
      <w:r>
        <w:rPr>
          <w:sz w:val="20"/>
          <w:szCs w:val="20"/>
        </w:rPr>
        <w:t>.</w:t>
      </w:r>
    </w:p>
  </w:footnote>
  <w:footnote w:id="103">
    <w:p w:rsidR="00330C8E" w:rsidRDefault="00330C8E" w:rsidP="0019503A">
      <w:pPr>
        <w:pStyle w:val="FootnoteText"/>
      </w:pPr>
      <w:r>
        <w:rPr>
          <w:rStyle w:val="FootnoteReference"/>
        </w:rPr>
        <w:footnoteRef/>
      </w:r>
      <w:r>
        <w:t xml:space="preserve"> See text to notes </w:t>
      </w:r>
      <w:r w:rsidR="00A82354">
        <w:fldChar w:fldCharType="begin"/>
      </w:r>
      <w:r>
        <w:instrText xml:space="preserve"> NOTEREF _Ref359330222 \h </w:instrText>
      </w:r>
      <w:r w:rsidR="00A82354">
        <w:fldChar w:fldCharType="separate"/>
      </w:r>
      <w:r w:rsidR="00265B00">
        <w:t>175</w:t>
      </w:r>
      <w:r w:rsidR="00A82354">
        <w:fldChar w:fldCharType="end"/>
      </w:r>
      <w:r>
        <w:t>-</w:t>
      </w:r>
      <w:r w:rsidR="00A82354">
        <w:fldChar w:fldCharType="begin"/>
      </w:r>
      <w:r>
        <w:instrText xml:space="preserve"> NOTEREF _Ref358574039 \h </w:instrText>
      </w:r>
      <w:r w:rsidR="00A82354">
        <w:fldChar w:fldCharType="separate"/>
      </w:r>
      <w:r w:rsidR="00265B00">
        <w:t>178</w:t>
      </w:r>
      <w:r w:rsidR="00A82354">
        <w:fldChar w:fldCharType="end"/>
      </w:r>
      <w:r>
        <w:t xml:space="preserve"> below.</w:t>
      </w:r>
    </w:p>
  </w:footnote>
  <w:footnote w:id="104">
    <w:p w:rsidR="00330C8E" w:rsidRDefault="00330C8E">
      <w:pPr>
        <w:pStyle w:val="FootnoteText"/>
      </w:pPr>
      <w:r>
        <w:rPr>
          <w:rStyle w:val="FootnoteReference"/>
        </w:rPr>
        <w:footnoteRef/>
      </w:r>
      <w:r>
        <w:t xml:space="preserve"> For example, Mann J. in </w:t>
      </w:r>
      <w:r w:rsidRPr="00C80C8B">
        <w:rPr>
          <w:i/>
        </w:rPr>
        <w:t>Re Farepak Food and Gifts Ltd</w:t>
      </w:r>
      <w:r w:rsidRPr="00C80C8B">
        <w:t xml:space="preserve"> [2006] EWHC 3272 (Ch)</w:t>
      </w:r>
      <w:r>
        <w:t xml:space="preserve"> [39];</w:t>
      </w:r>
      <w:r w:rsidRPr="00C80C8B">
        <w:t xml:space="preserve"> </w:t>
      </w:r>
      <w:r>
        <w:t>“[i]t is not just the pricking of the conscience that gives rise to the constructive trust; there is something more.”</w:t>
      </w:r>
    </w:p>
  </w:footnote>
  <w:footnote w:id="105">
    <w:p w:rsidR="00330C8E" w:rsidRPr="00351E68" w:rsidRDefault="00330C8E">
      <w:pPr>
        <w:pStyle w:val="FootnoteText"/>
      </w:pPr>
      <w:r>
        <w:rPr>
          <w:rStyle w:val="FootnoteReference"/>
        </w:rPr>
        <w:footnoteRef/>
      </w:r>
      <w:r>
        <w:t xml:space="preserve"> </w:t>
      </w:r>
      <w:r>
        <w:rPr>
          <w:i/>
        </w:rPr>
        <w:t>Fitzalan-Howard</w:t>
      </w:r>
      <w:r w:rsidRPr="001F12FE">
        <w:rPr>
          <w:i/>
        </w:rPr>
        <w:t xml:space="preserve"> v Hibbert</w:t>
      </w:r>
      <w:r>
        <w:t xml:space="preserve"> </w:t>
      </w:r>
      <w:r w:rsidRPr="001F12FE">
        <w:t>[2009] EWHC 2855 (QB)</w:t>
      </w:r>
      <w:r>
        <w:t xml:space="preserve"> and </w:t>
      </w:r>
      <w:r>
        <w:rPr>
          <w:i/>
        </w:rPr>
        <w:t>Pertemps</w:t>
      </w:r>
      <w:r w:rsidRPr="00A24F47">
        <w:t xml:space="preserve"> </w:t>
      </w:r>
      <w:r w:rsidRPr="00A24F47">
        <w:rPr>
          <w:i/>
        </w:rPr>
        <w:t>Recruitment Partnership Ltd v HMRC</w:t>
      </w:r>
      <w:r>
        <w:t xml:space="preserve"> (2011)</w:t>
      </w:r>
      <w:r w:rsidRPr="00EC3A59">
        <w:t xml:space="preserve"> UKUT 272 (</w:t>
      </w:r>
      <w:r>
        <w:t>TCC</w:t>
      </w:r>
      <w:r w:rsidRPr="00EC3A59">
        <w:t>)</w:t>
      </w:r>
      <w:r>
        <w:t>.</w:t>
      </w:r>
    </w:p>
  </w:footnote>
  <w:footnote w:id="106">
    <w:p w:rsidR="00330C8E" w:rsidRDefault="00330C8E">
      <w:pPr>
        <w:pStyle w:val="FootnoteText"/>
      </w:pPr>
      <w:r>
        <w:rPr>
          <w:rStyle w:val="FootnoteReference"/>
        </w:rPr>
        <w:footnoteRef/>
      </w:r>
      <w:r>
        <w:t xml:space="preserve"> See note </w:t>
      </w:r>
      <w:r w:rsidR="00A82354">
        <w:fldChar w:fldCharType="begin"/>
      </w:r>
      <w:r>
        <w:instrText xml:space="preserve"> NOTEREF _Ref417218245 \h </w:instrText>
      </w:r>
      <w:r w:rsidR="00A82354">
        <w:fldChar w:fldCharType="separate"/>
      </w:r>
      <w:r w:rsidR="00265B00">
        <w:t>3</w:t>
      </w:r>
      <w:r w:rsidR="00A82354">
        <w:fldChar w:fldCharType="end"/>
      </w:r>
      <w:r>
        <w:t xml:space="preserve"> above.</w:t>
      </w:r>
      <w:r w:rsidRPr="00C95F5D">
        <w:t xml:space="preserve"> </w:t>
      </w:r>
      <w:r>
        <w:t xml:space="preserve">Birks also noted that a breach of duty has a </w:t>
      </w:r>
      <w:r>
        <w:rPr>
          <w:rStyle w:val="Emphasis"/>
          <w:i w:val="0"/>
        </w:rPr>
        <w:t xml:space="preserve">‘whiff of blameworthiness’, which would readily apply to the breach of duty set out in this article; </w:t>
      </w:r>
      <w:r>
        <w:t>Birks, “Rights, Wrongs, and Remedies”, p. 31.</w:t>
      </w:r>
    </w:p>
  </w:footnote>
  <w:footnote w:id="107">
    <w:p w:rsidR="00330C8E" w:rsidRDefault="00330C8E" w:rsidP="00964FD3">
      <w:pPr>
        <w:pStyle w:val="FootnoteText"/>
      </w:pPr>
      <w:r>
        <w:rPr>
          <w:rStyle w:val="FootnoteReference"/>
        </w:rPr>
        <w:footnoteRef/>
      </w:r>
      <w:r>
        <w:t xml:space="preserve"> </w:t>
      </w:r>
      <w:r w:rsidRPr="00D32818">
        <w:t>Birks, “The Role of Fault in the Law of Unjust Enrichment”</w:t>
      </w:r>
      <w:r>
        <w:t>, p.236-239 and Virgo, “The Role of Fault in the Law of Restitution”, p. 84-85.</w:t>
      </w:r>
    </w:p>
  </w:footnote>
  <w:footnote w:id="108">
    <w:p w:rsidR="00330C8E" w:rsidRDefault="00330C8E">
      <w:pPr>
        <w:pStyle w:val="FootnoteText"/>
      </w:pPr>
      <w:r>
        <w:rPr>
          <w:rStyle w:val="FootnoteReference"/>
        </w:rPr>
        <w:footnoteRef/>
      </w:r>
      <w:r>
        <w:t xml:space="preserve"> </w:t>
      </w:r>
      <w:r w:rsidRPr="0019229A">
        <w:t>[2014] EWHC 2626 (Ch)</w:t>
      </w:r>
      <w:r>
        <w:t>.</w:t>
      </w:r>
    </w:p>
  </w:footnote>
  <w:footnote w:id="109">
    <w:p w:rsidR="00330C8E" w:rsidRDefault="00330C8E" w:rsidP="000743EB">
      <w:pPr>
        <w:pStyle w:val="FootnoteText"/>
      </w:pPr>
      <w:r>
        <w:rPr>
          <w:rStyle w:val="FootnoteReference"/>
        </w:rPr>
        <w:footnoteRef/>
      </w:r>
      <w:r>
        <w:t xml:space="preserve"> </w:t>
      </w:r>
      <w:r>
        <w:rPr>
          <w:i/>
        </w:rPr>
        <w:t>Norwich Pharma</w:t>
      </w:r>
      <w:r w:rsidRPr="00C8724F">
        <w:rPr>
          <w:i/>
        </w:rPr>
        <w:t>cal v Customs And Excise</w:t>
      </w:r>
      <w:r w:rsidRPr="00C8724F">
        <w:t xml:space="preserve"> [1974] AC 133 </w:t>
      </w:r>
      <w:r>
        <w:t>[12] (Lord Reid).</w:t>
      </w:r>
    </w:p>
  </w:footnote>
  <w:footnote w:id="110">
    <w:p w:rsidR="00330C8E" w:rsidRDefault="00330C8E">
      <w:pPr>
        <w:pStyle w:val="FootnoteText"/>
      </w:pPr>
      <w:r>
        <w:rPr>
          <w:rStyle w:val="FootnoteReference"/>
        </w:rPr>
        <w:footnoteRef/>
      </w:r>
      <w:r>
        <w:t xml:space="preserve"> </w:t>
      </w:r>
      <w:r w:rsidRPr="0019229A">
        <w:t xml:space="preserve">[2014] EWHC 2626 (Ch) </w:t>
      </w:r>
      <w:r>
        <w:t>[25]-[26].</w:t>
      </w:r>
    </w:p>
  </w:footnote>
  <w:footnote w:id="111">
    <w:p w:rsidR="00330C8E" w:rsidRDefault="00330C8E">
      <w:pPr>
        <w:pStyle w:val="FootnoteText"/>
      </w:pPr>
      <w:r>
        <w:rPr>
          <w:rStyle w:val="FootnoteReference"/>
        </w:rPr>
        <w:footnoteRef/>
      </w:r>
      <w:r>
        <w:t xml:space="preserve"> ‘</w:t>
      </w:r>
      <w:r w:rsidRPr="00C95F5D">
        <w:t>Unjust enrichment is, always, a not-wrong</w:t>
      </w:r>
      <w:r>
        <w:t xml:space="preserve">.’ Birks, “Rights, Wrongs, and Remedies”, p. 28. </w:t>
      </w:r>
    </w:p>
  </w:footnote>
  <w:footnote w:id="112">
    <w:p w:rsidR="00330C8E" w:rsidRDefault="00330C8E">
      <w:pPr>
        <w:pStyle w:val="FootnoteText"/>
      </w:pPr>
      <w:r>
        <w:rPr>
          <w:rStyle w:val="FootnoteReference"/>
        </w:rPr>
        <w:footnoteRef/>
      </w:r>
      <w:r>
        <w:t xml:space="preserve"> [2014] EWHC 2626 (Ch), [24]-[25].</w:t>
      </w:r>
    </w:p>
  </w:footnote>
  <w:footnote w:id="113">
    <w:p w:rsidR="00330C8E" w:rsidRDefault="00330C8E">
      <w:pPr>
        <w:pStyle w:val="FootnoteText"/>
      </w:pPr>
      <w:r>
        <w:rPr>
          <w:rStyle w:val="FootnoteReference"/>
        </w:rPr>
        <w:footnoteRef/>
      </w:r>
      <w:r>
        <w:t xml:space="preserve"> To bring into play this principle, the claimant merely needs to show an arguable case that wrongdoing has occurred; </w:t>
      </w:r>
      <w:r w:rsidRPr="00D2763A">
        <w:t xml:space="preserve">P. Matthews and M. Hodge, </w:t>
      </w:r>
      <w:r w:rsidRPr="00A8422C">
        <w:rPr>
          <w:i/>
        </w:rPr>
        <w:t>Disclosure</w:t>
      </w:r>
      <w:r w:rsidRPr="00D2763A">
        <w:t xml:space="preserve"> (Sweet &amp; Maxwell 2012)</w:t>
      </w:r>
      <w:r>
        <w:t>, 3.06-3.07.</w:t>
      </w:r>
    </w:p>
  </w:footnote>
  <w:footnote w:id="114">
    <w:p w:rsidR="00330C8E" w:rsidRDefault="00330C8E">
      <w:pPr>
        <w:pStyle w:val="FootnoteText"/>
      </w:pPr>
      <w:r>
        <w:rPr>
          <w:rStyle w:val="FootnoteReference"/>
        </w:rPr>
        <w:footnoteRef/>
      </w:r>
      <w:r>
        <w:t xml:space="preserve"> See text to note </w:t>
      </w:r>
      <w:r w:rsidR="00A82354">
        <w:fldChar w:fldCharType="begin"/>
      </w:r>
      <w:r>
        <w:instrText xml:space="preserve"> NOTEREF _Ref404162681 \h </w:instrText>
      </w:r>
      <w:r w:rsidR="00A82354">
        <w:fldChar w:fldCharType="separate"/>
      </w:r>
      <w:r w:rsidR="00265B00">
        <w:t>96</w:t>
      </w:r>
      <w:r w:rsidR="00A82354">
        <w:fldChar w:fldCharType="end"/>
      </w:r>
      <w:r>
        <w:t>.</w:t>
      </w:r>
    </w:p>
  </w:footnote>
  <w:footnote w:id="115">
    <w:p w:rsidR="00330C8E" w:rsidRDefault="00330C8E">
      <w:pPr>
        <w:pStyle w:val="FootnoteText"/>
      </w:pPr>
      <w:r>
        <w:rPr>
          <w:rStyle w:val="FootnoteReference"/>
        </w:rPr>
        <w:footnoteRef/>
      </w:r>
      <w:r>
        <w:t xml:space="preserve"> </w:t>
      </w:r>
      <w:r w:rsidRPr="0044291A">
        <w:rPr>
          <w:i/>
        </w:rPr>
        <w:t xml:space="preserve">Bank of Credit and Commerce International (Overseas) Ltd v Akindele </w:t>
      </w:r>
      <w:r>
        <w:t>[2001] Ch.</w:t>
      </w:r>
      <w:r w:rsidRPr="00AF65E0">
        <w:t xml:space="preserve"> 437</w:t>
      </w:r>
      <w:r>
        <w:t>,</w:t>
      </w:r>
      <w:r w:rsidRPr="00AF65E0">
        <w:rPr>
          <w:i/>
        </w:rPr>
        <w:t xml:space="preserve"> </w:t>
      </w:r>
      <w:r>
        <w:t>455 (Nourse L.J.).</w:t>
      </w:r>
    </w:p>
  </w:footnote>
  <w:footnote w:id="116">
    <w:p w:rsidR="00330C8E" w:rsidRDefault="00330C8E">
      <w:pPr>
        <w:pStyle w:val="FootnoteText"/>
      </w:pPr>
      <w:r>
        <w:rPr>
          <w:rStyle w:val="FootnoteReference"/>
        </w:rPr>
        <w:footnoteRef/>
      </w:r>
      <w:r>
        <w:t xml:space="preserve"> Ibid., 455 (Nourse L.J.). “T</w:t>
      </w:r>
      <w:r w:rsidRPr="00570AA4">
        <w:t>he recipient's state of knowledge must be such as to make it unconscionable for him to retain the benefit of the receipt.</w:t>
      </w:r>
      <w:r>
        <w:t xml:space="preserve">” </w:t>
      </w:r>
    </w:p>
  </w:footnote>
  <w:footnote w:id="117">
    <w:p w:rsidR="00330C8E" w:rsidRDefault="00330C8E">
      <w:pPr>
        <w:pStyle w:val="FootnoteText"/>
      </w:pPr>
      <w:r>
        <w:rPr>
          <w:rStyle w:val="FootnoteReference"/>
        </w:rPr>
        <w:footnoteRef/>
      </w:r>
      <w:r>
        <w:t xml:space="preserve"> Birks, </w:t>
      </w:r>
      <w:r>
        <w:rPr>
          <w:i/>
        </w:rPr>
        <w:t>Unjust Enrichment</w:t>
      </w:r>
      <w:r>
        <w:t>, p. 157-158.</w:t>
      </w:r>
    </w:p>
  </w:footnote>
  <w:footnote w:id="118">
    <w:p w:rsidR="00330C8E" w:rsidRDefault="00330C8E">
      <w:pPr>
        <w:pStyle w:val="FootnoteText"/>
      </w:pPr>
      <w:r>
        <w:rPr>
          <w:rStyle w:val="FootnoteReference"/>
        </w:rPr>
        <w:footnoteRef/>
      </w:r>
      <w:r>
        <w:t xml:space="preserve"> </w:t>
      </w:r>
      <w:r w:rsidRPr="00801B5F">
        <w:rPr>
          <w:i/>
        </w:rPr>
        <w:t xml:space="preserve">Arthur v Attorney General of the Turks and Caicos Islands </w:t>
      </w:r>
      <w:r w:rsidRPr="00801B5F">
        <w:t>[2012] UKPC 30</w:t>
      </w:r>
      <w:r>
        <w:t>,</w:t>
      </w:r>
      <w:r>
        <w:rPr>
          <w:i/>
        </w:rPr>
        <w:t xml:space="preserve"> </w:t>
      </w:r>
      <w:r>
        <w:t>[31] (Etherton L.J.).</w:t>
      </w:r>
    </w:p>
  </w:footnote>
  <w:footnote w:id="119">
    <w:p w:rsidR="00330C8E" w:rsidRDefault="00330C8E">
      <w:pPr>
        <w:pStyle w:val="FootnoteText"/>
      </w:pPr>
      <w:r>
        <w:rPr>
          <w:rStyle w:val="FootnoteReference"/>
        </w:rPr>
        <w:footnoteRef/>
      </w:r>
      <w:r>
        <w:t xml:space="preserve"> </w:t>
      </w:r>
      <w:r w:rsidRPr="008D3BA6">
        <w:rPr>
          <w:i/>
        </w:rPr>
        <w:t xml:space="preserve">Royal Brunei Airlines v Tan </w:t>
      </w:r>
      <w:r>
        <w:t>[1995] 2 A.C. 378.</w:t>
      </w:r>
    </w:p>
  </w:footnote>
  <w:footnote w:id="120">
    <w:p w:rsidR="00330C8E" w:rsidRDefault="00330C8E" w:rsidP="001D747C">
      <w:pPr>
        <w:pStyle w:val="FootnoteText"/>
      </w:pPr>
      <w:r>
        <w:rPr>
          <w:rStyle w:val="FootnoteReference"/>
        </w:rPr>
        <w:footnoteRef/>
      </w:r>
      <w:r>
        <w:t xml:space="preserve"> Lord Nicholls, “Knowing Receipt: The Need for a New Landmark” in </w:t>
      </w:r>
      <w:r w:rsidRPr="00D32818">
        <w:t>W</w:t>
      </w:r>
      <w:r>
        <w:t>.</w:t>
      </w:r>
      <w:r w:rsidRPr="00D32818">
        <w:t>R</w:t>
      </w:r>
      <w:r>
        <w:t>.</w:t>
      </w:r>
      <w:r w:rsidRPr="00D32818">
        <w:t xml:space="preserve"> Cornish </w:t>
      </w:r>
      <w:r w:rsidRPr="0044291A">
        <w:t xml:space="preserve">et al </w:t>
      </w:r>
      <w:r w:rsidRPr="00D32818">
        <w:t>(eds</w:t>
      </w:r>
      <w:r>
        <w:t>.</w:t>
      </w:r>
      <w:r w:rsidRPr="00D32818">
        <w:t xml:space="preserve">), </w:t>
      </w:r>
      <w:r w:rsidRPr="00D32818">
        <w:rPr>
          <w:i/>
          <w:iCs/>
        </w:rPr>
        <w:t>Restitution, Past, Present and Future</w:t>
      </w:r>
      <w:r>
        <w:t xml:space="preserve"> (Oxford</w:t>
      </w:r>
      <w:r w:rsidRPr="00D32818">
        <w:t xml:space="preserve"> 1998),</w:t>
      </w:r>
      <w:r>
        <w:t xml:space="preserve"> 243-244.</w:t>
      </w:r>
    </w:p>
  </w:footnote>
  <w:footnote w:id="121">
    <w:p w:rsidR="00330C8E" w:rsidRDefault="00330C8E">
      <w:pPr>
        <w:pStyle w:val="FootnoteText"/>
      </w:pPr>
      <w:r>
        <w:rPr>
          <w:rStyle w:val="FootnoteReference"/>
        </w:rPr>
        <w:footnoteRef/>
      </w:r>
      <w:r>
        <w:t xml:space="preserve"> </w:t>
      </w:r>
      <w:r w:rsidRPr="008D3BA6">
        <w:rPr>
          <w:i/>
        </w:rPr>
        <w:t xml:space="preserve">Royal Brunei Airlines v Tan </w:t>
      </w:r>
      <w:r>
        <w:t>[1995] 2 A.C. 378, 390.</w:t>
      </w:r>
    </w:p>
  </w:footnote>
  <w:footnote w:id="122">
    <w:p w:rsidR="00330C8E" w:rsidRPr="00F32950" w:rsidRDefault="00330C8E" w:rsidP="00F32950">
      <w:pPr>
        <w:pStyle w:val="FootnoteText"/>
      </w:pPr>
      <w:r>
        <w:rPr>
          <w:rStyle w:val="FootnoteReference"/>
        </w:rPr>
        <w:footnoteRef/>
      </w:r>
      <w:r>
        <w:t xml:space="preserve"> </w:t>
      </w:r>
      <w:r w:rsidRPr="00F32950">
        <w:rPr>
          <w:i/>
        </w:rPr>
        <w:t>Mediterranean R</w:t>
      </w:r>
      <w:r>
        <w:rPr>
          <w:i/>
        </w:rPr>
        <w:t>a</w:t>
      </w:r>
      <w:r w:rsidRPr="00F32950">
        <w:rPr>
          <w:i/>
        </w:rPr>
        <w:t>ffineria Sicilliana Petroli SpA v Mabanaft GmbH</w:t>
      </w:r>
      <w:r w:rsidRPr="00F32950">
        <w:t xml:space="preserve"> (CA</w:t>
      </w:r>
      <w:r>
        <w:t>, 1 December 1978</w:t>
      </w:r>
      <w:r w:rsidRPr="00F32950">
        <w:t>)</w:t>
      </w:r>
      <w:r>
        <w:t xml:space="preserve">; </w:t>
      </w:r>
      <w:r w:rsidRPr="00F32950">
        <w:rPr>
          <w:i/>
        </w:rPr>
        <w:t>Bankers Trust Co v Shapira</w:t>
      </w:r>
      <w:r w:rsidRPr="00F32950">
        <w:t xml:space="preserve"> [1980] 1 W</w:t>
      </w:r>
      <w:r>
        <w:t>.</w:t>
      </w:r>
      <w:r w:rsidRPr="00F32950">
        <w:t>L</w:t>
      </w:r>
      <w:r>
        <w:t>.</w:t>
      </w:r>
      <w:r w:rsidRPr="00F32950">
        <w:t>R</w:t>
      </w:r>
      <w:r>
        <w:t>.</w:t>
      </w:r>
      <w:r w:rsidRPr="00F32950">
        <w:t xml:space="preserve"> 1274</w:t>
      </w:r>
      <w:r>
        <w:t xml:space="preserve">; </w:t>
      </w:r>
      <w:r>
        <w:rPr>
          <w:i/>
        </w:rPr>
        <w:t xml:space="preserve">A v C (1) </w:t>
      </w:r>
      <w:r>
        <w:t>[1981] Q.B.</w:t>
      </w:r>
      <w:r w:rsidRPr="00F32950">
        <w:t xml:space="preserve"> 956</w:t>
      </w:r>
      <w:r>
        <w:t xml:space="preserve">; </w:t>
      </w:r>
      <w:r w:rsidRPr="00AA354E">
        <w:rPr>
          <w:i/>
        </w:rPr>
        <w:t>Santander UK plc v National Westminster Bank plc</w:t>
      </w:r>
      <w:r w:rsidRPr="00E66D0C">
        <w:t xml:space="preserve"> [2014] EWHC 2626 (Ch)</w:t>
      </w:r>
      <w:r>
        <w:t>.</w:t>
      </w:r>
    </w:p>
  </w:footnote>
  <w:footnote w:id="123">
    <w:p w:rsidR="00330C8E" w:rsidRDefault="00330C8E" w:rsidP="003E14AB">
      <w:pPr>
        <w:pStyle w:val="FootnoteText"/>
      </w:pPr>
      <w:r>
        <w:rPr>
          <w:rStyle w:val="FootnoteReference"/>
        </w:rPr>
        <w:footnoteRef/>
      </w:r>
      <w:r>
        <w:t xml:space="preserve"> (1885) 11 App. Cas.</w:t>
      </w:r>
      <w:r w:rsidRPr="0022303E">
        <w:t xml:space="preserve"> 84</w:t>
      </w:r>
      <w:r>
        <w:t>,</w:t>
      </w:r>
      <w:r w:rsidRPr="0022303E">
        <w:t xml:space="preserve"> </w:t>
      </w:r>
      <w:r>
        <w:t xml:space="preserve">91. </w:t>
      </w:r>
    </w:p>
  </w:footnote>
  <w:footnote w:id="124">
    <w:p w:rsidR="00330C8E" w:rsidRDefault="00330C8E">
      <w:pPr>
        <w:pStyle w:val="FootnoteText"/>
      </w:pPr>
      <w:r>
        <w:rPr>
          <w:rStyle w:val="FootnoteReference"/>
        </w:rPr>
        <w:footnoteRef/>
      </w:r>
      <w:r>
        <w:t xml:space="preserve"> </w:t>
      </w:r>
      <w:r w:rsidRPr="00753EA7">
        <w:t>(1868-69) L.R. 4 Ex. 189</w:t>
      </w:r>
      <w:r>
        <w:t>,</w:t>
      </w:r>
      <w:r w:rsidRPr="00753EA7">
        <w:t xml:space="preserve"> </w:t>
      </w:r>
      <w:r>
        <w:t>200.</w:t>
      </w:r>
    </w:p>
  </w:footnote>
  <w:footnote w:id="125">
    <w:p w:rsidR="00330C8E" w:rsidRDefault="00330C8E">
      <w:pPr>
        <w:pStyle w:val="FootnoteText"/>
      </w:pPr>
      <w:r>
        <w:rPr>
          <w:rStyle w:val="FootnoteReference"/>
        </w:rPr>
        <w:footnoteRef/>
      </w:r>
      <w:r w:rsidRPr="00FC6170">
        <w:t>(1842) 2 Q</w:t>
      </w:r>
      <w:r>
        <w:t>.B.</w:t>
      </w:r>
      <w:r w:rsidRPr="00FC6170">
        <w:t xml:space="preserve"> 837</w:t>
      </w:r>
      <w:r>
        <w:t>, 845.</w:t>
      </w:r>
    </w:p>
  </w:footnote>
  <w:footnote w:id="126">
    <w:p w:rsidR="00330C8E" w:rsidRDefault="00330C8E">
      <w:pPr>
        <w:pStyle w:val="FootnoteText"/>
      </w:pPr>
      <w:r>
        <w:rPr>
          <w:rStyle w:val="FootnoteReference"/>
        </w:rPr>
        <w:footnoteRef/>
      </w:r>
      <w:r>
        <w:t xml:space="preserve"> (1921) 7 Lloyd’s Rep. 42, 43.</w:t>
      </w:r>
    </w:p>
  </w:footnote>
  <w:footnote w:id="127">
    <w:p w:rsidR="00330C8E" w:rsidRPr="00F43830" w:rsidRDefault="00330C8E">
      <w:pPr>
        <w:pStyle w:val="FootnoteText"/>
      </w:pPr>
      <w:r>
        <w:rPr>
          <w:rStyle w:val="FootnoteReference"/>
        </w:rPr>
        <w:footnoteRef/>
      </w:r>
      <w:r>
        <w:t xml:space="preserve"> </w:t>
      </w:r>
      <w:r w:rsidRPr="0044291A">
        <w:t>Ibid</w:t>
      </w:r>
      <w:r>
        <w:t xml:space="preserve">., 43. Also, see </w:t>
      </w:r>
      <w:r>
        <w:rPr>
          <w:i/>
        </w:rPr>
        <w:t xml:space="preserve">Attorney General’s Reference (No 1 of 1983) </w:t>
      </w:r>
      <w:r>
        <w:rPr>
          <w:rStyle w:val="st"/>
        </w:rPr>
        <w:t>[1985] Q.B. 182, 189 where</w:t>
      </w:r>
      <w:r>
        <w:t xml:space="preserve"> Lord Lane C.J. stated that “there was a legal obligation on the respondent to restore that value to the receiver when she found that the mistake had been made.”</w:t>
      </w:r>
    </w:p>
  </w:footnote>
  <w:footnote w:id="128">
    <w:p w:rsidR="00330C8E" w:rsidRDefault="00330C8E">
      <w:pPr>
        <w:pStyle w:val="FootnoteText"/>
      </w:pPr>
      <w:r>
        <w:rPr>
          <w:rStyle w:val="FootnoteReference"/>
        </w:rPr>
        <w:footnoteRef/>
      </w:r>
      <w:r>
        <w:t xml:space="preserve"> </w:t>
      </w:r>
      <w:r w:rsidRPr="00EC273E">
        <w:t>[</w:t>
      </w:r>
      <w:r>
        <w:t>2003] EWHC 164 (Comm), [2003] 1 Lloyd’</w:t>
      </w:r>
      <w:r w:rsidRPr="00EC273E">
        <w:t>s Rep</w:t>
      </w:r>
      <w:r>
        <w:t>.</w:t>
      </w:r>
      <w:r w:rsidRPr="00EC273E">
        <w:t xml:space="preserve"> 341</w:t>
      </w:r>
      <w:r>
        <w:t>, [230].</w:t>
      </w:r>
    </w:p>
  </w:footnote>
  <w:footnote w:id="129">
    <w:p w:rsidR="00330C8E" w:rsidRDefault="00330C8E">
      <w:pPr>
        <w:pStyle w:val="FootnoteText"/>
      </w:pPr>
      <w:r>
        <w:rPr>
          <w:rStyle w:val="FootnoteReference"/>
        </w:rPr>
        <w:footnoteRef/>
      </w:r>
      <w:r>
        <w:t xml:space="preserve"> Virgo, </w:t>
      </w:r>
      <w:r>
        <w:rPr>
          <w:i/>
        </w:rPr>
        <w:t>The Principles of the Law of Restitution</w:t>
      </w:r>
      <w:r w:rsidRPr="0002401B">
        <w:t>,</w:t>
      </w:r>
      <w:r>
        <w:t xml:space="preserve"> p.</w:t>
      </w:r>
      <w:r w:rsidRPr="0044291A">
        <w:t xml:space="preserve"> </w:t>
      </w:r>
      <w:r w:rsidRPr="0002401B">
        <w:t>611.</w:t>
      </w:r>
    </w:p>
  </w:footnote>
  <w:footnote w:id="130">
    <w:p w:rsidR="00330C8E" w:rsidRDefault="00330C8E" w:rsidP="006F1DFC">
      <w:pPr>
        <w:pStyle w:val="FootnoteText"/>
      </w:pPr>
      <w:r>
        <w:rPr>
          <w:rStyle w:val="FootnoteReference"/>
        </w:rPr>
        <w:footnoteRef/>
      </w:r>
      <w:r>
        <w:t xml:space="preserve"> </w:t>
      </w:r>
      <w:r w:rsidRPr="00F42685">
        <w:rPr>
          <w:i/>
        </w:rPr>
        <w:t>Eldan Services Ltd v Chandag Motors Ltd</w:t>
      </w:r>
      <w:r>
        <w:t xml:space="preserve"> [1990] 3 All E.R. 459, 462; </w:t>
      </w:r>
      <w:r>
        <w:rPr>
          <w:i/>
        </w:rPr>
        <w:t xml:space="preserve">Deutsche Bank v Vik </w:t>
      </w:r>
      <w:r>
        <w:t xml:space="preserve">[2010] EWHC 551 (Comm) [32] (Burton J.). This would also explain how the approach in this article can be reconciled with the unavailability of proprietary restitution in </w:t>
      </w:r>
      <w:r>
        <w:rPr>
          <w:i/>
        </w:rPr>
        <w:t xml:space="preserve">Westdeutsche </w:t>
      </w:r>
      <w:r w:rsidRPr="00804EA1">
        <w:rPr>
          <w:i/>
        </w:rPr>
        <w:t xml:space="preserve">Landesbank Girozentrale </w:t>
      </w:r>
      <w:r>
        <w:rPr>
          <w:i/>
        </w:rPr>
        <w:t xml:space="preserve">v London Islington Borough Council </w:t>
      </w:r>
      <w:r w:rsidRPr="00DD3423">
        <w:rPr>
          <w:iCs/>
        </w:rPr>
        <w:t>[</w:t>
      </w:r>
      <w:r>
        <w:t xml:space="preserve">1996] A.C. 669. </w:t>
      </w:r>
    </w:p>
  </w:footnote>
  <w:footnote w:id="131">
    <w:p w:rsidR="00330C8E" w:rsidRPr="000A0D22" w:rsidRDefault="00330C8E">
      <w:pPr>
        <w:pStyle w:val="FootnoteText"/>
      </w:pPr>
      <w:r>
        <w:rPr>
          <w:rStyle w:val="FootnoteReference"/>
        </w:rPr>
        <w:footnoteRef/>
      </w:r>
      <w:r>
        <w:rPr>
          <w:rStyle w:val="hit"/>
          <w:i/>
        </w:rPr>
        <w:t xml:space="preserve"> </w:t>
      </w:r>
      <w:r w:rsidRPr="00753A3B">
        <w:rPr>
          <w:rStyle w:val="hit"/>
          <w:i/>
        </w:rPr>
        <w:t>Commerzbank A</w:t>
      </w:r>
      <w:r>
        <w:rPr>
          <w:rStyle w:val="hit"/>
          <w:i/>
        </w:rPr>
        <w:t>ktiengesellschaft v IMB Morgan p</w:t>
      </w:r>
      <w:r w:rsidRPr="00753A3B">
        <w:rPr>
          <w:rStyle w:val="hit"/>
          <w:i/>
        </w:rPr>
        <w:t>lc</w:t>
      </w:r>
      <w:r w:rsidRPr="00CF6537">
        <w:t xml:space="preserve"> [2004] EWHC 2771</w:t>
      </w:r>
      <w:r w:rsidR="00A82354">
        <w:fldChar w:fldCharType="begin"/>
      </w:r>
      <w:r>
        <w:instrText xml:space="preserve"> TA \l "</w:instrText>
      </w:r>
      <w:r w:rsidRPr="004B2624">
        <w:rPr>
          <w:i/>
        </w:rPr>
        <w:instrText>Commerzbank Aktiengesellschaft v IMB Morgan Plc</w:instrText>
      </w:r>
      <w:r w:rsidRPr="004B2624">
        <w:instrText xml:space="preserve"> [2004] EWHC 2771 (Ch), [2005] 2 All ER (Comm) 564.</w:instrText>
      </w:r>
      <w:r>
        <w:instrText xml:space="preserve">" \s "[2004] EWHC 2771" \c 1 </w:instrText>
      </w:r>
      <w:r w:rsidR="00A82354">
        <w:fldChar w:fldCharType="end"/>
      </w:r>
      <w:r>
        <w:t xml:space="preserve"> (Ch);</w:t>
      </w:r>
      <w:r w:rsidRPr="00633839">
        <w:t xml:space="preserve"> [2005] 2 All ER (Comm) </w:t>
      </w:r>
      <w:r w:rsidRPr="008D2BAC">
        <w:t>564</w:t>
      </w:r>
      <w:r w:rsidRPr="004F2327">
        <w:t xml:space="preserve">, [36]. </w:t>
      </w:r>
    </w:p>
  </w:footnote>
  <w:footnote w:id="132">
    <w:p w:rsidR="00330C8E" w:rsidRDefault="00330C8E" w:rsidP="00005A3E">
      <w:pPr>
        <w:pStyle w:val="FootnoteText"/>
      </w:pPr>
      <w:r>
        <w:rPr>
          <w:rStyle w:val="FootnoteReference"/>
        </w:rPr>
        <w:footnoteRef/>
      </w:r>
      <w:r>
        <w:t xml:space="preserve"> Birks, “The Role of Fault in the Law of Unjust Enrichment”, p. 273.</w:t>
      </w:r>
    </w:p>
  </w:footnote>
  <w:footnote w:id="133">
    <w:p w:rsidR="00330C8E" w:rsidRDefault="00330C8E" w:rsidP="00005A3E">
      <w:pPr>
        <w:pStyle w:val="FootnoteText"/>
      </w:pPr>
      <w:r>
        <w:rPr>
          <w:rStyle w:val="FootnoteReference"/>
        </w:rPr>
        <w:footnoteRef/>
      </w:r>
      <w:r>
        <w:t xml:space="preserve"> See for example when Birks referred to the role of unconscionability as a “fifth wheel on the coach” in “Trusts Raised to Reverse Unjust Enrichment”, p 20.</w:t>
      </w:r>
    </w:p>
  </w:footnote>
  <w:footnote w:id="134">
    <w:p w:rsidR="00330C8E" w:rsidRDefault="00330C8E">
      <w:pPr>
        <w:pStyle w:val="FootnoteText"/>
      </w:pPr>
      <w:r>
        <w:rPr>
          <w:rStyle w:val="FootnoteReference"/>
        </w:rPr>
        <w:footnoteRef/>
      </w:r>
      <w:r>
        <w:t xml:space="preserve"> </w:t>
      </w:r>
      <w:r w:rsidRPr="00C21937">
        <w:rPr>
          <w:i/>
        </w:rPr>
        <w:t>Niru Battery Manufacturing v Milestone Trading Ltd</w:t>
      </w:r>
      <w:r>
        <w:t xml:space="preserve"> [2003] EWCA Civ 1446;</w:t>
      </w:r>
      <w:r w:rsidRPr="00C21937">
        <w:t xml:space="preserve"> [2004] Q</w:t>
      </w:r>
      <w:r>
        <w:t>.</w:t>
      </w:r>
      <w:r w:rsidRPr="00C21937">
        <w:t>B</w:t>
      </w:r>
      <w:r>
        <w:t>.</w:t>
      </w:r>
      <w:r w:rsidRPr="00C21937">
        <w:t xml:space="preserve"> 985</w:t>
      </w:r>
      <w:r>
        <w:t>, [157] (Clarke L.J.). See Virgo, “The Role of Fault in the Law of Restitution”, p. 88.</w:t>
      </w:r>
    </w:p>
  </w:footnote>
  <w:footnote w:id="135">
    <w:p w:rsidR="00330C8E" w:rsidRDefault="00330C8E" w:rsidP="00664620">
      <w:pPr>
        <w:pStyle w:val="FootnoteText"/>
      </w:pPr>
      <w:r w:rsidRPr="00132374">
        <w:rPr>
          <w:rStyle w:val="FootnoteReference"/>
        </w:rPr>
        <w:footnoteRef/>
      </w:r>
      <w:r w:rsidRPr="00132374">
        <w:t xml:space="preserve"> This appeared to have been a concern in </w:t>
      </w:r>
      <w:r w:rsidRPr="00132374">
        <w:rPr>
          <w:i/>
        </w:rPr>
        <w:t>Glen Dimplex Home Appliances Ltd v Smith</w:t>
      </w:r>
      <w:r w:rsidRPr="00132374">
        <w:t xml:space="preserve"> [2011] EWHC 3392 (Comm), [55].</w:t>
      </w:r>
    </w:p>
  </w:footnote>
  <w:footnote w:id="136">
    <w:p w:rsidR="00330C8E" w:rsidRPr="003330AB" w:rsidRDefault="00330C8E">
      <w:pPr>
        <w:pStyle w:val="FootnoteText"/>
      </w:pPr>
      <w:r>
        <w:rPr>
          <w:rStyle w:val="FootnoteReference"/>
        </w:rPr>
        <w:footnoteRef/>
      </w:r>
      <w:r>
        <w:t xml:space="preserve"> </w:t>
      </w:r>
      <w:r>
        <w:rPr>
          <w:i/>
        </w:rPr>
        <w:t>Getronics</w:t>
      </w:r>
      <w:r w:rsidRPr="006D4836">
        <w:rPr>
          <w:rStyle w:val="hit"/>
          <w:i/>
        </w:rPr>
        <w:t xml:space="preserve"> v Logistic &amp; Transport Consulting </w:t>
      </w:r>
      <w:r w:rsidRPr="00633839">
        <w:t>(</w:t>
      </w:r>
      <w:r>
        <w:t>QB, 30 April 2004</w:t>
      </w:r>
      <w:r w:rsidR="00A82354">
        <w:fldChar w:fldCharType="begin"/>
      </w:r>
      <w:r>
        <w:instrText xml:space="preserve"> TA \s "30 April 2004" </w:instrText>
      </w:r>
      <w:r w:rsidR="00A82354">
        <w:fldChar w:fldCharType="end"/>
      </w:r>
      <w:r w:rsidRPr="00633839">
        <w:t>)</w:t>
      </w:r>
      <w:r>
        <w:t xml:space="preserve">, [18]. </w:t>
      </w:r>
    </w:p>
  </w:footnote>
  <w:footnote w:id="137">
    <w:p w:rsidR="00330C8E" w:rsidRDefault="00330C8E" w:rsidP="00F42072">
      <w:pPr>
        <w:pStyle w:val="FootnoteText"/>
      </w:pPr>
      <w:r>
        <w:rPr>
          <w:rStyle w:val="FootnoteReference"/>
        </w:rPr>
        <w:footnoteRef/>
      </w:r>
      <w:r>
        <w:t xml:space="preserve"> Ibid., [49].</w:t>
      </w:r>
    </w:p>
  </w:footnote>
  <w:footnote w:id="138">
    <w:p w:rsidR="00330C8E" w:rsidRDefault="00330C8E" w:rsidP="0067740F">
      <w:pPr>
        <w:pStyle w:val="FootnoteText"/>
      </w:pPr>
      <w:r>
        <w:rPr>
          <w:rStyle w:val="FootnoteReference"/>
        </w:rPr>
        <w:footnoteRef/>
      </w:r>
      <w:r>
        <w:t xml:space="preserve"> </w:t>
      </w:r>
      <w:r w:rsidRPr="00277480">
        <w:t>[1998] Ch. 241</w:t>
      </w:r>
      <w:r>
        <w:t>.</w:t>
      </w:r>
    </w:p>
  </w:footnote>
  <w:footnote w:id="139">
    <w:p w:rsidR="00330C8E" w:rsidRDefault="00330C8E" w:rsidP="0067740F">
      <w:pPr>
        <w:pStyle w:val="FootnoteText"/>
      </w:pPr>
      <w:r>
        <w:rPr>
          <w:rStyle w:val="FootnoteReference"/>
        </w:rPr>
        <w:footnoteRef/>
      </w:r>
      <w:r>
        <w:t xml:space="preserve"> </w:t>
      </w:r>
      <w:r w:rsidRPr="004C774D">
        <w:t>Ibid</w:t>
      </w:r>
      <w:r>
        <w:t xml:space="preserve">., 252. </w:t>
      </w:r>
      <w:r w:rsidRPr="00966BA2">
        <w:rPr>
          <w:i/>
        </w:rPr>
        <w:t>Spread Trustee Co Ltd v Hutcheson</w:t>
      </w:r>
      <w:r w:rsidRPr="00966BA2">
        <w:t xml:space="preserve"> [2011] UKPC 13 [2012] 2 A.C. 194 </w:t>
      </w:r>
      <w:r>
        <w:t>[54]-[55] (Lord Clarke).</w:t>
      </w:r>
    </w:p>
  </w:footnote>
  <w:footnote w:id="140">
    <w:p w:rsidR="00330C8E" w:rsidRDefault="00330C8E">
      <w:pPr>
        <w:pStyle w:val="FootnoteText"/>
      </w:pPr>
      <w:r>
        <w:rPr>
          <w:rStyle w:val="FootnoteReference"/>
        </w:rPr>
        <w:footnoteRef/>
      </w:r>
      <w:r>
        <w:t xml:space="preserve"> See </w:t>
      </w:r>
      <w:r>
        <w:rPr>
          <w:i/>
        </w:rPr>
        <w:t>Gladstone v</w:t>
      </w:r>
      <w:r w:rsidRPr="00B66F4A">
        <w:rPr>
          <w:i/>
        </w:rPr>
        <w:t xml:space="preserve"> Hadwen</w:t>
      </w:r>
      <w:r w:rsidRPr="00E912C5">
        <w:t xml:space="preserve"> </w:t>
      </w:r>
      <w:r w:rsidRPr="003F4C1A">
        <w:t>(1813) 1 M. &amp; S. 517</w:t>
      </w:r>
      <w:r>
        <w:t>, 526 (</w:t>
      </w:r>
      <w:r w:rsidRPr="003F4C1A">
        <w:t>Lord Ellenborough</w:t>
      </w:r>
      <w:r>
        <w:t>); ‘</w:t>
      </w:r>
      <w:r w:rsidRPr="003F4C1A">
        <w:t>the property may be considered as having passed from the defendant to Sill and Co.: but if it did, it was under such circumstances as a Court of Equity on a bill filed would have directed the property to be restored.</w:t>
      </w:r>
      <w:r>
        <w:t>’</w:t>
      </w:r>
    </w:p>
  </w:footnote>
  <w:footnote w:id="141">
    <w:p w:rsidR="00330C8E" w:rsidRDefault="00330C8E" w:rsidP="00B328B3">
      <w:pPr>
        <w:pStyle w:val="FootnoteText"/>
      </w:pPr>
      <w:r>
        <w:rPr>
          <w:rStyle w:val="FootnoteReference"/>
        </w:rPr>
        <w:footnoteRef/>
      </w:r>
      <w:r>
        <w:t xml:space="preserve"> E.g. </w:t>
      </w:r>
      <w:r>
        <w:rPr>
          <w:i/>
        </w:rPr>
        <w:t>Pendray Sousa</w:t>
      </w:r>
      <w:r w:rsidRPr="00A43888">
        <w:rPr>
          <w:i/>
        </w:rPr>
        <w:t xml:space="preserve"> v Parselt Ltd</w:t>
      </w:r>
      <w:r>
        <w:rPr>
          <w:i/>
        </w:rPr>
        <w:t>.</w:t>
      </w:r>
      <w:r>
        <w:t xml:space="preserve"> (Ch, </w:t>
      </w:r>
      <w:r w:rsidRPr="008A6244">
        <w:t>25 April 1980)</w:t>
      </w:r>
      <w:r>
        <w:t xml:space="preserve">. </w:t>
      </w:r>
    </w:p>
  </w:footnote>
  <w:footnote w:id="142">
    <w:p w:rsidR="00330C8E" w:rsidRPr="00A971B1" w:rsidRDefault="00330C8E" w:rsidP="00F45688">
      <w:pPr>
        <w:pStyle w:val="FootnoteText"/>
      </w:pPr>
      <w:r>
        <w:rPr>
          <w:rStyle w:val="FootnoteReference"/>
        </w:rPr>
        <w:footnoteRef/>
      </w:r>
      <w:r>
        <w:t xml:space="preserve"> This is the explanation provided in this article for </w:t>
      </w:r>
      <w:r w:rsidRPr="00753A3B">
        <w:rPr>
          <w:i/>
          <w:iCs/>
        </w:rPr>
        <w:t>Chase Manhattan Bank NA v Israeli-British Bank (London) Ltd</w:t>
      </w:r>
      <w:r w:rsidRPr="0093340E">
        <w:t xml:space="preserve"> [1981] Ch</w:t>
      </w:r>
      <w:r>
        <w:t>.</w:t>
      </w:r>
      <w:r w:rsidRPr="0093340E">
        <w:t xml:space="preserve"> </w:t>
      </w:r>
      <w:r w:rsidRPr="0018765A">
        <w:t>105</w:t>
      </w:r>
      <w:r>
        <w:t>.</w:t>
      </w:r>
    </w:p>
  </w:footnote>
  <w:footnote w:id="143">
    <w:p w:rsidR="00330C8E" w:rsidRDefault="00330C8E">
      <w:pPr>
        <w:pStyle w:val="FootnoteText"/>
      </w:pPr>
      <w:r>
        <w:rPr>
          <w:rStyle w:val="FootnoteReference"/>
        </w:rPr>
        <w:footnoteRef/>
      </w:r>
      <w:r>
        <w:t xml:space="preserve"> </w:t>
      </w:r>
      <w:r w:rsidRPr="00B870D7">
        <w:t xml:space="preserve">Duggan, </w:t>
      </w:r>
      <w:r>
        <w:t>“</w:t>
      </w:r>
      <w:r w:rsidRPr="00B870D7">
        <w:t>Pro</w:t>
      </w:r>
      <w:r>
        <w:t>prietary Remedies in Insolvency”, 1269; Sherwin, “</w:t>
      </w:r>
      <w:r w:rsidRPr="00C54D81">
        <w:t>Why in re Omegas Group Was Right</w:t>
      </w:r>
      <w:r>
        <w:t>”, 895.</w:t>
      </w:r>
    </w:p>
  </w:footnote>
  <w:footnote w:id="144">
    <w:p w:rsidR="00330C8E" w:rsidRDefault="00330C8E">
      <w:pPr>
        <w:pStyle w:val="FootnoteText"/>
      </w:pPr>
      <w:r>
        <w:rPr>
          <w:rStyle w:val="FootnoteReference"/>
        </w:rPr>
        <w:footnoteRef/>
      </w:r>
      <w:r>
        <w:t xml:space="preserve"> See C. Rotherham, “</w:t>
      </w:r>
      <w:r w:rsidRPr="00CC2F3E">
        <w:t>Policy and Proprietary Remedies:</w:t>
      </w:r>
      <w:r>
        <w:t xml:space="preserve"> </w:t>
      </w:r>
      <w:r w:rsidRPr="00CC2F3E">
        <w:t>Are We All Formalists Now?</w:t>
      </w:r>
      <w:r>
        <w:t>”</w:t>
      </w:r>
      <w:r w:rsidRPr="00CC2F3E">
        <w:t xml:space="preserve"> </w:t>
      </w:r>
      <w:r>
        <w:t>(2012) 65 C.L.P. 529, 530.</w:t>
      </w:r>
    </w:p>
  </w:footnote>
  <w:footnote w:id="145">
    <w:p w:rsidR="00330C8E" w:rsidRDefault="00330C8E">
      <w:pPr>
        <w:pStyle w:val="FootnoteText"/>
      </w:pPr>
      <w:r>
        <w:rPr>
          <w:rStyle w:val="FootnoteReference"/>
        </w:rPr>
        <w:footnoteRef/>
      </w:r>
      <w:r>
        <w:t xml:space="preserve"> Many of the cases here could give rise to criminal liability, even the deliberate attempt to keep a mistaken payment (Theft Act 1968, section 5(4)).</w:t>
      </w:r>
    </w:p>
  </w:footnote>
  <w:footnote w:id="146">
    <w:p w:rsidR="00330C8E" w:rsidRDefault="00330C8E" w:rsidP="00F857CE">
      <w:pPr>
        <w:pStyle w:val="FootnoteText"/>
      </w:pPr>
      <w:r>
        <w:rPr>
          <w:rStyle w:val="FootnoteReference"/>
        </w:rPr>
        <w:footnoteRef/>
      </w:r>
      <w:r>
        <w:t xml:space="preserve"> </w:t>
      </w:r>
      <w:r w:rsidRPr="0044291A">
        <w:rPr>
          <w:i/>
        </w:rPr>
        <w:t>E.g.</w:t>
      </w:r>
      <w:r>
        <w:t xml:space="preserve"> </w:t>
      </w:r>
      <w:r w:rsidRPr="005E46B6">
        <w:rPr>
          <w:i/>
        </w:rPr>
        <w:t>Re Empire Assurance Corporation</w:t>
      </w:r>
      <w:r>
        <w:t xml:space="preserve"> (1870-71) L.R. 6 Ch. App.</w:t>
      </w:r>
      <w:r w:rsidRPr="005E46B6">
        <w:t xml:space="preserve"> 469</w:t>
      </w:r>
      <w:r>
        <w:t>, 473 (James L.J.).</w:t>
      </w:r>
    </w:p>
  </w:footnote>
  <w:footnote w:id="147">
    <w:p w:rsidR="00330C8E" w:rsidRDefault="00330C8E">
      <w:pPr>
        <w:pStyle w:val="FootnoteText"/>
      </w:pPr>
      <w:r>
        <w:rPr>
          <w:rStyle w:val="FootnoteReference"/>
        </w:rPr>
        <w:footnoteRef/>
      </w:r>
      <w:r>
        <w:t xml:space="preserve"> </w:t>
      </w:r>
      <w:r w:rsidRPr="00B70C3A">
        <w:rPr>
          <w:i/>
        </w:rPr>
        <w:t>Huguenin v Baseley</w:t>
      </w:r>
      <w:r>
        <w:t xml:space="preserve"> (1807) 14 Ves. Jr. 273, 289.</w:t>
      </w:r>
    </w:p>
  </w:footnote>
  <w:footnote w:id="148">
    <w:p w:rsidR="00330C8E" w:rsidRDefault="00330C8E">
      <w:pPr>
        <w:pStyle w:val="FootnoteText"/>
      </w:pPr>
      <w:r>
        <w:rPr>
          <w:rStyle w:val="FootnoteReference"/>
        </w:rPr>
        <w:footnoteRef/>
      </w:r>
      <w:r>
        <w:t xml:space="preserve"> </w:t>
      </w:r>
      <w:r>
        <w:rPr>
          <w:i/>
        </w:rPr>
        <w:t xml:space="preserve">May v Platt </w:t>
      </w:r>
      <w:r w:rsidRPr="005370AC">
        <w:t>[1900] 1 Ch. 616</w:t>
      </w:r>
      <w:r>
        <w:t xml:space="preserve">, 623 (Farwell J.), in discussing the case of </w:t>
      </w:r>
      <w:r>
        <w:rPr>
          <w:i/>
        </w:rPr>
        <w:t>Garrard v Frankel</w:t>
      </w:r>
      <w:r>
        <w:t xml:space="preserve"> (1862) 30 Beav.</w:t>
      </w:r>
      <w:r w:rsidRPr="00FF3999">
        <w:t xml:space="preserve"> 445</w:t>
      </w:r>
      <w:r>
        <w:t>.</w:t>
      </w:r>
    </w:p>
  </w:footnote>
  <w:footnote w:id="149">
    <w:p w:rsidR="00330C8E" w:rsidRPr="009C5DC2" w:rsidRDefault="00330C8E">
      <w:pPr>
        <w:pStyle w:val="FootnoteText"/>
      </w:pPr>
      <w:r>
        <w:rPr>
          <w:rStyle w:val="FootnoteReference"/>
        </w:rPr>
        <w:footnoteRef/>
      </w:r>
      <w:r>
        <w:t xml:space="preserve"> </w:t>
      </w:r>
      <w:r>
        <w:rPr>
          <w:i/>
        </w:rPr>
        <w:t>Garrard v Frankel</w:t>
      </w:r>
      <w:r>
        <w:t xml:space="preserve"> (1862) 30 Beav.</w:t>
      </w:r>
      <w:r w:rsidRPr="00FF3999">
        <w:t xml:space="preserve"> 445</w:t>
      </w:r>
      <w:r>
        <w:t xml:space="preserve">, 451 (Sir John Romilly M.R.). See also </w:t>
      </w:r>
      <w:r w:rsidRPr="000A3D86">
        <w:rPr>
          <w:i/>
        </w:rPr>
        <w:t>Broughton v Hutt</w:t>
      </w:r>
      <w:r>
        <w:t xml:space="preserve"> </w:t>
      </w:r>
      <w:r w:rsidRPr="000A3D86">
        <w:t>(1858) 3 De G. &amp; J. 501</w:t>
      </w:r>
      <w:r>
        <w:t xml:space="preserve">, 505 (Knight Bruce L.J.) and </w:t>
      </w:r>
      <w:r w:rsidRPr="00095558">
        <w:rPr>
          <w:i/>
        </w:rPr>
        <w:t>Ward &amp; Co. v Wallis</w:t>
      </w:r>
      <w:r w:rsidRPr="00671CD6">
        <w:t xml:space="preserve"> [1900] 1 Q.B. 675</w:t>
      </w:r>
      <w:r>
        <w:t>, 678 (Kennedy J.)</w:t>
      </w:r>
    </w:p>
  </w:footnote>
  <w:footnote w:id="150">
    <w:p w:rsidR="00330C8E" w:rsidRPr="003C27A9" w:rsidRDefault="00330C8E" w:rsidP="00B72635">
      <w:pPr>
        <w:pStyle w:val="FootnoteText"/>
      </w:pPr>
      <w:r>
        <w:rPr>
          <w:rStyle w:val="FootnoteReference"/>
        </w:rPr>
        <w:footnoteRef/>
      </w:r>
      <w:r>
        <w:t xml:space="preserve"> </w:t>
      </w:r>
      <w:r>
        <w:rPr>
          <w:i/>
        </w:rPr>
        <w:t>Pitt v Holt</w:t>
      </w:r>
      <w:r>
        <w:t xml:space="preserve"> </w:t>
      </w:r>
      <w:r w:rsidRPr="003C27A9">
        <w:t>[2012] Ch. 132</w:t>
      </w:r>
      <w:r>
        <w:t xml:space="preserve">, [165] (Lloyd L.J.). Also </w:t>
      </w:r>
      <w:r w:rsidRPr="003C27A9">
        <w:rPr>
          <w:i/>
        </w:rPr>
        <w:t>Nocton v Lord Ashburton</w:t>
      </w:r>
      <w:r>
        <w:t xml:space="preserve"> [1914] AC 932</w:t>
      </w:r>
      <w:r w:rsidRPr="003C27A9">
        <w:t>, 954</w:t>
      </w:r>
      <w:r>
        <w:t xml:space="preserve"> (</w:t>
      </w:r>
      <w:r w:rsidRPr="003C27A9">
        <w:t>Viscount Haldane L</w:t>
      </w:r>
      <w:r>
        <w:t>.</w:t>
      </w:r>
      <w:r w:rsidRPr="003C27A9">
        <w:t>C</w:t>
      </w:r>
      <w:r>
        <w:t xml:space="preserve">.). and </w:t>
      </w:r>
      <w:r w:rsidRPr="003C27A9">
        <w:rPr>
          <w:i/>
        </w:rPr>
        <w:t>Kitchen v Royal Air Force Association</w:t>
      </w:r>
      <w:r w:rsidRPr="003C27A9">
        <w:t xml:space="preserve"> [1958] 1 W.L.R. 563</w:t>
      </w:r>
      <w:r>
        <w:t>, 573</w:t>
      </w:r>
      <w:r w:rsidRPr="003C27A9">
        <w:t xml:space="preserve"> (Lord Evershed M.R.)</w:t>
      </w:r>
      <w:r>
        <w:t>.</w:t>
      </w:r>
    </w:p>
  </w:footnote>
  <w:footnote w:id="151">
    <w:p w:rsidR="00330C8E" w:rsidRDefault="00330C8E">
      <w:pPr>
        <w:pStyle w:val="FootnoteText"/>
      </w:pPr>
      <w:r w:rsidRPr="00353579">
        <w:rPr>
          <w:rStyle w:val="FootnoteReference"/>
        </w:rPr>
        <w:footnoteRef/>
      </w:r>
      <w:r w:rsidRPr="00353579">
        <w:t xml:space="preserve"> </w:t>
      </w:r>
      <w:r>
        <w:t>A similar view is adopted in</w:t>
      </w:r>
      <w:r w:rsidRPr="00353579">
        <w:t xml:space="preserve"> T. Etherton</w:t>
      </w:r>
      <w:r>
        <w:t>, “</w:t>
      </w:r>
      <w:r w:rsidRPr="00353579">
        <w:t xml:space="preserve">The Role of Equity in Mistaken </w:t>
      </w:r>
      <w:r>
        <w:t>Transactions” (2013) 4 T.L.I. 159, 169.</w:t>
      </w:r>
    </w:p>
  </w:footnote>
  <w:footnote w:id="152">
    <w:p w:rsidR="00330C8E" w:rsidRDefault="00330C8E">
      <w:pPr>
        <w:pStyle w:val="FootnoteText"/>
      </w:pPr>
      <w:r>
        <w:rPr>
          <w:rStyle w:val="FootnoteReference"/>
        </w:rPr>
        <w:footnoteRef/>
      </w:r>
      <w:r>
        <w:t xml:space="preserve"> Therefore, proprietary restitution in this context does not equate to specific performance, which would enforce a primary right to have the specific property conveyed.</w:t>
      </w:r>
    </w:p>
  </w:footnote>
  <w:footnote w:id="153">
    <w:p w:rsidR="00330C8E" w:rsidRDefault="00330C8E">
      <w:pPr>
        <w:pStyle w:val="FootnoteText"/>
      </w:pPr>
      <w:r>
        <w:rPr>
          <w:rStyle w:val="FootnoteReference"/>
        </w:rPr>
        <w:footnoteRef/>
      </w:r>
      <w:r>
        <w:t xml:space="preserve"> By analogy, see </w:t>
      </w:r>
      <w:r w:rsidRPr="00C764F2">
        <w:rPr>
          <w:i/>
        </w:rPr>
        <w:t>Ex p. Kelly &amp; Co</w:t>
      </w:r>
      <w:r w:rsidRPr="00C764F2">
        <w:t xml:space="preserve"> (1879) 11 Ch. D. 306</w:t>
      </w:r>
      <w:r>
        <w:t xml:space="preserve">. </w:t>
      </w:r>
    </w:p>
  </w:footnote>
  <w:footnote w:id="154">
    <w:p w:rsidR="00330C8E" w:rsidRDefault="00330C8E">
      <w:pPr>
        <w:pStyle w:val="FootnoteText"/>
      </w:pPr>
      <w:r>
        <w:rPr>
          <w:rStyle w:val="FootnoteReference"/>
        </w:rPr>
        <w:footnoteRef/>
      </w:r>
      <w:r>
        <w:t xml:space="preserve"> L. Smith, ‘Fusion and Tradition’ in S. Degeling and J. Edelman (eds.), </w:t>
      </w:r>
      <w:r>
        <w:rPr>
          <w:i/>
        </w:rPr>
        <w:t>Equity in Commercial Law</w:t>
      </w:r>
      <w:r>
        <w:t xml:space="preserve"> (Sydney 2005), 33.</w:t>
      </w:r>
    </w:p>
  </w:footnote>
  <w:footnote w:id="155">
    <w:p w:rsidR="00330C8E" w:rsidRDefault="00330C8E" w:rsidP="004B3D76">
      <w:pPr>
        <w:pStyle w:val="FootnoteText"/>
      </w:pPr>
      <w:r>
        <w:rPr>
          <w:rStyle w:val="FootnoteReference"/>
        </w:rPr>
        <w:footnoteRef/>
      </w:r>
      <w:r>
        <w:t xml:space="preserve"> [2014] UKSC 45,</w:t>
      </w:r>
      <w:r w:rsidRPr="00170521">
        <w:t xml:space="preserve"> [2014] 3 W.L.R. 535</w:t>
      </w:r>
      <w:r>
        <w:t>, [46].</w:t>
      </w:r>
    </w:p>
  </w:footnote>
  <w:footnote w:id="156">
    <w:p w:rsidR="00330C8E" w:rsidRDefault="00330C8E" w:rsidP="000826DB">
      <w:pPr>
        <w:pStyle w:val="FootnoteText"/>
      </w:pPr>
      <w:r>
        <w:rPr>
          <w:rStyle w:val="FootnoteReference"/>
        </w:rPr>
        <w:footnoteRef/>
      </w:r>
      <w:r>
        <w:t xml:space="preserve"> Virgo, “The Role of Fault in the Law of Restitution”, p. 101.</w:t>
      </w:r>
    </w:p>
  </w:footnote>
  <w:footnote w:id="157">
    <w:p w:rsidR="00330C8E" w:rsidRDefault="00330C8E">
      <w:pPr>
        <w:pStyle w:val="FootnoteText"/>
      </w:pPr>
      <w:r>
        <w:rPr>
          <w:rStyle w:val="FootnoteReference"/>
        </w:rPr>
        <w:footnoteRef/>
      </w:r>
      <w:r>
        <w:t xml:space="preserve"> </w:t>
      </w:r>
      <w:r w:rsidRPr="000826DB">
        <w:rPr>
          <w:i/>
        </w:rPr>
        <w:t xml:space="preserve">Seldon v Davidson </w:t>
      </w:r>
      <w:r>
        <w:t>[1968] 1 W.L.R. 1083.</w:t>
      </w:r>
    </w:p>
  </w:footnote>
  <w:footnote w:id="158">
    <w:p w:rsidR="00330C8E" w:rsidRDefault="00330C8E">
      <w:pPr>
        <w:pStyle w:val="FootnoteText"/>
      </w:pPr>
      <w:r>
        <w:rPr>
          <w:rStyle w:val="FootnoteReference"/>
        </w:rPr>
        <w:footnoteRef/>
      </w:r>
      <w:r>
        <w:t xml:space="preserve"> W. Swadling, “</w:t>
      </w:r>
      <w:r w:rsidRPr="00F91B1B">
        <w:t xml:space="preserve">Explaining </w:t>
      </w:r>
      <w:r w:rsidRPr="00776F7C">
        <w:rPr>
          <w:rStyle w:val="Emphasis"/>
          <w:i w:val="0"/>
        </w:rPr>
        <w:t>Resulting</w:t>
      </w:r>
      <w:r w:rsidRPr="00776F7C">
        <w:rPr>
          <w:i/>
        </w:rPr>
        <w:t xml:space="preserve"> </w:t>
      </w:r>
      <w:r w:rsidRPr="00633839">
        <w:rPr>
          <w:iCs/>
        </w:rPr>
        <w:t>Trusts</w:t>
      </w:r>
      <w:r>
        <w:rPr>
          <w:iCs/>
        </w:rPr>
        <w:t>”</w:t>
      </w:r>
      <w:r w:rsidRPr="004F76B0">
        <w:rPr>
          <w:i/>
          <w:iCs/>
        </w:rPr>
        <w:t xml:space="preserve"> </w:t>
      </w:r>
      <w:r w:rsidRPr="004F76B0">
        <w:t xml:space="preserve">(2008) 124 </w:t>
      </w:r>
      <w:r w:rsidRPr="00F91B1B">
        <w:t>L</w:t>
      </w:r>
      <w:r>
        <w:t>.</w:t>
      </w:r>
      <w:r w:rsidRPr="00F91B1B">
        <w:t>Q</w:t>
      </w:r>
      <w:r>
        <w:t>.</w:t>
      </w:r>
      <w:r w:rsidRPr="00F91B1B">
        <w:t>R</w:t>
      </w:r>
      <w:r>
        <w:t>.</w:t>
      </w:r>
      <w:r w:rsidRPr="004F76B0">
        <w:t xml:space="preserve"> 72</w:t>
      </w:r>
      <w:r>
        <w:t>, 79.</w:t>
      </w:r>
    </w:p>
  </w:footnote>
  <w:footnote w:id="159">
    <w:p w:rsidR="00330C8E" w:rsidRDefault="00330C8E">
      <w:pPr>
        <w:pStyle w:val="FootnoteText"/>
      </w:pPr>
      <w:r>
        <w:rPr>
          <w:rStyle w:val="FootnoteReference"/>
        </w:rPr>
        <w:footnoteRef/>
      </w:r>
      <w:r>
        <w:t xml:space="preserve"> </w:t>
      </w:r>
      <w:r w:rsidRPr="00333EEB">
        <w:rPr>
          <w:i/>
        </w:rPr>
        <w:t xml:space="preserve">Re Diplock </w:t>
      </w:r>
      <w:r w:rsidRPr="001F006A">
        <w:t>[1948] Ch. 465</w:t>
      </w:r>
      <w:r>
        <w:t xml:space="preserve">; </w:t>
      </w:r>
      <w:r w:rsidRPr="00D45664">
        <w:rPr>
          <w:i/>
        </w:rPr>
        <w:t>Re Brown</w:t>
      </w:r>
      <w:r w:rsidRPr="00D45664">
        <w:t xml:space="preserve"> (1886) 32 Ch. D. 597</w:t>
      </w:r>
      <w:r>
        <w:t>. .</w:t>
      </w:r>
    </w:p>
  </w:footnote>
  <w:footnote w:id="160">
    <w:p w:rsidR="00330C8E" w:rsidRDefault="00330C8E">
      <w:pPr>
        <w:pStyle w:val="FootnoteText"/>
      </w:pPr>
      <w:r>
        <w:rPr>
          <w:rStyle w:val="FootnoteReference"/>
        </w:rPr>
        <w:footnoteRef/>
      </w:r>
      <w:r>
        <w:t xml:space="preserve"> </w:t>
      </w:r>
      <w:r w:rsidRPr="003F4C1A">
        <w:rPr>
          <w:i/>
        </w:rPr>
        <w:t>Re Robinson</w:t>
      </w:r>
      <w:r w:rsidRPr="003F4C1A">
        <w:t xml:space="preserve"> [1911] 1 Ch. 502, 513.</w:t>
      </w:r>
    </w:p>
  </w:footnote>
  <w:footnote w:id="161">
    <w:p w:rsidR="00330C8E" w:rsidRPr="007538EF" w:rsidRDefault="00330C8E">
      <w:pPr>
        <w:pStyle w:val="FootnoteText"/>
      </w:pPr>
      <w:r>
        <w:rPr>
          <w:rStyle w:val="FootnoteReference"/>
        </w:rPr>
        <w:footnoteRef/>
      </w:r>
      <w:r>
        <w:t xml:space="preserve"> </w:t>
      </w:r>
      <w:r>
        <w:rPr>
          <w:i/>
        </w:rPr>
        <w:t xml:space="preserve">Re </w:t>
      </w:r>
      <w:r w:rsidRPr="00D37B47">
        <w:rPr>
          <w:i/>
        </w:rPr>
        <w:t>Horne</w:t>
      </w:r>
      <w:r>
        <w:t xml:space="preserve"> [1905] 1 Ch. 76.</w:t>
      </w:r>
    </w:p>
  </w:footnote>
  <w:footnote w:id="162">
    <w:p w:rsidR="00330C8E" w:rsidRDefault="00330C8E" w:rsidP="00295676">
      <w:pPr>
        <w:pStyle w:val="FootnoteText"/>
      </w:pPr>
      <w:r>
        <w:rPr>
          <w:rStyle w:val="FootnoteReference"/>
        </w:rPr>
        <w:footnoteRef/>
      </w:r>
      <w:r>
        <w:t xml:space="preserve"> Ibid.,</w:t>
      </w:r>
      <w:r w:rsidRPr="002C4298">
        <w:t xml:space="preserve"> 81</w:t>
      </w:r>
      <w:r>
        <w:t>.</w:t>
      </w:r>
    </w:p>
  </w:footnote>
  <w:footnote w:id="163">
    <w:p w:rsidR="00330C8E" w:rsidRDefault="00330C8E">
      <w:pPr>
        <w:pStyle w:val="FootnoteText"/>
      </w:pPr>
      <w:r>
        <w:rPr>
          <w:rStyle w:val="FootnoteReference"/>
        </w:rPr>
        <w:footnoteRef/>
      </w:r>
      <w:r>
        <w:t xml:space="preserve"> An exception to this rule is where the mistake is made </w:t>
      </w:r>
      <w:r w:rsidR="00C019A3">
        <w:t xml:space="preserve">by </w:t>
      </w:r>
      <w:r>
        <w:t xml:space="preserve">an agent acting on behalf of the principal, and in this type of case the agent’s actions can be </w:t>
      </w:r>
      <w:r w:rsidR="00C019A3">
        <w:t>attributed to</w:t>
      </w:r>
      <w:r>
        <w:t xml:space="preserve"> the principal; </w:t>
      </w:r>
      <w:r>
        <w:rPr>
          <w:i/>
        </w:rPr>
        <w:t>Colonial Bank v Exchange Bank of Yarmouth</w:t>
      </w:r>
      <w:r>
        <w:t xml:space="preserve"> (1885) 11 App. Cas.</w:t>
      </w:r>
      <w:r w:rsidRPr="0022303E">
        <w:t xml:space="preserve"> 84</w:t>
      </w:r>
      <w:r>
        <w:t xml:space="preserve">. See Virgo, </w:t>
      </w:r>
      <w:r>
        <w:rPr>
          <w:i/>
        </w:rPr>
        <w:t>The Principles of the Law of Restitution</w:t>
      </w:r>
      <w:r w:rsidRPr="0002401B">
        <w:t>,</w:t>
      </w:r>
      <w:r>
        <w:t xml:space="preserve"> p. 108.</w:t>
      </w:r>
    </w:p>
  </w:footnote>
  <w:footnote w:id="164">
    <w:p w:rsidR="00330C8E" w:rsidRDefault="00330C8E" w:rsidP="003E7137">
      <w:pPr>
        <w:pStyle w:val="FootnoteText"/>
      </w:pPr>
      <w:r>
        <w:rPr>
          <w:rStyle w:val="FootnoteReference"/>
        </w:rPr>
        <w:footnoteRef/>
      </w:r>
      <w:r>
        <w:t xml:space="preserve"> </w:t>
      </w:r>
      <w:r w:rsidRPr="00A17717">
        <w:t>(1967) 10 W</w:t>
      </w:r>
      <w:r>
        <w:t>.</w:t>
      </w:r>
      <w:r w:rsidRPr="00A17717">
        <w:t>I</w:t>
      </w:r>
      <w:r>
        <w:t>.</w:t>
      </w:r>
      <w:r w:rsidRPr="00A17717">
        <w:t>R</w:t>
      </w:r>
      <w:r>
        <w:t>.</w:t>
      </w:r>
      <w:r w:rsidRPr="00A17717">
        <w:t xml:space="preserve"> 524</w:t>
      </w:r>
      <w:r>
        <w:t>.</w:t>
      </w:r>
    </w:p>
  </w:footnote>
  <w:footnote w:id="165">
    <w:p w:rsidR="00330C8E" w:rsidRDefault="00330C8E" w:rsidP="00295676">
      <w:pPr>
        <w:pStyle w:val="FootnoteText"/>
      </w:pPr>
      <w:r>
        <w:rPr>
          <w:rStyle w:val="FootnoteReference"/>
        </w:rPr>
        <w:footnoteRef/>
      </w:r>
      <w:r>
        <w:t xml:space="preserve"> (1880) 13 Ch. D.</w:t>
      </w:r>
      <w:r w:rsidRPr="007538EF">
        <w:t xml:space="preserve"> 696</w:t>
      </w:r>
      <w:r>
        <w:t>, 711.</w:t>
      </w:r>
    </w:p>
  </w:footnote>
  <w:footnote w:id="166">
    <w:p w:rsidR="00330C8E" w:rsidRDefault="00330C8E">
      <w:pPr>
        <w:pStyle w:val="FootnoteText"/>
      </w:pPr>
      <w:r>
        <w:rPr>
          <w:rStyle w:val="FootnoteReference"/>
        </w:rPr>
        <w:footnoteRef/>
      </w:r>
      <w:r>
        <w:t xml:space="preserve"> See text following note </w:t>
      </w:r>
      <w:r w:rsidR="00A82354">
        <w:fldChar w:fldCharType="begin"/>
      </w:r>
      <w:r>
        <w:instrText xml:space="preserve"> NOTEREF _Ref404452224 \h </w:instrText>
      </w:r>
      <w:r w:rsidR="00A82354">
        <w:fldChar w:fldCharType="separate"/>
      </w:r>
      <w:r w:rsidR="00265B00">
        <w:t>121</w:t>
      </w:r>
      <w:r w:rsidR="00A82354">
        <w:fldChar w:fldCharType="end"/>
      </w:r>
      <w:r>
        <w:t xml:space="preserve"> above.</w:t>
      </w:r>
    </w:p>
  </w:footnote>
  <w:footnote w:id="167">
    <w:p w:rsidR="00330C8E" w:rsidRPr="008D6C95" w:rsidRDefault="00330C8E" w:rsidP="00772553">
      <w:pPr>
        <w:pStyle w:val="FootnoteText"/>
        <w:rPr>
          <w:i/>
        </w:rPr>
      </w:pPr>
      <w:r>
        <w:rPr>
          <w:rStyle w:val="FootnoteReference"/>
        </w:rPr>
        <w:footnoteRef/>
      </w:r>
      <w:r>
        <w:t xml:space="preserve"> </w:t>
      </w:r>
      <w:r w:rsidRPr="00753A3B">
        <w:rPr>
          <w:i/>
          <w:iCs/>
        </w:rPr>
        <w:t>Shalson</w:t>
      </w:r>
      <w:r>
        <w:t xml:space="preserve"> </w:t>
      </w:r>
      <w:r>
        <w:rPr>
          <w:i/>
        </w:rPr>
        <w:t>v Russo</w:t>
      </w:r>
      <w:r w:rsidRPr="00C94233">
        <w:t xml:space="preserve"> [2003] EWHC 1637 (Ch)</w:t>
      </w:r>
      <w:r>
        <w:t>,</w:t>
      </w:r>
      <w:r w:rsidRPr="00C94233">
        <w:t xml:space="preserve"> [2005] Ch. 281</w:t>
      </w:r>
      <w:r>
        <w:t xml:space="preserve">, [110] (Rimer J.); </w:t>
      </w:r>
      <w:r w:rsidRPr="00D64114">
        <w:rPr>
          <w:i/>
        </w:rPr>
        <w:t>London Allied Holdings Ltd v Lee</w:t>
      </w:r>
      <w:r>
        <w:t xml:space="preserve"> </w:t>
      </w:r>
      <w:r w:rsidRPr="00D64114">
        <w:t>[2007] EWHC 2061 (Ch)</w:t>
      </w:r>
      <w:r>
        <w:t>, [256] (</w:t>
      </w:r>
      <w:r w:rsidRPr="00FF77AD">
        <w:t xml:space="preserve">Etherton </w:t>
      </w:r>
      <w:r>
        <w:t>J.);</w:t>
      </w:r>
      <w:r w:rsidR="00A82354">
        <w:fldChar w:fldCharType="begin"/>
      </w:r>
      <w:r>
        <w:instrText xml:space="preserve"> TA \s "[1997] Ch 159" </w:instrText>
      </w:r>
      <w:r w:rsidR="00A82354">
        <w:fldChar w:fldCharType="end"/>
      </w:r>
      <w:r>
        <w:t xml:space="preserve"> </w:t>
      </w:r>
      <w:r w:rsidRPr="00772553">
        <w:rPr>
          <w:i/>
          <w:iCs/>
        </w:rPr>
        <w:t xml:space="preserve">Solomons v Williams </w:t>
      </w:r>
      <w:r>
        <w:t>(Ch, 23 May 2001);</w:t>
      </w:r>
      <w:r w:rsidRPr="00772553">
        <w:rPr>
          <w:i/>
          <w:iCs/>
        </w:rPr>
        <w:t xml:space="preserve"> </w:t>
      </w:r>
      <w:r w:rsidRPr="00583E93">
        <w:rPr>
          <w:i/>
        </w:rPr>
        <w:t xml:space="preserve">Bank Tejarat v Hong </w:t>
      </w:r>
      <w:r>
        <w:rPr>
          <w:i/>
        </w:rPr>
        <w:t xml:space="preserve">Kong and Shanghai Banking Corp </w:t>
      </w:r>
      <w:r>
        <w:t xml:space="preserve">[1995] 1 Lloyd’s Rep. 239, 245 (Tuckey J.); the limits of common law tracing were also mentioned recently in </w:t>
      </w:r>
      <w:r w:rsidRPr="00CC27C1">
        <w:rPr>
          <w:i/>
        </w:rPr>
        <w:t>FHR European Ventures LLP v Cedar Capital Partners LLC</w:t>
      </w:r>
      <w:r w:rsidRPr="00CC27C1">
        <w:t xml:space="preserve"> [2014] UKSC 45</w:t>
      </w:r>
      <w:r>
        <w:t>,</w:t>
      </w:r>
      <w:r w:rsidRPr="00CC27C1">
        <w:t xml:space="preserve"> [2014] 3 W</w:t>
      </w:r>
      <w:r>
        <w:t>.</w:t>
      </w:r>
      <w:r w:rsidRPr="00CC27C1">
        <w:t>L</w:t>
      </w:r>
      <w:r>
        <w:t>.</w:t>
      </w:r>
      <w:r w:rsidRPr="00CC27C1">
        <w:t>R</w:t>
      </w:r>
      <w:r>
        <w:t>.</w:t>
      </w:r>
      <w:r w:rsidRPr="00CC27C1">
        <w:t xml:space="preserve"> 535</w:t>
      </w:r>
      <w:r>
        <w:t>,</w:t>
      </w:r>
      <w:r w:rsidRPr="00CC27C1">
        <w:t xml:space="preserve"> [44] (Lord Neuberger).</w:t>
      </w:r>
    </w:p>
  </w:footnote>
  <w:footnote w:id="168">
    <w:p w:rsidR="00330C8E" w:rsidRDefault="00330C8E" w:rsidP="00B717CB">
      <w:pPr>
        <w:pStyle w:val="FootnoteText"/>
      </w:pPr>
      <w:r>
        <w:rPr>
          <w:rStyle w:val="FootnoteReference"/>
        </w:rPr>
        <w:footnoteRef/>
      </w:r>
      <w:r>
        <w:t xml:space="preserve"> </w:t>
      </w:r>
      <w:r>
        <w:rPr>
          <w:i/>
        </w:rPr>
        <w:t>Re Diplock</w:t>
      </w:r>
      <w:r>
        <w:t xml:space="preserve"> </w:t>
      </w:r>
      <w:r w:rsidRPr="00E2641E">
        <w:t>[1948] Ch</w:t>
      </w:r>
      <w:r>
        <w:t>,</w:t>
      </w:r>
      <w:r w:rsidRPr="00E2641E">
        <w:t xml:space="preserve"> 465</w:t>
      </w:r>
      <w:r>
        <w:t>, 530 (Lord Greene).</w:t>
      </w:r>
      <w:r w:rsidRPr="00B0055F">
        <w:t xml:space="preserve"> </w:t>
      </w:r>
    </w:p>
  </w:footnote>
  <w:footnote w:id="169">
    <w:p w:rsidR="00330C8E" w:rsidRPr="00772553" w:rsidRDefault="00330C8E">
      <w:pPr>
        <w:pStyle w:val="FootnoteText"/>
      </w:pPr>
      <w:r>
        <w:rPr>
          <w:rStyle w:val="FootnoteReference"/>
        </w:rPr>
        <w:footnoteRef/>
      </w:r>
      <w:r>
        <w:t xml:space="preserve"> </w:t>
      </w:r>
      <w:r>
        <w:rPr>
          <w:i/>
        </w:rPr>
        <w:t>Foskett v McKeown</w:t>
      </w:r>
      <w:r>
        <w:t xml:space="preserve"> [2001] 1 A,C, 102, 128-129 (Lord Millett) and 113 (Lord Steyn). Also, </w:t>
      </w:r>
      <w:r w:rsidRPr="002E479E">
        <w:rPr>
          <w:i/>
          <w:iCs/>
        </w:rPr>
        <w:t>Trustee of the Property of FC Jones and Sons (a Firm) v Jones</w:t>
      </w:r>
      <w:r w:rsidRPr="002E479E">
        <w:t xml:space="preserve"> </w:t>
      </w:r>
      <w:r w:rsidRPr="00895BFB">
        <w:t>[1997] Ch</w:t>
      </w:r>
      <w:r>
        <w:t>.</w:t>
      </w:r>
      <w:r w:rsidRPr="00895BFB">
        <w:t xml:space="preserve"> 159</w:t>
      </w:r>
      <w:r>
        <w:t xml:space="preserve">, 170 (Millett L.J.) and </w:t>
      </w:r>
      <w:r>
        <w:rPr>
          <w:i/>
        </w:rPr>
        <w:t>Bracken Partners Ltd. v</w:t>
      </w:r>
      <w:r w:rsidRPr="00C01A8B">
        <w:t xml:space="preserve"> </w:t>
      </w:r>
      <w:r w:rsidRPr="00F42685">
        <w:rPr>
          <w:i/>
        </w:rPr>
        <w:t>Gutteridge</w:t>
      </w:r>
      <w:r>
        <w:rPr>
          <w:i/>
        </w:rPr>
        <w:t xml:space="preserve"> </w:t>
      </w:r>
      <w:r w:rsidRPr="00F42685">
        <w:t>[2003] EWHC 1064 (Ch)</w:t>
      </w:r>
      <w:r>
        <w:t>,</w:t>
      </w:r>
      <w:r>
        <w:rPr>
          <w:i/>
        </w:rPr>
        <w:t xml:space="preserve"> </w:t>
      </w:r>
      <w:r w:rsidRPr="00F42685">
        <w:t>[31]</w:t>
      </w:r>
      <w:r>
        <w:t xml:space="preserve"> </w:t>
      </w:r>
      <w:r w:rsidRPr="00F42685">
        <w:t>(</w:t>
      </w:r>
      <w:r>
        <w:t>Leaver Q.C.</w:t>
      </w:r>
      <w:r w:rsidRPr="00F42685">
        <w:t>)</w:t>
      </w:r>
      <w:r>
        <w:t xml:space="preserve">. This position has now been adopted in Canada; </w:t>
      </w:r>
      <w:r w:rsidRPr="00C94233">
        <w:rPr>
          <w:i/>
        </w:rPr>
        <w:t xml:space="preserve">B.M.P. </w:t>
      </w:r>
      <w:r w:rsidRPr="00772553">
        <w:rPr>
          <w:i/>
          <w:iCs/>
        </w:rPr>
        <w:t>Global Distribution Inc v Bank of Nova Scotia</w:t>
      </w:r>
      <w:r w:rsidRPr="00772553">
        <w:t xml:space="preserve"> </w:t>
      </w:r>
      <w:r>
        <w:t>(2009) S.C.C. 15 (Sup Ct (Canada)), [85] (</w:t>
      </w:r>
      <w:r w:rsidRPr="005063A3">
        <w:t>Deschamps J.</w:t>
      </w:r>
      <w:r>
        <w:t>).</w:t>
      </w:r>
    </w:p>
  </w:footnote>
  <w:footnote w:id="170">
    <w:p w:rsidR="00330C8E" w:rsidRDefault="00330C8E" w:rsidP="008C1E5A">
      <w:pPr>
        <w:pStyle w:val="FootnoteText"/>
      </w:pPr>
      <w:r>
        <w:rPr>
          <w:rStyle w:val="FootnoteReference"/>
        </w:rPr>
        <w:footnoteRef/>
      </w:r>
      <w:r>
        <w:t xml:space="preserve"> </w:t>
      </w:r>
      <w:r w:rsidRPr="00633839">
        <w:t>[</w:t>
      </w:r>
      <w:r w:rsidRPr="003A5CAA">
        <w:t>2010</w:t>
      </w:r>
      <w:r w:rsidRPr="00633839">
        <w:t>]</w:t>
      </w:r>
      <w:r w:rsidRPr="003A5CAA">
        <w:t xml:space="preserve"> EWHC 1383 (</w:t>
      </w:r>
      <w:r w:rsidRPr="00633839">
        <w:t>Ch</w:t>
      </w:r>
      <w:r w:rsidRPr="003A5CAA">
        <w:t>)</w:t>
      </w:r>
      <w:r>
        <w:t>, [24]. It is not clear from the case report whether the money was actually mixed.</w:t>
      </w:r>
    </w:p>
  </w:footnote>
  <w:footnote w:id="171">
    <w:p w:rsidR="00330C8E" w:rsidRDefault="00330C8E" w:rsidP="00B717CB">
      <w:pPr>
        <w:pStyle w:val="FootnoteText"/>
      </w:pPr>
      <w:r>
        <w:rPr>
          <w:rStyle w:val="FootnoteReference"/>
        </w:rPr>
        <w:footnoteRef/>
      </w:r>
      <w:r>
        <w:t xml:space="preserve"> </w:t>
      </w:r>
      <w:r w:rsidRPr="0044291A">
        <w:t>Ibid</w:t>
      </w:r>
      <w:r>
        <w:t>.,</w:t>
      </w:r>
      <w:r w:rsidRPr="00633839">
        <w:t xml:space="preserve"> [</w:t>
      </w:r>
      <w:r>
        <w:t>74</w:t>
      </w:r>
      <w:r w:rsidRPr="00633839">
        <w:t>].</w:t>
      </w:r>
    </w:p>
  </w:footnote>
  <w:footnote w:id="172">
    <w:p w:rsidR="00330C8E" w:rsidRDefault="00330C8E">
      <w:pPr>
        <w:pStyle w:val="FootnoteText"/>
      </w:pPr>
      <w:r>
        <w:rPr>
          <w:rStyle w:val="FootnoteReference"/>
        </w:rPr>
        <w:footnoteRef/>
      </w:r>
      <w:r>
        <w:t xml:space="preserve"> The conclusion that the customer was a fiduciary seems difficult to reconcile with </w:t>
      </w:r>
      <w:r w:rsidRPr="000D4635">
        <w:rPr>
          <w:i/>
        </w:rPr>
        <w:t>Foley v Hill</w:t>
      </w:r>
      <w:r w:rsidRPr="000D4635">
        <w:t xml:space="preserve"> (1848) 2 H</w:t>
      </w:r>
      <w:r>
        <w:t>.L. Cas.</w:t>
      </w:r>
      <w:r w:rsidRPr="000D4635">
        <w:t xml:space="preserve"> 28</w:t>
      </w:r>
      <w:r>
        <w:t>.</w:t>
      </w:r>
    </w:p>
  </w:footnote>
  <w:footnote w:id="173">
    <w:p w:rsidR="00330C8E" w:rsidRPr="00F50F05" w:rsidRDefault="00330C8E" w:rsidP="00B717CB">
      <w:pPr>
        <w:pStyle w:val="FootnoteText"/>
      </w:pPr>
      <w:r>
        <w:rPr>
          <w:rStyle w:val="FootnoteReference"/>
        </w:rPr>
        <w:footnoteRef/>
      </w:r>
      <w:r>
        <w:t xml:space="preserve"> H. Norman, “Tracing Proceeds of Crime” in P. Birks (ed) </w:t>
      </w:r>
      <w:r>
        <w:rPr>
          <w:i/>
        </w:rPr>
        <w:t>Laundering and Tracing</w:t>
      </w:r>
      <w:r>
        <w:t xml:space="preserve"> (Oxford 1995),</w:t>
      </w:r>
      <w:r>
        <w:rPr>
          <w:i/>
        </w:rPr>
        <w:t xml:space="preserve"> </w:t>
      </w:r>
      <w:r>
        <w:t>111.</w:t>
      </w:r>
      <w:r w:rsidRPr="00CA1D09">
        <w:rPr>
          <w:i/>
        </w:rPr>
        <w:t xml:space="preserve"> </w:t>
      </w:r>
    </w:p>
  </w:footnote>
  <w:footnote w:id="174">
    <w:p w:rsidR="00330C8E" w:rsidRPr="008C1E5A" w:rsidRDefault="00330C8E">
      <w:pPr>
        <w:pStyle w:val="FootnoteText"/>
      </w:pPr>
      <w:r>
        <w:rPr>
          <w:rStyle w:val="FootnoteReference"/>
        </w:rPr>
        <w:footnoteRef/>
      </w:r>
      <w:r>
        <w:t xml:space="preserve"> See also L.D. </w:t>
      </w:r>
      <w:r w:rsidRPr="004F76B0">
        <w:t xml:space="preserve">Smith, </w:t>
      </w:r>
      <w:r w:rsidRPr="00451C74">
        <w:rPr>
          <w:i/>
          <w:iCs/>
        </w:rPr>
        <w:t>The Law of Tracing</w:t>
      </w:r>
      <w:r w:rsidRPr="004F76B0">
        <w:t>, (</w:t>
      </w:r>
      <w:r>
        <w:t xml:space="preserve">Oxford 1997), 128 and S. Hedley, </w:t>
      </w:r>
      <w:r>
        <w:rPr>
          <w:i/>
        </w:rPr>
        <w:t>A Critical Introduction to Restitution</w:t>
      </w:r>
      <w:r>
        <w:t xml:space="preserve"> (London 2001),</w:t>
      </w:r>
      <w:r>
        <w:rPr>
          <w:i/>
        </w:rPr>
        <w:t xml:space="preserve"> </w:t>
      </w:r>
      <w:r>
        <w:t>299.</w:t>
      </w:r>
    </w:p>
  </w:footnote>
  <w:footnote w:id="175">
    <w:p w:rsidR="00330C8E" w:rsidRDefault="00330C8E">
      <w:pPr>
        <w:pStyle w:val="FootnoteText"/>
      </w:pPr>
      <w:r>
        <w:rPr>
          <w:rStyle w:val="FootnoteReference"/>
        </w:rPr>
        <w:footnoteRef/>
      </w:r>
      <w:r>
        <w:t xml:space="preserve"> </w:t>
      </w:r>
      <w:r>
        <w:rPr>
          <w:rStyle w:val="lucenesearchresultmatchingurlb"/>
        </w:rPr>
        <w:t xml:space="preserve">A similar statement was made by Spector J. in </w:t>
      </w:r>
      <w:r w:rsidRPr="001617EC">
        <w:rPr>
          <w:rStyle w:val="lucenesearchresultmatchingurlb"/>
          <w:i/>
        </w:rPr>
        <w:t>In re Dow Corning Corp</w:t>
      </w:r>
      <w:r>
        <w:rPr>
          <w:rStyle w:val="lucenesearchresultmatchingurlb"/>
        </w:rPr>
        <w:t xml:space="preserve"> 192 BR</w:t>
      </w:r>
      <w:r w:rsidRPr="001617EC">
        <w:rPr>
          <w:rStyle w:val="lucenesearchresultmatchingurlb"/>
        </w:rPr>
        <w:t xml:space="preserve"> 428 (</w:t>
      </w:r>
      <w:r w:rsidRPr="00657AF0">
        <w:rPr>
          <w:rStyle w:val="lucenesearchresultmatchingurlb"/>
        </w:rPr>
        <w:t>Bankr</w:t>
      </w:r>
      <w:r>
        <w:rPr>
          <w:rStyle w:val="lucenesearchresultmatchingurlb"/>
        </w:rPr>
        <w:t>.</w:t>
      </w:r>
      <w:r w:rsidRPr="00657AF0">
        <w:rPr>
          <w:rStyle w:val="lucenesearchresultmatchingurlb"/>
        </w:rPr>
        <w:t xml:space="preserve"> Ed</w:t>
      </w:r>
      <w:r>
        <w:rPr>
          <w:rStyle w:val="lucenesearchresultmatchingurlb"/>
        </w:rPr>
        <w:t>.</w:t>
      </w:r>
      <w:r w:rsidRPr="00657AF0">
        <w:rPr>
          <w:rStyle w:val="lucenesearchresultmatchingurlb"/>
        </w:rPr>
        <w:t xml:space="preserve"> Mich</w:t>
      </w:r>
      <w:r>
        <w:rPr>
          <w:rStyle w:val="lucenesearchresultmatchingurlb"/>
        </w:rPr>
        <w:t xml:space="preserve">. </w:t>
      </w:r>
      <w:r w:rsidRPr="001617EC">
        <w:rPr>
          <w:rStyle w:val="lucenesearchresultmatchingurlb"/>
        </w:rPr>
        <w:t>1996)</w:t>
      </w:r>
      <w:r>
        <w:rPr>
          <w:rStyle w:val="lucenesearchresultmatchingurlb"/>
        </w:rPr>
        <w:t xml:space="preserve">. When referring to the finding of a fiduciary relationship in </w:t>
      </w:r>
      <w:r>
        <w:rPr>
          <w:rStyle w:val="lucenesearchresultmatchingurlb"/>
          <w:i/>
        </w:rPr>
        <w:t xml:space="preserve">Chase Manhattan </w:t>
      </w:r>
      <w:r w:rsidRPr="00753A3B">
        <w:rPr>
          <w:i/>
          <w:iCs/>
        </w:rPr>
        <w:t>Bank NA v Israeli-British Bank (London) Ltd</w:t>
      </w:r>
      <w:r w:rsidRPr="0093340E">
        <w:t xml:space="preserve"> [1981] Ch</w:t>
      </w:r>
      <w:r>
        <w:t>.</w:t>
      </w:r>
      <w:r w:rsidRPr="0093340E">
        <w:t xml:space="preserve"> </w:t>
      </w:r>
      <w:r w:rsidRPr="0018765A">
        <w:t>105</w:t>
      </w:r>
      <w:r>
        <w:rPr>
          <w:rStyle w:val="lucenesearchresultmatchingurlb"/>
        </w:rPr>
        <w:t>, Spector J. stated that</w:t>
      </w:r>
      <w:r>
        <w:rPr>
          <w:rStyle w:val="lucenesearchresultmatchingurlb"/>
          <w:i/>
        </w:rPr>
        <w:t xml:space="preserve"> </w:t>
      </w:r>
      <w:r>
        <w:rPr>
          <w:rStyle w:val="lucenesearchresultmatchingurlb"/>
        </w:rPr>
        <w:t>“the holding, in actuality, seems to dispense with the requirement” at 431.</w:t>
      </w:r>
    </w:p>
  </w:footnote>
  <w:footnote w:id="176">
    <w:p w:rsidR="00330C8E" w:rsidRDefault="00330C8E" w:rsidP="00B717CB">
      <w:pPr>
        <w:pStyle w:val="FootnoteText"/>
      </w:pPr>
      <w:r>
        <w:rPr>
          <w:rStyle w:val="FootnoteReference"/>
        </w:rPr>
        <w:footnoteRef/>
      </w:r>
      <w:r>
        <w:t xml:space="preserve"> </w:t>
      </w:r>
      <w:r w:rsidRPr="00753A3B">
        <w:rPr>
          <w:i/>
        </w:rPr>
        <w:t>Barcl</w:t>
      </w:r>
      <w:r>
        <w:rPr>
          <w:i/>
        </w:rPr>
        <w:t>ays Bank p</w:t>
      </w:r>
      <w:r w:rsidRPr="00753A3B">
        <w:rPr>
          <w:i/>
        </w:rPr>
        <w:t>lc v Kalamohan</w:t>
      </w:r>
      <w:r w:rsidRPr="00633839">
        <w:t xml:space="preserve"> [</w:t>
      </w:r>
      <w:r w:rsidRPr="003A5CAA">
        <w:t>2010</w:t>
      </w:r>
      <w:r w:rsidRPr="00633839">
        <w:t>]</w:t>
      </w:r>
      <w:r w:rsidRPr="003A5CAA">
        <w:t xml:space="preserve"> EWHC 1383 (</w:t>
      </w:r>
      <w:r w:rsidRPr="00633839">
        <w:t>Ch</w:t>
      </w:r>
      <w:r w:rsidRPr="003A5CAA">
        <w:t>)</w:t>
      </w:r>
      <w:r>
        <w:t>.</w:t>
      </w:r>
      <w:r w:rsidR="00A82354">
        <w:fldChar w:fldCharType="begin"/>
      </w:r>
      <w:r>
        <w:instrText xml:space="preserve"> TA \l "</w:instrText>
      </w:r>
      <w:r w:rsidRPr="00BA535D">
        <w:rPr>
          <w:i/>
        </w:rPr>
        <w:instrText>Barclays Bank Plc v Kalamohan and Kalamohan</w:instrText>
      </w:r>
      <w:r w:rsidRPr="00BA535D">
        <w:instrText xml:space="preserve"> [2010] EWHC 1383 (Ch).</w:instrText>
      </w:r>
      <w:r>
        <w:instrText xml:space="preserve">" \s "[2010] EWHC 1383" \c 1 </w:instrText>
      </w:r>
      <w:r w:rsidR="00A82354">
        <w:fldChar w:fldCharType="end"/>
      </w:r>
    </w:p>
  </w:footnote>
  <w:footnote w:id="177">
    <w:p w:rsidR="00330C8E" w:rsidRDefault="00330C8E" w:rsidP="00B717CB">
      <w:pPr>
        <w:pStyle w:val="FootnoteText"/>
      </w:pPr>
      <w:r>
        <w:rPr>
          <w:rStyle w:val="FootnoteReference"/>
        </w:rPr>
        <w:footnoteRef/>
      </w:r>
      <w:r>
        <w:t xml:space="preserve"> </w:t>
      </w:r>
      <w:r>
        <w:rPr>
          <w:i/>
        </w:rPr>
        <w:t>C</w:t>
      </w:r>
      <w:r w:rsidRPr="00753A3B">
        <w:rPr>
          <w:rStyle w:val="hit"/>
          <w:i/>
        </w:rPr>
        <w:t>ommerzbank A</w:t>
      </w:r>
      <w:r>
        <w:rPr>
          <w:rStyle w:val="hit"/>
          <w:i/>
        </w:rPr>
        <w:t>ktiengesellschaft v IMB Morgan p</w:t>
      </w:r>
      <w:r w:rsidRPr="00753A3B">
        <w:rPr>
          <w:rStyle w:val="hit"/>
          <w:i/>
        </w:rPr>
        <w:t>lc</w:t>
      </w:r>
      <w:r w:rsidRPr="00CF6537">
        <w:t xml:space="preserve"> [2004] EWHC 2771</w:t>
      </w:r>
      <w:r w:rsidR="00A82354">
        <w:fldChar w:fldCharType="begin"/>
      </w:r>
      <w:r>
        <w:instrText xml:space="preserve"> TA \l "</w:instrText>
      </w:r>
      <w:r w:rsidRPr="004B2624">
        <w:rPr>
          <w:i/>
        </w:rPr>
        <w:instrText>Commerzbank Aktiengesellschaft v IMB Morgan Plc</w:instrText>
      </w:r>
      <w:r w:rsidRPr="004B2624">
        <w:instrText xml:space="preserve"> [2004] EWHC 2771 (Ch), [2005] 2 All ER (Comm) 564.</w:instrText>
      </w:r>
      <w:r>
        <w:instrText xml:space="preserve">" \s "[2004] EWHC 2771" \c 1 </w:instrText>
      </w:r>
      <w:r w:rsidR="00A82354">
        <w:fldChar w:fldCharType="end"/>
      </w:r>
      <w:r>
        <w:t xml:space="preserve"> (Ch);</w:t>
      </w:r>
      <w:r w:rsidRPr="00633839">
        <w:t xml:space="preserve"> [2005] 2 All E</w:t>
      </w:r>
      <w:r>
        <w:t>.</w:t>
      </w:r>
      <w:r w:rsidRPr="00633839">
        <w:t>R</w:t>
      </w:r>
      <w:r>
        <w:t>.</w:t>
      </w:r>
      <w:r w:rsidRPr="00633839">
        <w:t xml:space="preserve"> (Comm) </w:t>
      </w:r>
      <w:r w:rsidRPr="008D2BAC">
        <w:t>564</w:t>
      </w:r>
      <w:r>
        <w:t>.</w:t>
      </w:r>
    </w:p>
  </w:footnote>
  <w:footnote w:id="178">
    <w:p w:rsidR="00330C8E" w:rsidRPr="00CB0B0B" w:rsidRDefault="00330C8E" w:rsidP="00B717CB">
      <w:pPr>
        <w:pStyle w:val="FootnoteText"/>
      </w:pPr>
      <w:r>
        <w:rPr>
          <w:rStyle w:val="FootnoteReference"/>
        </w:rPr>
        <w:footnoteRef/>
      </w:r>
      <w:r>
        <w:t xml:space="preserve"> </w:t>
      </w:r>
      <w:r>
        <w:rPr>
          <w:i/>
        </w:rPr>
        <w:t>Getronics</w:t>
      </w:r>
      <w:r w:rsidRPr="006D4836">
        <w:rPr>
          <w:rStyle w:val="hit"/>
          <w:i/>
        </w:rPr>
        <w:t xml:space="preserve"> v Logistic &amp; Transport Consulting </w:t>
      </w:r>
      <w:r w:rsidRPr="00633839">
        <w:t>(</w:t>
      </w:r>
      <w:r>
        <w:t>QB, 30 April 2004</w:t>
      </w:r>
      <w:r w:rsidR="00A82354">
        <w:fldChar w:fldCharType="begin"/>
      </w:r>
      <w:r>
        <w:instrText xml:space="preserve"> TA \s "30 April 2004" </w:instrText>
      </w:r>
      <w:r w:rsidR="00A82354">
        <w:fldChar w:fldCharType="end"/>
      </w:r>
      <w:r w:rsidRPr="00633839">
        <w:t>)</w:t>
      </w:r>
      <w:r>
        <w:t xml:space="preserve">. Although it is not explicitly stated that the money was mixed, this case involved overcharges so it is implicit that the mistaken payments would have been mixed with money that could not be recovered upon the moment of receipt. Also, </w:t>
      </w:r>
      <w:r w:rsidRPr="00583E93">
        <w:rPr>
          <w:i/>
        </w:rPr>
        <w:t xml:space="preserve">Bank Tejarat v Hong </w:t>
      </w:r>
      <w:r>
        <w:rPr>
          <w:i/>
        </w:rPr>
        <w:t>Kong and Shanghai Banking Corp</w:t>
      </w:r>
      <w:r>
        <w:t xml:space="preserve"> [1995] 1 Lloyd’</w:t>
      </w:r>
      <w:r w:rsidRPr="00331638">
        <w:t>s Rep</w:t>
      </w:r>
      <w:r>
        <w:t>.</w:t>
      </w:r>
      <w:r w:rsidRPr="00331638">
        <w:t xml:space="preserve"> 239</w:t>
      </w:r>
      <w:r>
        <w:t>, 248 (Tuckey J.).</w:t>
      </w:r>
    </w:p>
  </w:footnote>
  <w:footnote w:id="179">
    <w:p w:rsidR="00330C8E" w:rsidRPr="003F2913" w:rsidRDefault="00330C8E" w:rsidP="00B717CB">
      <w:pPr>
        <w:pStyle w:val="FootnoteText"/>
      </w:pPr>
      <w:r>
        <w:rPr>
          <w:rStyle w:val="FootnoteReference"/>
        </w:rPr>
        <w:footnoteRef/>
      </w:r>
      <w:r>
        <w:t xml:space="preserve"> [2010] EWHC 1872</w:t>
      </w:r>
      <w:r w:rsidR="00A82354">
        <w:fldChar w:fldCharType="begin"/>
      </w:r>
      <w:r>
        <w:instrText xml:space="preserve"> TA \s "[2010] EWHC 1872" </w:instrText>
      </w:r>
      <w:r w:rsidR="00A82354">
        <w:fldChar w:fldCharType="end"/>
      </w:r>
      <w:r>
        <w:t xml:space="preserve"> (Comm), [56]-[57]. Although the courts in </w:t>
      </w:r>
      <w:r w:rsidRPr="00753A3B">
        <w:rPr>
          <w:i/>
          <w:iCs/>
        </w:rPr>
        <w:t>Shalson</w:t>
      </w:r>
      <w:r>
        <w:t xml:space="preserve"> </w:t>
      </w:r>
      <w:r>
        <w:rPr>
          <w:i/>
        </w:rPr>
        <w:t xml:space="preserve">v Russo </w:t>
      </w:r>
      <w:r w:rsidRPr="00FF77AD">
        <w:t>[2003] EWHC 1637 (Ch)</w:t>
      </w:r>
      <w:r>
        <w:t>,</w:t>
      </w:r>
      <w:r w:rsidRPr="00FF77AD">
        <w:t xml:space="preserve"> [2005] Ch. 281</w:t>
      </w:r>
      <w:r>
        <w:t xml:space="preserve">, </w:t>
      </w:r>
      <w:r w:rsidRPr="00D64114">
        <w:rPr>
          <w:i/>
        </w:rPr>
        <w:t>London Allied Holdings Ltd v Lee</w:t>
      </w:r>
      <w:r>
        <w:t xml:space="preserve"> </w:t>
      </w:r>
      <w:r w:rsidRPr="00D64114">
        <w:t>[2007] EWHC 2061 (Ch)</w:t>
      </w:r>
      <w:r>
        <w:t xml:space="preserve">, and </w:t>
      </w:r>
      <w:r w:rsidRPr="00E73666">
        <w:rPr>
          <w:i/>
          <w:iCs/>
        </w:rPr>
        <w:t>Banque Belge pour l'Etranger v Hambrouck</w:t>
      </w:r>
      <w:r w:rsidRPr="00E73666">
        <w:t xml:space="preserve"> [1921] 1 KB 321</w:t>
      </w:r>
      <w:r>
        <w:t>,</w:t>
      </w:r>
      <w:r w:rsidRPr="00E73666">
        <w:t xml:space="preserve"> </w:t>
      </w:r>
      <w:r>
        <w:t>applied a rescission analysis, these cases (1) illustrate that one can trace into mixtures without the existence of an initial fiduciary relationship and (2) would have been decided in the same way under the approach that is proposed in this article.</w:t>
      </w:r>
    </w:p>
  </w:footnote>
  <w:footnote w:id="180">
    <w:p w:rsidR="00330C8E" w:rsidRPr="008376C3" w:rsidRDefault="00330C8E">
      <w:pPr>
        <w:pStyle w:val="FootnoteText"/>
      </w:pPr>
      <w:r>
        <w:rPr>
          <w:rStyle w:val="FootnoteReference"/>
        </w:rPr>
        <w:footnoteRef/>
      </w:r>
      <w:r>
        <w:t xml:space="preserve"> Support can also be found in </w:t>
      </w:r>
      <w:r w:rsidRPr="007D3683">
        <w:rPr>
          <w:i/>
        </w:rPr>
        <w:t>Friends Provident v Hillier Parker May &amp; Rowden</w:t>
      </w:r>
      <w:r>
        <w:t xml:space="preserve"> [1997] Q.B. 85,</w:t>
      </w:r>
      <w:r w:rsidRPr="007D3683">
        <w:t xml:space="preserve"> 106</w:t>
      </w:r>
      <w:r>
        <w:t xml:space="preserve"> (</w:t>
      </w:r>
      <w:r w:rsidRPr="007D3683">
        <w:t>Auld</w:t>
      </w:r>
      <w:r>
        <w:t xml:space="preserve"> L.J.);</w:t>
      </w:r>
      <w:r w:rsidRPr="007D3683">
        <w:t xml:space="preserve"> </w:t>
      </w:r>
      <w:r w:rsidRPr="007D3683">
        <w:rPr>
          <w:i/>
        </w:rPr>
        <w:t>Deutsche Bank AG v Vik</w:t>
      </w:r>
      <w:r w:rsidRPr="00C0287D">
        <w:t xml:space="preserve"> </w:t>
      </w:r>
      <w:r w:rsidRPr="007D3683">
        <w:t>[2010] EWHC 551 (Comm)</w:t>
      </w:r>
      <w:r>
        <w:t>,</w:t>
      </w:r>
      <w:r w:rsidRPr="007D3683">
        <w:t xml:space="preserve"> [32]</w:t>
      </w:r>
      <w:r>
        <w:t xml:space="preserve"> </w:t>
      </w:r>
      <w:r w:rsidRPr="007D3683">
        <w:t>(Burton J</w:t>
      </w:r>
      <w:r>
        <w:t>.</w:t>
      </w:r>
      <w:r w:rsidRPr="007D3683">
        <w:t>)</w:t>
      </w:r>
      <w:r>
        <w:t xml:space="preserve">; </w:t>
      </w:r>
      <w:r>
        <w:rPr>
          <w:i/>
        </w:rPr>
        <w:t>Halley v Law Society</w:t>
      </w:r>
      <w:r w:rsidRPr="0082039D">
        <w:t xml:space="preserve"> [2003] EWCA Civ 97; [2003] W</w:t>
      </w:r>
      <w:r>
        <w:t>.</w:t>
      </w:r>
      <w:r w:rsidRPr="0082039D">
        <w:t>T</w:t>
      </w:r>
      <w:r>
        <w:t>.</w:t>
      </w:r>
      <w:r w:rsidRPr="0082039D">
        <w:t>L</w:t>
      </w:r>
      <w:r>
        <w:t>.</w:t>
      </w:r>
      <w:r w:rsidRPr="0082039D">
        <w:t>R</w:t>
      </w:r>
      <w:r>
        <w:t xml:space="preserve">. 845, [45-47]; </w:t>
      </w:r>
      <w:r w:rsidRPr="00C80C8B">
        <w:rPr>
          <w:i/>
        </w:rPr>
        <w:t>Re Farepak Food and Gifts Ltd</w:t>
      </w:r>
      <w:r>
        <w:t xml:space="preserve"> [2006] EWHC 3272 (Ch),</w:t>
      </w:r>
      <w:r w:rsidRPr="00860205">
        <w:t xml:space="preserve"> [2008] BCC 22, </w:t>
      </w:r>
      <w:r>
        <w:t>[</w:t>
      </w:r>
      <w:r w:rsidRPr="00860205">
        <w:t>39</w:t>
      </w:r>
      <w:r>
        <w:t>]</w:t>
      </w:r>
      <w:r w:rsidRPr="00860205">
        <w:t>-</w:t>
      </w:r>
      <w:r>
        <w:t>[</w:t>
      </w:r>
      <w:r w:rsidRPr="00860205">
        <w:t>40</w:t>
      </w:r>
      <w:r>
        <w:t>]</w:t>
      </w:r>
      <w:r w:rsidRPr="00860205">
        <w:t xml:space="preserve"> (Mann J);</w:t>
      </w:r>
      <w:r w:rsidRPr="00860205">
        <w:rPr>
          <w:i/>
        </w:rPr>
        <w:t xml:space="preserve"> Campden Hill Ltd v Chakrani</w:t>
      </w:r>
      <w:r>
        <w:t xml:space="preserve"> [2005] EWHC 911, </w:t>
      </w:r>
      <w:r w:rsidRPr="00860205">
        <w:t>[74] (Hart J</w:t>
      </w:r>
      <w:r>
        <w:t>.</w:t>
      </w:r>
      <w:r w:rsidRPr="00860205">
        <w:t>)</w:t>
      </w:r>
      <w:r>
        <w:t>.</w:t>
      </w:r>
    </w:p>
  </w:footnote>
  <w:footnote w:id="181">
    <w:p w:rsidR="00330C8E" w:rsidRDefault="00330C8E" w:rsidP="00C61B71">
      <w:pPr>
        <w:pStyle w:val="FootnoteText"/>
      </w:pPr>
      <w:r>
        <w:rPr>
          <w:rStyle w:val="FootnoteReference"/>
        </w:rPr>
        <w:footnoteRef/>
      </w:r>
      <w:r>
        <w:t xml:space="preserve"> Fox, </w:t>
      </w:r>
      <w:r>
        <w:rPr>
          <w:i/>
        </w:rPr>
        <w:t>Property Rights in Money</w:t>
      </w:r>
      <w:r>
        <w:t>, [5.144].</w:t>
      </w:r>
    </w:p>
  </w:footnote>
  <w:footnote w:id="182">
    <w:p w:rsidR="00330C8E" w:rsidRPr="00135EED" w:rsidRDefault="00330C8E">
      <w:pPr>
        <w:pStyle w:val="FootnoteText"/>
      </w:pPr>
      <w:r>
        <w:rPr>
          <w:rStyle w:val="FootnoteReference"/>
        </w:rPr>
        <w:footnoteRef/>
      </w:r>
      <w:r>
        <w:t xml:space="preserve"> </w:t>
      </w:r>
      <w:r w:rsidRPr="007C26B2">
        <w:t>Ibid</w:t>
      </w:r>
      <w:r>
        <w:t>., [5.146].</w:t>
      </w:r>
    </w:p>
  </w:footnote>
  <w:footnote w:id="183">
    <w:p w:rsidR="00330C8E" w:rsidRDefault="00330C8E" w:rsidP="00C61B71">
      <w:pPr>
        <w:pStyle w:val="FootnoteText"/>
      </w:pPr>
      <w:r>
        <w:rPr>
          <w:rStyle w:val="FootnoteReference"/>
        </w:rPr>
        <w:footnoteRef/>
      </w:r>
      <w:r>
        <w:t xml:space="preserve"> </w:t>
      </w:r>
      <w:r>
        <w:rPr>
          <w:i/>
        </w:rPr>
        <w:t xml:space="preserve">Chase Manhattan </w:t>
      </w:r>
      <w:r w:rsidRPr="00753A3B">
        <w:rPr>
          <w:i/>
          <w:iCs/>
        </w:rPr>
        <w:t>Bank NA v Israeli-British Bank (London) Ltd</w:t>
      </w:r>
      <w:r w:rsidRPr="0093340E">
        <w:t xml:space="preserve"> [1981] Ch</w:t>
      </w:r>
      <w:r>
        <w:t>.</w:t>
      </w:r>
      <w:r w:rsidRPr="0093340E">
        <w:t xml:space="preserve"> </w:t>
      </w:r>
      <w:r w:rsidRPr="0018765A">
        <w:t>105</w:t>
      </w:r>
      <w:r>
        <w:t xml:space="preserve">; </w:t>
      </w:r>
      <w:r>
        <w:rPr>
          <w:i/>
        </w:rPr>
        <w:t xml:space="preserve">Getronics </w:t>
      </w:r>
      <w:r w:rsidRPr="006D4836">
        <w:rPr>
          <w:rStyle w:val="hit"/>
          <w:i/>
        </w:rPr>
        <w:t xml:space="preserve">v Logistic &amp; Transport Consulting </w:t>
      </w:r>
      <w:r w:rsidRPr="00633839">
        <w:t>(</w:t>
      </w:r>
      <w:r>
        <w:t>QB, 30 April 2004</w:t>
      </w:r>
      <w:r w:rsidR="00A82354">
        <w:fldChar w:fldCharType="begin"/>
      </w:r>
      <w:r>
        <w:instrText xml:space="preserve"> TA \s "30 April 2004" </w:instrText>
      </w:r>
      <w:r w:rsidR="00A82354">
        <w:fldChar w:fldCharType="end"/>
      </w:r>
      <w:r w:rsidRPr="00633839">
        <w:t>).</w:t>
      </w:r>
      <w:r>
        <w:t xml:space="preserve"> </w:t>
      </w:r>
    </w:p>
  </w:footnote>
  <w:footnote w:id="184">
    <w:p w:rsidR="00330C8E" w:rsidRPr="00506372" w:rsidRDefault="00330C8E">
      <w:pPr>
        <w:pStyle w:val="FootnoteText"/>
      </w:pPr>
      <w:r>
        <w:rPr>
          <w:rStyle w:val="FootnoteReference"/>
        </w:rPr>
        <w:footnoteRef/>
      </w:r>
      <w:r>
        <w:t xml:space="preserve"> Ibid., at [17] and [23].</w:t>
      </w:r>
    </w:p>
  </w:footnote>
  <w:footnote w:id="185">
    <w:p w:rsidR="00330C8E" w:rsidRPr="006F13BF" w:rsidRDefault="00330C8E" w:rsidP="003F284F">
      <w:pPr>
        <w:pStyle w:val="FootnoteText"/>
      </w:pPr>
      <w:r>
        <w:rPr>
          <w:rStyle w:val="FootnoteReference"/>
        </w:rPr>
        <w:footnoteRef/>
      </w:r>
      <w:r>
        <w:t xml:space="preserve"> </w:t>
      </w:r>
      <w:r w:rsidRPr="00113F83">
        <w:rPr>
          <w:i/>
        </w:rPr>
        <w:t>Relfo Ltd (In Liquidation) v Varsani</w:t>
      </w:r>
      <w:r>
        <w:rPr>
          <w:i/>
        </w:rPr>
        <w:t xml:space="preserve"> </w:t>
      </w:r>
      <w:r>
        <w:t>[2014] EWCA Civ 360 [60]</w:t>
      </w:r>
      <w:r>
        <w:rPr>
          <w:i/>
        </w:rPr>
        <w:t xml:space="preserve"> </w:t>
      </w:r>
      <w:r>
        <w:t xml:space="preserve">(Arden L.J.) and </w:t>
      </w:r>
      <w:r w:rsidRPr="00E84DB6">
        <w:rPr>
          <w:i/>
          <w:iCs/>
        </w:rPr>
        <w:t xml:space="preserve">Foskett </w:t>
      </w:r>
      <w:r w:rsidRPr="00E84DB6">
        <w:t>v</w:t>
      </w:r>
      <w:r w:rsidRPr="00E84DB6">
        <w:rPr>
          <w:i/>
          <w:iCs/>
        </w:rPr>
        <w:t xml:space="preserve"> McKeown</w:t>
      </w:r>
      <w:r>
        <w:t xml:space="preserve"> [2001] 1 A.C. 102, 128 (Lord Millett).</w:t>
      </w:r>
    </w:p>
  </w:footnote>
  <w:footnote w:id="186">
    <w:p w:rsidR="00330C8E" w:rsidRDefault="00330C8E">
      <w:pPr>
        <w:pStyle w:val="FootnoteText"/>
      </w:pPr>
      <w:r>
        <w:rPr>
          <w:rStyle w:val="FootnoteReference"/>
        </w:rPr>
        <w:footnoteRef/>
      </w:r>
      <w:r>
        <w:t xml:space="preserve"> Ibid., 113 (Lord Steyn), 120 (Lord Hope), 128 (Lord Millett).</w:t>
      </w:r>
    </w:p>
  </w:footnote>
  <w:footnote w:id="187">
    <w:p w:rsidR="00330C8E" w:rsidRDefault="00330C8E" w:rsidP="003F284F">
      <w:pPr>
        <w:pStyle w:val="FootnoteText"/>
      </w:pPr>
      <w:r>
        <w:rPr>
          <w:rStyle w:val="FootnoteReference"/>
        </w:rPr>
        <w:footnoteRef/>
      </w:r>
      <w:r>
        <w:t xml:space="preserve"> D. Sheehan, </w:t>
      </w:r>
      <w:r>
        <w:rPr>
          <w:i/>
        </w:rPr>
        <w:t xml:space="preserve">The Principles of Personal Property Law </w:t>
      </w:r>
      <w:r>
        <w:t>(Hart 2011), 234-235.</w:t>
      </w:r>
    </w:p>
  </w:footnote>
  <w:footnote w:id="188">
    <w:p w:rsidR="00330C8E" w:rsidRPr="006104B7" w:rsidRDefault="00330C8E" w:rsidP="00A15251">
      <w:pPr>
        <w:pStyle w:val="FootnoteText"/>
        <w:rPr>
          <w:i/>
        </w:rPr>
      </w:pPr>
      <w:r>
        <w:rPr>
          <w:rStyle w:val="FootnoteReference"/>
        </w:rPr>
        <w:footnoteRef/>
      </w:r>
      <w:r>
        <w:t xml:space="preserve"> </w:t>
      </w:r>
      <w:r>
        <w:rPr>
          <w:i/>
        </w:rPr>
        <w:t>E.g.</w:t>
      </w:r>
      <w:r w:rsidRPr="006104B7">
        <w:rPr>
          <w:i/>
        </w:rPr>
        <w:t xml:space="preserve"> </w:t>
      </w:r>
      <w:r w:rsidRPr="00F32950">
        <w:rPr>
          <w:i/>
        </w:rPr>
        <w:t>Mediterranean R</w:t>
      </w:r>
      <w:r>
        <w:rPr>
          <w:i/>
        </w:rPr>
        <w:t>a</w:t>
      </w:r>
      <w:r w:rsidRPr="00F32950">
        <w:rPr>
          <w:i/>
        </w:rPr>
        <w:t>ffineria Sicilliana Petroli SpA v Mabanaft GmbH</w:t>
      </w:r>
      <w:r w:rsidRPr="00F32950">
        <w:t xml:space="preserve"> (CA</w:t>
      </w:r>
      <w:r>
        <w:t>, 1 December 1978</w:t>
      </w:r>
      <w:r w:rsidRPr="00F32950">
        <w:t>)</w:t>
      </w:r>
      <w:r>
        <w:t xml:space="preserve">; </w:t>
      </w:r>
      <w:r w:rsidRPr="00F32950">
        <w:rPr>
          <w:i/>
        </w:rPr>
        <w:t>Bankers Trust Co v Shapira</w:t>
      </w:r>
      <w:r w:rsidRPr="00F32950">
        <w:t xml:space="preserve"> [1980] 1 W</w:t>
      </w:r>
      <w:r>
        <w:t>.</w:t>
      </w:r>
      <w:r w:rsidRPr="00F32950">
        <w:t>L</w:t>
      </w:r>
      <w:r>
        <w:t>.</w:t>
      </w:r>
      <w:r w:rsidRPr="00F32950">
        <w:t>R</w:t>
      </w:r>
      <w:r>
        <w:t>.</w:t>
      </w:r>
      <w:r w:rsidRPr="00F32950">
        <w:t xml:space="preserve"> 1274</w:t>
      </w:r>
      <w:r>
        <w:t xml:space="preserve">; </w:t>
      </w:r>
      <w:r>
        <w:rPr>
          <w:i/>
        </w:rPr>
        <w:t xml:space="preserve">A v C (1) </w:t>
      </w:r>
      <w:r>
        <w:t>[1981] Q.B.</w:t>
      </w:r>
      <w:r w:rsidRPr="00F32950">
        <w:t xml:space="preserve"> 956</w:t>
      </w:r>
      <w:r>
        <w:t xml:space="preserve">; </w:t>
      </w:r>
      <w:r w:rsidRPr="00AA354E">
        <w:rPr>
          <w:i/>
        </w:rPr>
        <w:t>Santander UK plc v National Westminster Bank plc</w:t>
      </w:r>
      <w:r w:rsidRPr="00E66D0C">
        <w:t xml:space="preserve"> [2014] EWHC 2626 (Ch)</w:t>
      </w:r>
      <w:r>
        <w:t>.</w:t>
      </w:r>
    </w:p>
  </w:footnote>
  <w:footnote w:id="189">
    <w:p w:rsidR="00330C8E" w:rsidRDefault="00330C8E">
      <w:pPr>
        <w:pStyle w:val="FootnoteText"/>
      </w:pPr>
      <w:r>
        <w:rPr>
          <w:rStyle w:val="FootnoteReference"/>
        </w:rPr>
        <w:footnoteRef/>
      </w:r>
      <w:r>
        <w:t xml:space="preserve"> See also, </w:t>
      </w:r>
      <w:r w:rsidRPr="004F76B0">
        <w:t xml:space="preserve">Smith, </w:t>
      </w:r>
      <w:r w:rsidRPr="00451C74">
        <w:rPr>
          <w:i/>
          <w:iCs/>
        </w:rPr>
        <w:t>The Law of Tracing</w:t>
      </w:r>
      <w:r w:rsidRPr="004F76B0">
        <w:t>, (</w:t>
      </w:r>
      <w:r>
        <w:t>Oxford 1997), p. 11-14.</w:t>
      </w:r>
    </w:p>
  </w:footnote>
  <w:footnote w:id="190">
    <w:p w:rsidR="00330C8E" w:rsidRPr="008D519F" w:rsidRDefault="00330C8E">
      <w:pPr>
        <w:pStyle w:val="FootnoteText"/>
      </w:pPr>
      <w:r>
        <w:rPr>
          <w:rStyle w:val="FootnoteReference"/>
        </w:rPr>
        <w:footnoteRef/>
      </w:r>
      <w:r>
        <w:t xml:space="preserve"> This could arguably be called a “proprietary base”, although Birks argued that an “undestroyed” proprietary base is needed to be present at the moment of receipt; P. Birks, “Overview: Tracing, Claiming and Defences” in Birks (ed) </w:t>
      </w:r>
      <w:r>
        <w:rPr>
          <w:i/>
        </w:rPr>
        <w:t>Laundering and Tracing</w:t>
      </w:r>
      <w:r>
        <w:t xml:space="preserve"> (Oxford 1995), p. 312.</w:t>
      </w:r>
    </w:p>
  </w:footnote>
  <w:footnote w:id="191">
    <w:p w:rsidR="00330C8E" w:rsidRDefault="00330C8E">
      <w:pPr>
        <w:pStyle w:val="FootnoteText"/>
      </w:pPr>
      <w:r>
        <w:rPr>
          <w:rStyle w:val="FootnoteReference"/>
        </w:rPr>
        <w:footnoteRef/>
      </w:r>
      <w:r>
        <w:t xml:space="preserve"> </w:t>
      </w:r>
      <w:r>
        <w:rPr>
          <w:i/>
        </w:rPr>
        <w:t xml:space="preserve">El Ajou </w:t>
      </w:r>
      <w:r w:rsidRPr="0002209A">
        <w:t>[1993] 3 All E</w:t>
      </w:r>
      <w:r>
        <w:t>.</w:t>
      </w:r>
      <w:r w:rsidRPr="0002209A">
        <w:t>R</w:t>
      </w:r>
      <w:r>
        <w:t>. 717.</w:t>
      </w:r>
    </w:p>
  </w:footnote>
  <w:footnote w:id="192">
    <w:p w:rsidR="00330C8E" w:rsidRDefault="00330C8E" w:rsidP="00CA4D16">
      <w:pPr>
        <w:pStyle w:val="FootnoteText"/>
      </w:pPr>
      <w:r>
        <w:rPr>
          <w:rStyle w:val="FootnoteReference"/>
        </w:rPr>
        <w:footnoteRef/>
      </w:r>
      <w:r>
        <w:t xml:space="preserve"> Ibid., 737.</w:t>
      </w:r>
    </w:p>
  </w:footnote>
  <w:footnote w:id="193">
    <w:p w:rsidR="00330C8E" w:rsidRPr="00A40BC0" w:rsidRDefault="00330C8E">
      <w:pPr>
        <w:pStyle w:val="FootnoteText"/>
        <w:rPr>
          <w:b/>
        </w:rPr>
      </w:pPr>
      <w:r>
        <w:rPr>
          <w:rStyle w:val="FootnoteReference"/>
        </w:rPr>
        <w:footnoteRef/>
      </w:r>
      <w:r>
        <w:t xml:space="preserve"> It has been suggested that a claim can be made against secondary recipients where there is a “sufficient link” between the original payment and the payment to the second recipient; </w:t>
      </w:r>
      <w:r w:rsidRPr="00113F83">
        <w:rPr>
          <w:i/>
        </w:rPr>
        <w:t>Relfo Ltd (In Liquidation) v Varsani</w:t>
      </w:r>
      <w:r>
        <w:rPr>
          <w:i/>
        </w:rPr>
        <w:t xml:space="preserve"> </w:t>
      </w:r>
      <w:r>
        <w:t>[2014] EWCA Civ 360</w:t>
      </w:r>
      <w:r>
        <w:rPr>
          <w:b/>
        </w:rPr>
        <w:t xml:space="preserve"> </w:t>
      </w:r>
      <w:r w:rsidRPr="00C94233">
        <w:t>[69]-[99]</w:t>
      </w:r>
      <w:r>
        <w:t xml:space="preserve"> (Arden L.J.). </w:t>
      </w:r>
    </w:p>
  </w:footnote>
  <w:footnote w:id="194">
    <w:p w:rsidR="00330C8E" w:rsidRDefault="00330C8E">
      <w:pPr>
        <w:pStyle w:val="FootnoteText"/>
      </w:pPr>
      <w:r>
        <w:rPr>
          <w:rStyle w:val="FootnoteReference"/>
        </w:rPr>
        <w:footnoteRef/>
      </w:r>
      <w:r>
        <w:t xml:space="preserve"> For example, </w:t>
      </w:r>
      <w:r>
        <w:rPr>
          <w:i/>
        </w:rPr>
        <w:t>Getronics</w:t>
      </w:r>
      <w:r w:rsidRPr="006D4836">
        <w:rPr>
          <w:rStyle w:val="hit"/>
          <w:i/>
        </w:rPr>
        <w:t xml:space="preserve"> v Logistic &amp; Transport Consulting </w:t>
      </w:r>
      <w:r w:rsidRPr="00633839">
        <w:t>(</w:t>
      </w:r>
      <w:r>
        <w:t>QB, 30 April 2004</w:t>
      </w:r>
      <w:r w:rsidR="00A82354">
        <w:fldChar w:fldCharType="begin"/>
      </w:r>
      <w:r>
        <w:instrText xml:space="preserve"> TA \s "30 April 2004" </w:instrText>
      </w:r>
      <w:r w:rsidR="00A82354">
        <w:fldChar w:fldCharType="end"/>
      </w:r>
      <w:r w:rsidRPr="00633839">
        <w:t>)</w:t>
      </w:r>
      <w:r>
        <w:t>.</w:t>
      </w:r>
    </w:p>
  </w:footnote>
  <w:footnote w:id="195">
    <w:p w:rsidR="00330C8E" w:rsidRDefault="00330C8E" w:rsidP="00D71B6A">
      <w:pPr>
        <w:pStyle w:val="FootnoteText"/>
      </w:pPr>
      <w:r>
        <w:rPr>
          <w:rStyle w:val="FootnoteReference"/>
        </w:rPr>
        <w:footnoteRef/>
      </w:r>
      <w:r>
        <w:t xml:space="preserve"> </w:t>
      </w:r>
      <w:r w:rsidRPr="00E84DB6">
        <w:rPr>
          <w:i/>
          <w:iCs/>
        </w:rPr>
        <w:t xml:space="preserve">Foskett </w:t>
      </w:r>
      <w:r w:rsidRPr="00E84DB6">
        <w:t>v</w:t>
      </w:r>
      <w:r w:rsidRPr="00E84DB6">
        <w:rPr>
          <w:i/>
          <w:iCs/>
        </w:rPr>
        <w:t xml:space="preserve"> McKeown</w:t>
      </w:r>
      <w:r>
        <w:t xml:space="preserve"> [2001] 1 A.C. 102, 128 (Lord Millett).</w:t>
      </w:r>
    </w:p>
  </w:footnote>
  <w:footnote w:id="196">
    <w:p w:rsidR="00330C8E" w:rsidRDefault="00330C8E" w:rsidP="00D71B6A">
      <w:pPr>
        <w:pStyle w:val="FootnoteText"/>
      </w:pPr>
      <w:r>
        <w:rPr>
          <w:rStyle w:val="FootnoteReference"/>
        </w:rPr>
        <w:footnoteRef/>
      </w:r>
      <w:r>
        <w:t xml:space="preserve"> Hart J. recognised this was a “controversial” point in </w:t>
      </w:r>
      <w:r>
        <w:rPr>
          <w:i/>
        </w:rPr>
        <w:t>Campden Hill</w:t>
      </w:r>
      <w:r>
        <w:t xml:space="preserve"> </w:t>
      </w:r>
      <w:r w:rsidRPr="00860205">
        <w:rPr>
          <w:i/>
        </w:rPr>
        <w:t>v Chakrani</w:t>
      </w:r>
      <w:r>
        <w:t xml:space="preserve"> [2005] EWHC 911, [84]. The reasoning of </w:t>
      </w:r>
      <w:r w:rsidRPr="00604B87">
        <w:t>Morris Q</w:t>
      </w:r>
      <w:r>
        <w:t>.</w:t>
      </w:r>
      <w:r w:rsidRPr="00604B87">
        <w:t>C</w:t>
      </w:r>
      <w:r>
        <w:t xml:space="preserve">. </w:t>
      </w:r>
      <w:r w:rsidRPr="00F12DD0">
        <w:rPr>
          <w:i/>
        </w:rPr>
        <w:t xml:space="preserve">Armstrong DLW GmbH v Winnington Networks Ltd </w:t>
      </w:r>
      <w:r>
        <w:t>[2012] EWHC 10 (Ch);</w:t>
      </w:r>
      <w:r w:rsidRPr="00F12DD0">
        <w:t xml:space="preserve"> [2013] Ch 156</w:t>
      </w:r>
      <w:r>
        <w:t>, [103]</w:t>
      </w:r>
      <w:r>
        <w:rPr>
          <w:rStyle w:val="hit"/>
        </w:rPr>
        <w:t xml:space="preserve"> </w:t>
      </w:r>
      <w:r>
        <w:t>provides tentative support for the availability of change of position defence.</w:t>
      </w:r>
    </w:p>
  </w:footnote>
  <w:footnote w:id="197">
    <w:p w:rsidR="00330C8E" w:rsidRPr="00F12DD0" w:rsidRDefault="00330C8E" w:rsidP="00D71B6A">
      <w:pPr>
        <w:pStyle w:val="FootnoteText"/>
      </w:pPr>
      <w:r>
        <w:rPr>
          <w:rStyle w:val="FootnoteReference"/>
        </w:rPr>
        <w:footnoteRef/>
      </w:r>
      <w:r>
        <w:t xml:space="preserve"> Although </w:t>
      </w:r>
      <w:r w:rsidRPr="00E84DB6">
        <w:rPr>
          <w:i/>
          <w:iCs/>
        </w:rPr>
        <w:t xml:space="preserve">Foskett </w:t>
      </w:r>
      <w:r w:rsidRPr="00E84DB6">
        <w:t>v</w:t>
      </w:r>
      <w:r w:rsidRPr="00E84DB6">
        <w:rPr>
          <w:i/>
          <w:iCs/>
        </w:rPr>
        <w:t xml:space="preserve"> McKeown</w:t>
      </w:r>
      <w:r>
        <w:t xml:space="preserve"> [2001] 1 A.C. 102 involved pre-existing beneficial interests, Lord Millett rejected “change of position” generally as a defence to a claim based on an equitable interest. It should be noted though that this was an obiter comment, at 129.</w:t>
      </w:r>
    </w:p>
  </w:footnote>
  <w:footnote w:id="198">
    <w:p w:rsidR="00330C8E" w:rsidRPr="000D0CB4" w:rsidRDefault="00330C8E" w:rsidP="00D71B6A">
      <w:pPr>
        <w:pStyle w:val="FootnoteText"/>
      </w:pPr>
      <w:r>
        <w:rPr>
          <w:rStyle w:val="FootnoteReference"/>
        </w:rPr>
        <w:footnoteRef/>
      </w:r>
      <w:r>
        <w:t xml:space="preserve"> </w:t>
      </w:r>
      <w:r>
        <w:rPr>
          <w:i/>
        </w:rPr>
        <w:t>Jones v Churcher</w:t>
      </w:r>
      <w:r w:rsidRPr="00D8053D">
        <w:t xml:space="preserve"> </w:t>
      </w:r>
      <w:r>
        <w:t>[2009] EWHC 722 (QB); [2009] 2 Lloyd’s Rep.</w:t>
      </w:r>
      <w:r w:rsidRPr="006972B5">
        <w:t xml:space="preserve"> 94</w:t>
      </w:r>
      <w:r>
        <w:t xml:space="preserve">. </w:t>
      </w:r>
    </w:p>
  </w:footnote>
  <w:footnote w:id="199">
    <w:p w:rsidR="00330C8E" w:rsidRDefault="00330C8E" w:rsidP="00D71B6A">
      <w:pPr>
        <w:pStyle w:val="FootnoteText"/>
      </w:pPr>
      <w:r>
        <w:rPr>
          <w:rStyle w:val="FootnoteReference"/>
        </w:rPr>
        <w:footnoteRef/>
      </w:r>
      <w:r>
        <w:t xml:space="preserve"> </w:t>
      </w:r>
      <w:r w:rsidRPr="00113F83">
        <w:rPr>
          <w:i/>
        </w:rPr>
        <w:t>Relfo Ltd (In Liquidation) v Varsani</w:t>
      </w:r>
      <w:r>
        <w:rPr>
          <w:i/>
        </w:rPr>
        <w:t xml:space="preserve"> </w:t>
      </w:r>
      <w:r>
        <w:t xml:space="preserve">[2014] EWCA Civ 360 [1] (Arden L.J.). </w:t>
      </w:r>
    </w:p>
  </w:footnote>
  <w:footnote w:id="200">
    <w:p w:rsidR="00330C8E" w:rsidRDefault="00330C8E" w:rsidP="00D71B6A">
      <w:pPr>
        <w:pStyle w:val="FootnoteText"/>
      </w:pPr>
      <w:r>
        <w:rPr>
          <w:rStyle w:val="FootnoteReference"/>
        </w:rPr>
        <w:footnoteRef/>
      </w:r>
      <w:r>
        <w:t xml:space="preserve"> </w:t>
      </w:r>
      <w:r w:rsidRPr="00C21937">
        <w:rPr>
          <w:i/>
        </w:rPr>
        <w:t>Niru Battery Manufacturing v Milestone Trading Ltd</w:t>
      </w:r>
      <w:r>
        <w:t xml:space="preserve"> [2003] EWCA Civ 1446;</w:t>
      </w:r>
      <w:r w:rsidRPr="00C21937">
        <w:t xml:space="preserve"> [2004] Q</w:t>
      </w:r>
      <w:r>
        <w:t>.</w:t>
      </w:r>
      <w:r w:rsidRPr="00C21937">
        <w:t>B</w:t>
      </w:r>
      <w:r>
        <w:t>.</w:t>
      </w:r>
      <w:r w:rsidRPr="00C21937">
        <w:t xml:space="preserve"> 985</w:t>
      </w:r>
      <w:r>
        <w:t xml:space="preserve">, [157] (Clarke L.J.); Virgo, </w:t>
      </w:r>
      <w:r>
        <w:rPr>
          <w:i/>
        </w:rPr>
        <w:t>The Principles of the Law of Restitution</w:t>
      </w:r>
      <w:r>
        <w:t>,</w:t>
      </w:r>
      <w:r>
        <w:rPr>
          <w:i/>
        </w:rPr>
        <w:t xml:space="preserve"> </w:t>
      </w:r>
      <w:r>
        <w:t xml:space="preserve">p. 710. </w:t>
      </w:r>
    </w:p>
  </w:footnote>
  <w:footnote w:id="201">
    <w:p w:rsidR="00330C8E" w:rsidRPr="005157FC" w:rsidRDefault="00330C8E" w:rsidP="00D71B6A">
      <w:pPr>
        <w:pStyle w:val="FootnoteText"/>
      </w:pPr>
      <w:r>
        <w:rPr>
          <w:rStyle w:val="FootnoteReference"/>
        </w:rPr>
        <w:footnoteRef/>
      </w:r>
      <w:r>
        <w:t xml:space="preserve"> [1999] Lloyd’s Rep. Bank</w:t>
      </w:r>
      <w:r w:rsidRPr="00140A49">
        <w:t xml:space="preserve"> 399</w:t>
      </w:r>
      <w:r>
        <w:t>.</w:t>
      </w:r>
    </w:p>
  </w:footnote>
  <w:footnote w:id="202">
    <w:p w:rsidR="00330C8E" w:rsidRDefault="00330C8E" w:rsidP="00D71B6A">
      <w:pPr>
        <w:pStyle w:val="FootnoteText"/>
      </w:pPr>
      <w:r>
        <w:rPr>
          <w:rStyle w:val="FootnoteReference"/>
        </w:rPr>
        <w:footnoteRef/>
      </w:r>
      <w:r>
        <w:t xml:space="preserve"> </w:t>
      </w:r>
      <w:r>
        <w:rPr>
          <w:i/>
        </w:rPr>
        <w:t xml:space="preserve">Lipkin Gorman </w:t>
      </w:r>
      <w:r>
        <w:t>[1991] 2 A.C.</w:t>
      </w:r>
      <w:r w:rsidRPr="00FE6E3D">
        <w:t xml:space="preserve"> 548</w:t>
      </w:r>
      <w:r>
        <w:t>, 580.</w:t>
      </w:r>
    </w:p>
  </w:footnote>
  <w:footnote w:id="203">
    <w:p w:rsidR="00330C8E" w:rsidRDefault="00330C8E">
      <w:pPr>
        <w:pStyle w:val="FootnoteText"/>
      </w:pPr>
      <w:r>
        <w:rPr>
          <w:rStyle w:val="FootnoteReference"/>
        </w:rPr>
        <w:footnoteRef/>
      </w:r>
      <w:r>
        <w:t xml:space="preserve"> Another reason for adopting knowing receipt is that the burden of proof in establishing the state of mind of the subsequent recipient is placed on the claimant rather than the defendant.</w:t>
      </w:r>
    </w:p>
  </w:footnote>
  <w:footnote w:id="204">
    <w:p w:rsidR="00330C8E" w:rsidRPr="008C1E5A" w:rsidRDefault="00330C8E" w:rsidP="00D71B6A">
      <w:pPr>
        <w:pStyle w:val="FootnoteText"/>
      </w:pPr>
      <w:r>
        <w:rPr>
          <w:rStyle w:val="FootnoteReference"/>
        </w:rPr>
        <w:footnoteRef/>
      </w:r>
      <w:r w:rsidR="00A82354">
        <w:fldChar w:fldCharType="begin"/>
      </w:r>
      <w:r>
        <w:instrText xml:space="preserve"> TA \s "[2004] EWHC 2771" </w:instrText>
      </w:r>
      <w:r w:rsidR="00A82354">
        <w:fldChar w:fldCharType="end"/>
      </w:r>
      <w:r w:rsidRPr="00065D9F">
        <w:rPr>
          <w:i/>
        </w:rPr>
        <w:t xml:space="preserve"> E.g. </w:t>
      </w:r>
      <w:r>
        <w:rPr>
          <w:i/>
        </w:rPr>
        <w:t>C</w:t>
      </w:r>
      <w:r w:rsidRPr="00753A3B">
        <w:rPr>
          <w:rStyle w:val="hit"/>
          <w:i/>
        </w:rPr>
        <w:t>ommerzbank A</w:t>
      </w:r>
      <w:r>
        <w:rPr>
          <w:rStyle w:val="hit"/>
          <w:i/>
        </w:rPr>
        <w:t>ktiengesellschaft v IMB Morgan p</w:t>
      </w:r>
      <w:r w:rsidRPr="00753A3B">
        <w:rPr>
          <w:rStyle w:val="hit"/>
          <w:i/>
        </w:rPr>
        <w:t>lc</w:t>
      </w:r>
      <w:r w:rsidRPr="00CF6537">
        <w:t xml:space="preserve"> [2004] EWHC 2771</w:t>
      </w:r>
      <w:r w:rsidR="00A82354">
        <w:fldChar w:fldCharType="begin"/>
      </w:r>
      <w:r>
        <w:instrText xml:space="preserve"> TA \l "</w:instrText>
      </w:r>
      <w:r w:rsidRPr="004B2624">
        <w:rPr>
          <w:i/>
        </w:rPr>
        <w:instrText>Commerzbank Aktiengesellschaft v IMB Morgan Plc</w:instrText>
      </w:r>
      <w:r w:rsidRPr="004B2624">
        <w:instrText xml:space="preserve"> [2004] EWHC 2771 (Ch), [2005] 2 All ER (Comm) 564.</w:instrText>
      </w:r>
      <w:r>
        <w:instrText xml:space="preserve">" \s "[2004] EWHC 2771" \c 1 </w:instrText>
      </w:r>
      <w:r w:rsidR="00A82354">
        <w:fldChar w:fldCharType="end"/>
      </w:r>
      <w:r>
        <w:t xml:space="preserve"> (Ch);</w:t>
      </w:r>
      <w:r w:rsidRPr="00633839">
        <w:t xml:space="preserve"> [2005] 2 All E</w:t>
      </w:r>
      <w:r>
        <w:t>.</w:t>
      </w:r>
      <w:r w:rsidRPr="00633839">
        <w:t>R</w:t>
      </w:r>
      <w:r>
        <w:t>.</w:t>
      </w:r>
      <w:r w:rsidRPr="00633839">
        <w:t xml:space="preserve"> (Comm) </w:t>
      </w:r>
      <w:r w:rsidRPr="008D2BAC">
        <w:t>564</w:t>
      </w:r>
      <w:r>
        <w:t>.</w:t>
      </w:r>
    </w:p>
  </w:footnote>
  <w:footnote w:id="205">
    <w:p w:rsidR="00330C8E" w:rsidRDefault="00330C8E">
      <w:pPr>
        <w:pStyle w:val="FootnoteText"/>
      </w:pPr>
      <w:r>
        <w:rPr>
          <w:rStyle w:val="FootnoteReference"/>
        </w:rPr>
        <w:footnoteRef/>
      </w:r>
      <w:r>
        <w:t xml:space="preserve"> </w:t>
      </w:r>
      <w:r>
        <w:rPr>
          <w:i/>
        </w:rPr>
        <w:t xml:space="preserve">E.g. </w:t>
      </w:r>
      <w:r w:rsidRPr="007633EA">
        <w:rPr>
          <w:i/>
        </w:rPr>
        <w:t xml:space="preserve">Pearce v Lloyds TSB Bank Plc </w:t>
      </w:r>
      <w:r w:rsidRPr="007633EA">
        <w:t>[2001] EWCA Civ 1907</w:t>
      </w:r>
      <w:r>
        <w:t xml:space="preserve"> and </w:t>
      </w:r>
      <w:r w:rsidRPr="007633EA">
        <w:rPr>
          <w:i/>
        </w:rPr>
        <w:t>Citibank NA v Brown Shipley &amp; Co Ltd</w:t>
      </w:r>
      <w:r w:rsidRPr="007633EA">
        <w:t xml:space="preserve"> [1991] 2 All E.R. 690</w:t>
      </w:r>
      <w:r>
        <w:t>.</w:t>
      </w:r>
    </w:p>
  </w:footnote>
  <w:footnote w:id="206">
    <w:p w:rsidR="00330C8E" w:rsidRDefault="00330C8E" w:rsidP="00D71B6A">
      <w:pPr>
        <w:pStyle w:val="FootnoteText"/>
        <w:jc w:val="both"/>
      </w:pPr>
      <w:r w:rsidRPr="0093340E">
        <w:rPr>
          <w:rStyle w:val="FootnoteReference"/>
        </w:rPr>
        <w:footnoteRef/>
      </w:r>
      <w:r w:rsidRPr="0093340E">
        <w:t xml:space="preserve"> </w:t>
      </w:r>
      <w:r>
        <w:rPr>
          <w:i/>
        </w:rPr>
        <w:t xml:space="preserve">Chase Manhattan </w:t>
      </w:r>
      <w:r w:rsidRPr="00753A3B">
        <w:rPr>
          <w:i/>
          <w:iCs/>
        </w:rPr>
        <w:t>Bank NA v Israeli-British Bank (London) Ltd</w:t>
      </w:r>
      <w:r w:rsidRPr="0093340E">
        <w:t xml:space="preserve"> [1981] Ch</w:t>
      </w:r>
      <w:r>
        <w:t>.</w:t>
      </w:r>
      <w:r w:rsidRPr="0093340E">
        <w:t xml:space="preserve"> </w:t>
      </w:r>
      <w:r w:rsidRPr="0018765A">
        <w:t>105.</w:t>
      </w:r>
    </w:p>
  </w:footnote>
  <w:footnote w:id="207">
    <w:p w:rsidR="00330C8E" w:rsidRPr="0018765A" w:rsidRDefault="00330C8E" w:rsidP="00D71B6A">
      <w:pPr>
        <w:pStyle w:val="FootnoteText"/>
      </w:pPr>
      <w:r w:rsidRPr="0018765A">
        <w:rPr>
          <w:rStyle w:val="FootnoteReference"/>
        </w:rPr>
        <w:footnoteRef/>
      </w:r>
      <w:r w:rsidRPr="0018765A">
        <w:t xml:space="preserve"> </w:t>
      </w:r>
      <w:r>
        <w:rPr>
          <w:i/>
        </w:rPr>
        <w:t xml:space="preserve">Westdeutsche </w:t>
      </w:r>
      <w:r w:rsidRPr="00804EA1">
        <w:rPr>
          <w:i/>
        </w:rPr>
        <w:t xml:space="preserve">Landesbank Girozentrale </w:t>
      </w:r>
      <w:r>
        <w:rPr>
          <w:i/>
        </w:rPr>
        <w:t xml:space="preserve">v London Islington Borough Council </w:t>
      </w:r>
      <w:r w:rsidRPr="00DD3423">
        <w:rPr>
          <w:iCs/>
        </w:rPr>
        <w:t>[</w:t>
      </w:r>
      <w:r>
        <w:t>1996] A.C. 669,</w:t>
      </w:r>
      <w:r w:rsidRPr="0018765A">
        <w:t xml:space="preserve"> 71</w:t>
      </w:r>
      <w:r>
        <w:t>5</w:t>
      </w:r>
      <w:r w:rsidRPr="0018765A">
        <w:t>.</w:t>
      </w:r>
    </w:p>
  </w:footnote>
  <w:footnote w:id="208">
    <w:p w:rsidR="00330C8E" w:rsidRPr="00916B3B" w:rsidRDefault="00330C8E" w:rsidP="0075419B">
      <w:pPr>
        <w:pStyle w:val="FootnoteText"/>
      </w:pPr>
      <w:r>
        <w:rPr>
          <w:rStyle w:val="FootnoteReference"/>
        </w:rPr>
        <w:footnoteRef/>
      </w:r>
      <w:r>
        <w:t xml:space="preserve"> The financial difficulties of the recipient are documented in </w:t>
      </w:r>
      <w:r>
        <w:rPr>
          <w:i/>
        </w:rPr>
        <w:t>R v Landy</w:t>
      </w:r>
      <w:r>
        <w:t xml:space="preserve"> [1981] 1 WLR</w:t>
      </w:r>
      <w:r w:rsidRPr="00916B3B">
        <w:t xml:space="preserve"> 355</w:t>
      </w:r>
      <w:r>
        <w:t xml:space="preserve"> (CA) 357-361 (Lawton L.J.) and </w:t>
      </w:r>
      <w:r w:rsidRPr="00DF0AC6">
        <w:rPr>
          <w:i/>
        </w:rPr>
        <w:t>I</w:t>
      </w:r>
      <w:r>
        <w:rPr>
          <w:i/>
        </w:rPr>
        <w:t>srael-British Bank (London) Ltd</w:t>
      </w:r>
      <w:r w:rsidRPr="00DF0AC6">
        <w:rPr>
          <w:i/>
        </w:rPr>
        <w:t xml:space="preserve"> v</w:t>
      </w:r>
      <w:r>
        <w:rPr>
          <w:i/>
        </w:rPr>
        <w:t xml:space="preserve"> </w:t>
      </w:r>
      <w:r w:rsidRPr="00DF0AC6">
        <w:rPr>
          <w:i/>
        </w:rPr>
        <w:t>Federal Deposit Insurance Corp</w:t>
      </w:r>
      <w:r>
        <w:t>. 536 F.2d 509</w:t>
      </w:r>
      <w:r w:rsidRPr="006648AE">
        <w:t xml:space="preserve"> (2d Cir. 1976).</w:t>
      </w:r>
    </w:p>
  </w:footnote>
  <w:footnote w:id="209">
    <w:p w:rsidR="00330C8E" w:rsidRDefault="00330C8E" w:rsidP="004A336F">
      <w:pPr>
        <w:pStyle w:val="FootnoteText"/>
      </w:pPr>
      <w:r>
        <w:rPr>
          <w:rStyle w:val="FootnoteReference"/>
        </w:rPr>
        <w:footnoteRef/>
      </w:r>
      <w:r>
        <w:t xml:space="preserve"> </w:t>
      </w:r>
      <w:r w:rsidRPr="005370AC">
        <w:t>[1919] 2 K.B. 735</w:t>
      </w:r>
      <w:r>
        <w:t>.</w:t>
      </w:r>
      <w:r w:rsidRPr="005370AC">
        <w:t xml:space="preserve"> </w:t>
      </w:r>
      <w:r>
        <w:t>Although both Warrington L.J.</w:t>
      </w:r>
      <w:r w:rsidR="00C019A3">
        <w:t xml:space="preserve">, </w:t>
      </w:r>
      <w:r>
        <w:t>751</w:t>
      </w:r>
      <w:r w:rsidR="00C019A3">
        <w:t>,</w:t>
      </w:r>
      <w:r>
        <w:t xml:space="preserve"> and Duke L.J.</w:t>
      </w:r>
      <w:r w:rsidR="00C019A3">
        <w:t>,</w:t>
      </w:r>
      <w:r>
        <w:t xml:space="preserve"> 753</w:t>
      </w:r>
      <w:r w:rsidR="00C019A3">
        <w:t>,</w:t>
      </w:r>
      <w:r>
        <w:t xml:space="preserve"> appeared to conclude that the claimant had been operating under a mistake of fact, Atkin L.J. appeared to indicate that the real issue was the frustration of the loan agreement</w:t>
      </w:r>
      <w:r w:rsidR="00C019A3">
        <w:t xml:space="preserve">, </w:t>
      </w:r>
      <w:r>
        <w:t>765. Notably the award in that case allowed the claimant to recover the money even after bankruptcy, however, Warrington L.J. approved previous case law which denied that the money was subject to a trust, 747-748.</w:t>
      </w:r>
      <w:r w:rsidRPr="005370AC">
        <w:t xml:space="preserve"> </w:t>
      </w:r>
    </w:p>
  </w:footnote>
  <w:footnote w:id="210">
    <w:p w:rsidR="00330C8E" w:rsidRDefault="00330C8E">
      <w:pPr>
        <w:pStyle w:val="FootnoteText"/>
      </w:pPr>
      <w:r>
        <w:rPr>
          <w:rStyle w:val="FootnoteReference"/>
        </w:rPr>
        <w:footnoteRef/>
      </w:r>
      <w:r>
        <w:t xml:space="preserve"> Ibid., 765 (Atkin L.J.).</w:t>
      </w:r>
    </w:p>
  </w:footnote>
  <w:footnote w:id="211">
    <w:p w:rsidR="00330C8E" w:rsidRDefault="00330C8E" w:rsidP="004A336F">
      <w:pPr>
        <w:pStyle w:val="FootnoteText"/>
      </w:pPr>
      <w:r>
        <w:rPr>
          <w:rStyle w:val="FootnoteReference"/>
        </w:rPr>
        <w:footnoteRef/>
      </w:r>
      <w:r>
        <w:t xml:space="preserve"> Ibid., 765 (Atkin L.J.).</w:t>
      </w:r>
    </w:p>
  </w:footnote>
  <w:footnote w:id="212">
    <w:p w:rsidR="00330C8E" w:rsidRPr="009255CD" w:rsidRDefault="00330C8E" w:rsidP="0075419B">
      <w:pPr>
        <w:pStyle w:val="FootnoteText"/>
      </w:pPr>
      <w:r w:rsidRPr="00545C1B">
        <w:rPr>
          <w:rStyle w:val="FootnoteReference"/>
        </w:rPr>
        <w:footnoteRef/>
      </w:r>
      <w:r>
        <w:t xml:space="preserve"> Section 227 of the Companies Act 1948. The same position is true under section 127 </w:t>
      </w:r>
      <w:r w:rsidRPr="009255CD">
        <w:t>Insolvency Act 1986</w:t>
      </w:r>
      <w:r>
        <w:t>. See Watts, “Birks and Proprietary Claims”, p. 374.</w:t>
      </w:r>
    </w:p>
  </w:footnote>
  <w:footnote w:id="213">
    <w:p w:rsidR="00330C8E" w:rsidRDefault="00330C8E">
      <w:pPr>
        <w:pStyle w:val="FootnoteText"/>
      </w:pPr>
      <w:r>
        <w:rPr>
          <w:rStyle w:val="FootnoteReference"/>
        </w:rPr>
        <w:footnoteRef/>
      </w:r>
      <w:r>
        <w:t xml:space="preserve"> </w:t>
      </w:r>
      <w:r w:rsidRPr="007323CC">
        <w:t>(1877) 3 Q.B.D. 195</w:t>
      </w:r>
      <w:r>
        <w:t>,</w:t>
      </w:r>
      <w:r w:rsidRPr="007323CC">
        <w:t xml:space="preserve"> </w:t>
      </w:r>
      <w:r>
        <w:t>211.</w:t>
      </w:r>
    </w:p>
  </w:footnote>
  <w:footnote w:id="214">
    <w:p w:rsidR="00330C8E" w:rsidRDefault="00330C8E">
      <w:pPr>
        <w:pStyle w:val="FootnoteText"/>
      </w:pPr>
      <w:r>
        <w:rPr>
          <w:rStyle w:val="FootnoteReference"/>
        </w:rPr>
        <w:footnoteRef/>
      </w:r>
      <w:r>
        <w:t xml:space="preserve"> Although it is in a very different context, in </w:t>
      </w:r>
      <w:r w:rsidRPr="00A8422C">
        <w:rPr>
          <w:i/>
        </w:rPr>
        <w:t xml:space="preserve">Lloyd v McMahon </w:t>
      </w:r>
      <w:r w:rsidRPr="00E72111">
        <w:t>[1987] A.C. 625</w:t>
      </w:r>
      <w:r>
        <w:t xml:space="preserve"> also demonstrates that the failure to act in sufficient time where the defendant is aware there is a need to act can be appropriately regarded as wilful misconduct .</w:t>
      </w:r>
    </w:p>
  </w:footnote>
  <w:footnote w:id="215">
    <w:p w:rsidR="00330C8E" w:rsidRDefault="00330C8E" w:rsidP="005C59E2">
      <w:pPr>
        <w:pStyle w:val="FootnoteText"/>
      </w:pPr>
      <w:r>
        <w:rPr>
          <w:rStyle w:val="FootnoteReference"/>
        </w:rPr>
        <w:footnoteRef/>
      </w:r>
      <w:r>
        <w:t xml:space="preserve"> (Ch, </w:t>
      </w:r>
      <w:r w:rsidRPr="008A6244">
        <w:t>25 April 1980)</w:t>
      </w:r>
      <w:r>
        <w:t xml:space="preserve">. </w:t>
      </w:r>
    </w:p>
  </w:footnote>
  <w:footnote w:id="216">
    <w:p w:rsidR="00330C8E" w:rsidRPr="000C302B" w:rsidRDefault="00330C8E">
      <w:pPr>
        <w:pStyle w:val="FootnoteText"/>
        <w:rPr>
          <w:i/>
        </w:rPr>
      </w:pPr>
      <w:r>
        <w:rPr>
          <w:rStyle w:val="FootnoteReference"/>
        </w:rPr>
        <w:footnoteRef/>
      </w:r>
      <w:r>
        <w:t xml:space="preserve"> </w:t>
      </w:r>
      <w:r w:rsidRPr="00065D9F">
        <w:t>Ibid.</w:t>
      </w:r>
    </w:p>
  </w:footnote>
  <w:footnote w:id="217">
    <w:p w:rsidR="00330C8E" w:rsidRDefault="00330C8E" w:rsidP="00D71B6A">
      <w:pPr>
        <w:pStyle w:val="FootnoteText"/>
      </w:pPr>
      <w:r>
        <w:rPr>
          <w:rStyle w:val="FootnoteReference"/>
        </w:rPr>
        <w:footnoteRef/>
      </w:r>
      <w:r>
        <w:t xml:space="preserve"> </w:t>
      </w:r>
      <w:r>
        <w:rPr>
          <w:i/>
        </w:rPr>
        <w:t xml:space="preserve">Getronics </w:t>
      </w:r>
      <w:r w:rsidRPr="006D4836">
        <w:rPr>
          <w:rStyle w:val="hit"/>
          <w:i/>
        </w:rPr>
        <w:t xml:space="preserve">v Logistic &amp; Transport Consulting </w:t>
      </w:r>
      <w:r w:rsidRPr="00633839">
        <w:t>(</w:t>
      </w:r>
      <w:r>
        <w:t>QB, 30 April 2004</w:t>
      </w:r>
      <w:r w:rsidR="00A82354">
        <w:fldChar w:fldCharType="begin"/>
      </w:r>
      <w:r>
        <w:instrText xml:space="preserve"> TA \s "30 April 2004" </w:instrText>
      </w:r>
      <w:r w:rsidR="00A82354">
        <w:fldChar w:fldCharType="end"/>
      </w:r>
      <w:r w:rsidRPr="00633839">
        <w:t>)</w:t>
      </w:r>
      <w:r>
        <w:t>.</w:t>
      </w:r>
    </w:p>
  </w:footnote>
  <w:footnote w:id="218">
    <w:p w:rsidR="00330C8E" w:rsidRDefault="00330C8E" w:rsidP="00D71B6A">
      <w:pPr>
        <w:pStyle w:val="FootnoteText"/>
      </w:pPr>
      <w:r w:rsidRPr="00633839">
        <w:rPr>
          <w:rStyle w:val="FootnoteReference"/>
        </w:rPr>
        <w:footnoteRef/>
      </w:r>
      <w:r>
        <w:t xml:space="preserve"> </w:t>
      </w:r>
      <w:r w:rsidRPr="00065D9F">
        <w:t>Ibid</w:t>
      </w:r>
      <w:r>
        <w:t xml:space="preserve">., </w:t>
      </w:r>
      <w:r w:rsidRPr="00633839">
        <w:t>[</w:t>
      </w:r>
      <w:r>
        <w:t>18]</w:t>
      </w:r>
      <w:r w:rsidRPr="00633839">
        <w:t>.</w:t>
      </w:r>
    </w:p>
  </w:footnote>
  <w:footnote w:id="219">
    <w:p w:rsidR="00330C8E" w:rsidRDefault="00330C8E" w:rsidP="00D71B6A">
      <w:pPr>
        <w:pStyle w:val="FootnoteText"/>
      </w:pPr>
      <w:r>
        <w:rPr>
          <w:rStyle w:val="FootnoteReference"/>
        </w:rPr>
        <w:footnoteRef/>
      </w:r>
      <w:r>
        <w:t xml:space="preserve"> </w:t>
      </w:r>
      <w:r>
        <w:rPr>
          <w:i/>
        </w:rPr>
        <w:t>Fitzalan-Howard</w:t>
      </w:r>
      <w:r w:rsidRPr="001F12FE">
        <w:rPr>
          <w:i/>
        </w:rPr>
        <w:t xml:space="preserve"> v Hibbert</w:t>
      </w:r>
      <w:r>
        <w:t xml:space="preserve"> </w:t>
      </w:r>
      <w:r w:rsidRPr="001F12FE">
        <w:t>[2009] EWHC 2855 (QB)</w:t>
      </w:r>
      <w:r>
        <w:t>.</w:t>
      </w:r>
      <w:r w:rsidR="00A82354">
        <w:fldChar w:fldCharType="begin"/>
      </w:r>
      <w:r>
        <w:instrText xml:space="preserve"> TA \l "</w:instrText>
      </w:r>
      <w:r w:rsidRPr="004B2624">
        <w:rPr>
          <w:i/>
        </w:rPr>
        <w:instrText xml:space="preserve">Fitzalan-Howard v Hibbert </w:instrText>
      </w:r>
      <w:r w:rsidRPr="004B2624">
        <w:instrText>[2009] EWHC 2855 (QB), [2010] PNLR 11.</w:instrText>
      </w:r>
      <w:r>
        <w:instrText xml:space="preserve">" \s "[2009] EWHC 2855" \c 1 </w:instrText>
      </w:r>
      <w:r w:rsidR="00A82354">
        <w:fldChar w:fldCharType="end"/>
      </w:r>
    </w:p>
  </w:footnote>
  <w:footnote w:id="220">
    <w:p w:rsidR="00330C8E" w:rsidRDefault="00330C8E" w:rsidP="00D71B6A">
      <w:pPr>
        <w:pStyle w:val="FootnoteText"/>
      </w:pPr>
      <w:r>
        <w:rPr>
          <w:rStyle w:val="FootnoteReference"/>
        </w:rPr>
        <w:footnoteRef/>
      </w:r>
      <w:r>
        <w:t xml:space="preserve"> See text to note </w:t>
      </w:r>
      <w:r w:rsidR="00A82354">
        <w:fldChar w:fldCharType="begin"/>
      </w:r>
      <w:r>
        <w:instrText xml:space="preserve"> NOTEREF _Ref334205214 \h </w:instrText>
      </w:r>
      <w:r w:rsidR="00A82354">
        <w:fldChar w:fldCharType="separate"/>
      </w:r>
      <w:r w:rsidR="00265B00">
        <w:t>35</w:t>
      </w:r>
      <w:r w:rsidR="00A82354">
        <w:fldChar w:fldCharType="end"/>
      </w:r>
      <w:r>
        <w:t xml:space="preserve"> above.</w:t>
      </w:r>
    </w:p>
  </w:footnote>
  <w:footnote w:id="221">
    <w:p w:rsidR="00330C8E" w:rsidRDefault="00330C8E">
      <w:pPr>
        <w:pStyle w:val="FootnoteText"/>
      </w:pPr>
      <w:r>
        <w:rPr>
          <w:rStyle w:val="FootnoteReference"/>
        </w:rPr>
        <w:footnoteRef/>
      </w:r>
      <w:r>
        <w:t xml:space="preserve"> </w:t>
      </w:r>
      <w:r>
        <w:rPr>
          <w:i/>
        </w:rPr>
        <w:t>Fitzalan-Howard</w:t>
      </w:r>
      <w:r w:rsidRPr="001F12FE">
        <w:rPr>
          <w:i/>
        </w:rPr>
        <w:t xml:space="preserve"> v Hibbert</w:t>
      </w:r>
      <w:r>
        <w:t xml:space="preserve"> </w:t>
      </w:r>
      <w:r w:rsidRPr="001F12FE">
        <w:t>[2009] EWHC 2855 (QB)</w:t>
      </w:r>
      <w:r>
        <w:t>, [38] (</w:t>
      </w:r>
      <w:r w:rsidRPr="00065D9F">
        <w:t>Tomlinson</w:t>
      </w:r>
      <w:r>
        <w:t xml:space="preserve"> J.).</w:t>
      </w:r>
    </w:p>
  </w:footnote>
  <w:footnote w:id="222">
    <w:p w:rsidR="00330C8E" w:rsidRDefault="00330C8E">
      <w:pPr>
        <w:pStyle w:val="FootnoteText"/>
      </w:pPr>
      <w:r>
        <w:rPr>
          <w:rStyle w:val="FootnoteReference"/>
        </w:rPr>
        <w:footnoteRef/>
      </w:r>
      <w:r>
        <w:t xml:space="preserve"> Ibid., [38].</w:t>
      </w:r>
    </w:p>
  </w:footnote>
  <w:footnote w:id="223">
    <w:p w:rsidR="00330C8E" w:rsidRPr="000D7582" w:rsidRDefault="00330C8E" w:rsidP="00D71B6A">
      <w:pPr>
        <w:jc w:val="both"/>
      </w:pPr>
      <w:r w:rsidRPr="00B95F20">
        <w:rPr>
          <w:rStyle w:val="FootnoteReference"/>
          <w:sz w:val="20"/>
          <w:szCs w:val="20"/>
        </w:rPr>
        <w:footnoteRef/>
      </w:r>
      <w:r>
        <w:t xml:space="preserve"> </w:t>
      </w:r>
      <w:r w:rsidRPr="00E72F17">
        <w:rPr>
          <w:i/>
          <w:sz w:val="20"/>
          <w:szCs w:val="20"/>
        </w:rPr>
        <w:t>Pertemps Recruitment Partnership Ltd v HMRC</w:t>
      </w:r>
      <w:r w:rsidRPr="00065D9F">
        <w:rPr>
          <w:sz w:val="20"/>
          <w:szCs w:val="20"/>
        </w:rPr>
        <w:t xml:space="preserve"> (2011) UKUT 272 (</w:t>
      </w:r>
      <w:r>
        <w:rPr>
          <w:sz w:val="20"/>
          <w:szCs w:val="20"/>
        </w:rPr>
        <w:t>TCC</w:t>
      </w:r>
      <w:r w:rsidRPr="00065D9F">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C8E" w:rsidRDefault="00330C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C8E" w:rsidRDefault="00330C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C8E" w:rsidRDefault="00330C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03C87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0754AF"/>
    <w:multiLevelType w:val="hybridMultilevel"/>
    <w:tmpl w:val="037052A4"/>
    <w:lvl w:ilvl="0" w:tplc="D89451A8">
      <w:start w:val="1"/>
      <w:numFmt w:val="bullet"/>
      <w:lvlText w:val=""/>
      <w:lvlJc w:val="left"/>
      <w:pPr>
        <w:tabs>
          <w:tab w:val="num" w:pos="720"/>
        </w:tabs>
        <w:ind w:left="720" w:hanging="360"/>
      </w:pPr>
      <w:rPr>
        <w:rFonts w:ascii="Wingdings" w:hAnsi="Wingdings" w:hint="default"/>
      </w:rPr>
    </w:lvl>
    <w:lvl w:ilvl="1" w:tplc="ECEA8A16" w:tentative="1">
      <w:start w:val="1"/>
      <w:numFmt w:val="bullet"/>
      <w:lvlText w:val=""/>
      <w:lvlJc w:val="left"/>
      <w:pPr>
        <w:tabs>
          <w:tab w:val="num" w:pos="1440"/>
        </w:tabs>
        <w:ind w:left="1440" w:hanging="360"/>
      </w:pPr>
      <w:rPr>
        <w:rFonts w:ascii="Wingdings" w:hAnsi="Wingdings" w:hint="default"/>
      </w:rPr>
    </w:lvl>
    <w:lvl w:ilvl="2" w:tplc="17EAAAB0" w:tentative="1">
      <w:start w:val="1"/>
      <w:numFmt w:val="bullet"/>
      <w:lvlText w:val=""/>
      <w:lvlJc w:val="left"/>
      <w:pPr>
        <w:tabs>
          <w:tab w:val="num" w:pos="2160"/>
        </w:tabs>
        <w:ind w:left="2160" w:hanging="360"/>
      </w:pPr>
      <w:rPr>
        <w:rFonts w:ascii="Wingdings" w:hAnsi="Wingdings" w:hint="default"/>
      </w:rPr>
    </w:lvl>
    <w:lvl w:ilvl="3" w:tplc="CE1EF95E" w:tentative="1">
      <w:start w:val="1"/>
      <w:numFmt w:val="bullet"/>
      <w:lvlText w:val=""/>
      <w:lvlJc w:val="left"/>
      <w:pPr>
        <w:tabs>
          <w:tab w:val="num" w:pos="2880"/>
        </w:tabs>
        <w:ind w:left="2880" w:hanging="360"/>
      </w:pPr>
      <w:rPr>
        <w:rFonts w:ascii="Wingdings" w:hAnsi="Wingdings" w:hint="default"/>
      </w:rPr>
    </w:lvl>
    <w:lvl w:ilvl="4" w:tplc="1C4C0360" w:tentative="1">
      <w:start w:val="1"/>
      <w:numFmt w:val="bullet"/>
      <w:lvlText w:val=""/>
      <w:lvlJc w:val="left"/>
      <w:pPr>
        <w:tabs>
          <w:tab w:val="num" w:pos="3600"/>
        </w:tabs>
        <w:ind w:left="3600" w:hanging="360"/>
      </w:pPr>
      <w:rPr>
        <w:rFonts w:ascii="Wingdings" w:hAnsi="Wingdings" w:hint="default"/>
      </w:rPr>
    </w:lvl>
    <w:lvl w:ilvl="5" w:tplc="FAE26488" w:tentative="1">
      <w:start w:val="1"/>
      <w:numFmt w:val="bullet"/>
      <w:lvlText w:val=""/>
      <w:lvlJc w:val="left"/>
      <w:pPr>
        <w:tabs>
          <w:tab w:val="num" w:pos="4320"/>
        </w:tabs>
        <w:ind w:left="4320" w:hanging="360"/>
      </w:pPr>
      <w:rPr>
        <w:rFonts w:ascii="Wingdings" w:hAnsi="Wingdings" w:hint="default"/>
      </w:rPr>
    </w:lvl>
    <w:lvl w:ilvl="6" w:tplc="15EE8D62" w:tentative="1">
      <w:start w:val="1"/>
      <w:numFmt w:val="bullet"/>
      <w:lvlText w:val=""/>
      <w:lvlJc w:val="left"/>
      <w:pPr>
        <w:tabs>
          <w:tab w:val="num" w:pos="5040"/>
        </w:tabs>
        <w:ind w:left="5040" w:hanging="360"/>
      </w:pPr>
      <w:rPr>
        <w:rFonts w:ascii="Wingdings" w:hAnsi="Wingdings" w:hint="default"/>
      </w:rPr>
    </w:lvl>
    <w:lvl w:ilvl="7" w:tplc="7A2C5990" w:tentative="1">
      <w:start w:val="1"/>
      <w:numFmt w:val="bullet"/>
      <w:lvlText w:val=""/>
      <w:lvlJc w:val="left"/>
      <w:pPr>
        <w:tabs>
          <w:tab w:val="num" w:pos="5760"/>
        </w:tabs>
        <w:ind w:left="5760" w:hanging="360"/>
      </w:pPr>
      <w:rPr>
        <w:rFonts w:ascii="Wingdings" w:hAnsi="Wingdings" w:hint="default"/>
      </w:rPr>
    </w:lvl>
    <w:lvl w:ilvl="8" w:tplc="7514FC6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3F620A"/>
    <w:multiLevelType w:val="hybridMultilevel"/>
    <w:tmpl w:val="D81C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D3E95"/>
    <w:multiLevelType w:val="hybridMultilevel"/>
    <w:tmpl w:val="1B0E5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844202"/>
    <w:multiLevelType w:val="hybridMultilevel"/>
    <w:tmpl w:val="36803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E1"/>
    <w:rsid w:val="000002B3"/>
    <w:rsid w:val="00001482"/>
    <w:rsid w:val="0000160B"/>
    <w:rsid w:val="0000186A"/>
    <w:rsid w:val="00002ABF"/>
    <w:rsid w:val="000031E5"/>
    <w:rsid w:val="00005A3E"/>
    <w:rsid w:val="00006AB4"/>
    <w:rsid w:val="00007D69"/>
    <w:rsid w:val="000116E2"/>
    <w:rsid w:val="00011C6E"/>
    <w:rsid w:val="00011FC0"/>
    <w:rsid w:val="00013151"/>
    <w:rsid w:val="00014594"/>
    <w:rsid w:val="00016547"/>
    <w:rsid w:val="000168A5"/>
    <w:rsid w:val="000169B3"/>
    <w:rsid w:val="00016BE0"/>
    <w:rsid w:val="00016D30"/>
    <w:rsid w:val="000170DE"/>
    <w:rsid w:val="00017E54"/>
    <w:rsid w:val="00021060"/>
    <w:rsid w:val="0002209A"/>
    <w:rsid w:val="00023D3D"/>
    <w:rsid w:val="0002401B"/>
    <w:rsid w:val="000257CD"/>
    <w:rsid w:val="00025DAB"/>
    <w:rsid w:val="00026001"/>
    <w:rsid w:val="00027B32"/>
    <w:rsid w:val="00027B5A"/>
    <w:rsid w:val="0003036D"/>
    <w:rsid w:val="000305DD"/>
    <w:rsid w:val="000305F1"/>
    <w:rsid w:val="00031389"/>
    <w:rsid w:val="00034B33"/>
    <w:rsid w:val="00034BDC"/>
    <w:rsid w:val="00034EC3"/>
    <w:rsid w:val="00034EF5"/>
    <w:rsid w:val="00035CB0"/>
    <w:rsid w:val="000366F9"/>
    <w:rsid w:val="00036EA3"/>
    <w:rsid w:val="00037B5D"/>
    <w:rsid w:val="0004046A"/>
    <w:rsid w:val="00040DEB"/>
    <w:rsid w:val="00041F14"/>
    <w:rsid w:val="00042037"/>
    <w:rsid w:val="00044218"/>
    <w:rsid w:val="00047CCD"/>
    <w:rsid w:val="000502E5"/>
    <w:rsid w:val="00050AE7"/>
    <w:rsid w:val="00051A44"/>
    <w:rsid w:val="00052C9B"/>
    <w:rsid w:val="0005310B"/>
    <w:rsid w:val="000534F6"/>
    <w:rsid w:val="0005457B"/>
    <w:rsid w:val="00054599"/>
    <w:rsid w:val="00054CA0"/>
    <w:rsid w:val="000561A4"/>
    <w:rsid w:val="00065039"/>
    <w:rsid w:val="00065A01"/>
    <w:rsid w:val="00065D9F"/>
    <w:rsid w:val="000666F7"/>
    <w:rsid w:val="000669A5"/>
    <w:rsid w:val="00071833"/>
    <w:rsid w:val="00072B4B"/>
    <w:rsid w:val="00072B5C"/>
    <w:rsid w:val="00073225"/>
    <w:rsid w:val="00073AE8"/>
    <w:rsid w:val="00073B56"/>
    <w:rsid w:val="000743EB"/>
    <w:rsid w:val="000751FA"/>
    <w:rsid w:val="00075464"/>
    <w:rsid w:val="0007644C"/>
    <w:rsid w:val="000768EF"/>
    <w:rsid w:val="0007784D"/>
    <w:rsid w:val="00081202"/>
    <w:rsid w:val="00081F3E"/>
    <w:rsid w:val="000826DB"/>
    <w:rsid w:val="000829C6"/>
    <w:rsid w:val="00082B92"/>
    <w:rsid w:val="00082D8D"/>
    <w:rsid w:val="00084F58"/>
    <w:rsid w:val="0008521B"/>
    <w:rsid w:val="00085C08"/>
    <w:rsid w:val="000862C2"/>
    <w:rsid w:val="00087FAF"/>
    <w:rsid w:val="00090533"/>
    <w:rsid w:val="000909EF"/>
    <w:rsid w:val="00090B8F"/>
    <w:rsid w:val="00090FEA"/>
    <w:rsid w:val="0009197B"/>
    <w:rsid w:val="00092F72"/>
    <w:rsid w:val="0009357A"/>
    <w:rsid w:val="00095558"/>
    <w:rsid w:val="00096AFE"/>
    <w:rsid w:val="000A0A61"/>
    <w:rsid w:val="000A0D22"/>
    <w:rsid w:val="000A2AE4"/>
    <w:rsid w:val="000A2F4C"/>
    <w:rsid w:val="000A3D86"/>
    <w:rsid w:val="000A4031"/>
    <w:rsid w:val="000A7367"/>
    <w:rsid w:val="000B2CD7"/>
    <w:rsid w:val="000B347A"/>
    <w:rsid w:val="000B3F84"/>
    <w:rsid w:val="000C04DC"/>
    <w:rsid w:val="000C0B3B"/>
    <w:rsid w:val="000C2E6D"/>
    <w:rsid w:val="000C302B"/>
    <w:rsid w:val="000C4F2E"/>
    <w:rsid w:val="000C5086"/>
    <w:rsid w:val="000C65EE"/>
    <w:rsid w:val="000D08DA"/>
    <w:rsid w:val="000D0CB4"/>
    <w:rsid w:val="000D2626"/>
    <w:rsid w:val="000D2962"/>
    <w:rsid w:val="000D3452"/>
    <w:rsid w:val="000D4635"/>
    <w:rsid w:val="000D6DDA"/>
    <w:rsid w:val="000D7582"/>
    <w:rsid w:val="000E06BA"/>
    <w:rsid w:val="000E1127"/>
    <w:rsid w:val="000E1409"/>
    <w:rsid w:val="000E2AEE"/>
    <w:rsid w:val="000E3B74"/>
    <w:rsid w:val="000E4590"/>
    <w:rsid w:val="000E4DFA"/>
    <w:rsid w:val="000E7B00"/>
    <w:rsid w:val="000F179B"/>
    <w:rsid w:val="000F29D2"/>
    <w:rsid w:val="000F4E03"/>
    <w:rsid w:val="000F5577"/>
    <w:rsid w:val="000F6E37"/>
    <w:rsid w:val="000F6F75"/>
    <w:rsid w:val="000F72FF"/>
    <w:rsid w:val="000F76BF"/>
    <w:rsid w:val="000F785C"/>
    <w:rsid w:val="00100C14"/>
    <w:rsid w:val="0010136D"/>
    <w:rsid w:val="00102AD1"/>
    <w:rsid w:val="00103146"/>
    <w:rsid w:val="00104A0C"/>
    <w:rsid w:val="00111D8E"/>
    <w:rsid w:val="001126C4"/>
    <w:rsid w:val="00113F83"/>
    <w:rsid w:val="001144BE"/>
    <w:rsid w:val="001153ED"/>
    <w:rsid w:val="00115471"/>
    <w:rsid w:val="00116DBA"/>
    <w:rsid w:val="00120626"/>
    <w:rsid w:val="0012189E"/>
    <w:rsid w:val="001223A8"/>
    <w:rsid w:val="00123472"/>
    <w:rsid w:val="00126600"/>
    <w:rsid w:val="001301B5"/>
    <w:rsid w:val="00130EF2"/>
    <w:rsid w:val="001321E8"/>
    <w:rsid w:val="00132374"/>
    <w:rsid w:val="0013245D"/>
    <w:rsid w:val="0013266E"/>
    <w:rsid w:val="00132C9B"/>
    <w:rsid w:val="001331FF"/>
    <w:rsid w:val="001345F5"/>
    <w:rsid w:val="00134AF9"/>
    <w:rsid w:val="001358FB"/>
    <w:rsid w:val="00135EED"/>
    <w:rsid w:val="001369F6"/>
    <w:rsid w:val="00137C39"/>
    <w:rsid w:val="00140A49"/>
    <w:rsid w:val="00143197"/>
    <w:rsid w:val="00143CB5"/>
    <w:rsid w:val="0014535B"/>
    <w:rsid w:val="0014602A"/>
    <w:rsid w:val="001460E2"/>
    <w:rsid w:val="0014763A"/>
    <w:rsid w:val="00151E03"/>
    <w:rsid w:val="0015222B"/>
    <w:rsid w:val="001532FC"/>
    <w:rsid w:val="00153AE3"/>
    <w:rsid w:val="0015721B"/>
    <w:rsid w:val="00160777"/>
    <w:rsid w:val="0016100D"/>
    <w:rsid w:val="00161070"/>
    <w:rsid w:val="001617EC"/>
    <w:rsid w:val="00162960"/>
    <w:rsid w:val="00162F47"/>
    <w:rsid w:val="00163948"/>
    <w:rsid w:val="00164110"/>
    <w:rsid w:val="00164232"/>
    <w:rsid w:val="00165D81"/>
    <w:rsid w:val="0016656A"/>
    <w:rsid w:val="00166F65"/>
    <w:rsid w:val="001672CE"/>
    <w:rsid w:val="00170521"/>
    <w:rsid w:val="00171433"/>
    <w:rsid w:val="00172F83"/>
    <w:rsid w:val="00173AD4"/>
    <w:rsid w:val="00176AF3"/>
    <w:rsid w:val="00176F8C"/>
    <w:rsid w:val="00177D55"/>
    <w:rsid w:val="0018237E"/>
    <w:rsid w:val="001836F0"/>
    <w:rsid w:val="00184C39"/>
    <w:rsid w:val="00190207"/>
    <w:rsid w:val="001908FF"/>
    <w:rsid w:val="0019091A"/>
    <w:rsid w:val="0019112D"/>
    <w:rsid w:val="001919A0"/>
    <w:rsid w:val="00191BC5"/>
    <w:rsid w:val="0019229A"/>
    <w:rsid w:val="00194A97"/>
    <w:rsid w:val="0019503A"/>
    <w:rsid w:val="00196478"/>
    <w:rsid w:val="00197254"/>
    <w:rsid w:val="00197483"/>
    <w:rsid w:val="0019767F"/>
    <w:rsid w:val="001976C7"/>
    <w:rsid w:val="001A0528"/>
    <w:rsid w:val="001A20EA"/>
    <w:rsid w:val="001A388C"/>
    <w:rsid w:val="001A3B4B"/>
    <w:rsid w:val="001A53B4"/>
    <w:rsid w:val="001A5E73"/>
    <w:rsid w:val="001A79EA"/>
    <w:rsid w:val="001A7EC2"/>
    <w:rsid w:val="001B05EF"/>
    <w:rsid w:val="001B46AE"/>
    <w:rsid w:val="001B4B41"/>
    <w:rsid w:val="001B5F98"/>
    <w:rsid w:val="001B7D58"/>
    <w:rsid w:val="001C0FF0"/>
    <w:rsid w:val="001C1B41"/>
    <w:rsid w:val="001C31D4"/>
    <w:rsid w:val="001C46A9"/>
    <w:rsid w:val="001C546B"/>
    <w:rsid w:val="001C6AF5"/>
    <w:rsid w:val="001C7B0F"/>
    <w:rsid w:val="001D064C"/>
    <w:rsid w:val="001D0C53"/>
    <w:rsid w:val="001D0CC6"/>
    <w:rsid w:val="001D0F7F"/>
    <w:rsid w:val="001D18E2"/>
    <w:rsid w:val="001D232C"/>
    <w:rsid w:val="001D2493"/>
    <w:rsid w:val="001D2643"/>
    <w:rsid w:val="001D27D7"/>
    <w:rsid w:val="001D3E4A"/>
    <w:rsid w:val="001D4F5D"/>
    <w:rsid w:val="001D62C8"/>
    <w:rsid w:val="001D67EE"/>
    <w:rsid w:val="001D747C"/>
    <w:rsid w:val="001D78AC"/>
    <w:rsid w:val="001E1DB7"/>
    <w:rsid w:val="001E2A45"/>
    <w:rsid w:val="001E2D56"/>
    <w:rsid w:val="001E2F5E"/>
    <w:rsid w:val="001E546C"/>
    <w:rsid w:val="001E6BC7"/>
    <w:rsid w:val="001F006A"/>
    <w:rsid w:val="001F0C6D"/>
    <w:rsid w:val="001F12FE"/>
    <w:rsid w:val="001F2BFD"/>
    <w:rsid w:val="001F7413"/>
    <w:rsid w:val="00200655"/>
    <w:rsid w:val="00200F4A"/>
    <w:rsid w:val="00201F2A"/>
    <w:rsid w:val="00204119"/>
    <w:rsid w:val="00204765"/>
    <w:rsid w:val="002049D7"/>
    <w:rsid w:val="00204D43"/>
    <w:rsid w:val="002052AD"/>
    <w:rsid w:val="0020536A"/>
    <w:rsid w:val="0020560D"/>
    <w:rsid w:val="00207E47"/>
    <w:rsid w:val="0021288D"/>
    <w:rsid w:val="002129FA"/>
    <w:rsid w:val="0021305C"/>
    <w:rsid w:val="00215A88"/>
    <w:rsid w:val="00216081"/>
    <w:rsid w:val="0022152F"/>
    <w:rsid w:val="00221F9B"/>
    <w:rsid w:val="00222311"/>
    <w:rsid w:val="00222E28"/>
    <w:rsid w:val="0022303E"/>
    <w:rsid w:val="00223356"/>
    <w:rsid w:val="00223559"/>
    <w:rsid w:val="0022494F"/>
    <w:rsid w:val="00224ACD"/>
    <w:rsid w:val="00234360"/>
    <w:rsid w:val="00240B66"/>
    <w:rsid w:val="0024185D"/>
    <w:rsid w:val="00241D59"/>
    <w:rsid w:val="002431C4"/>
    <w:rsid w:val="00246D9F"/>
    <w:rsid w:val="00250EA8"/>
    <w:rsid w:val="00251503"/>
    <w:rsid w:val="002524D1"/>
    <w:rsid w:val="00253515"/>
    <w:rsid w:val="00253948"/>
    <w:rsid w:val="00253A41"/>
    <w:rsid w:val="00254F2C"/>
    <w:rsid w:val="00257345"/>
    <w:rsid w:val="002576B7"/>
    <w:rsid w:val="002617C9"/>
    <w:rsid w:val="00262F70"/>
    <w:rsid w:val="002657D3"/>
    <w:rsid w:val="00265B00"/>
    <w:rsid w:val="00265CD3"/>
    <w:rsid w:val="00265D38"/>
    <w:rsid w:val="00266675"/>
    <w:rsid w:val="00271561"/>
    <w:rsid w:val="00271D69"/>
    <w:rsid w:val="002720C0"/>
    <w:rsid w:val="0027729D"/>
    <w:rsid w:val="00277480"/>
    <w:rsid w:val="00281B7E"/>
    <w:rsid w:val="00282069"/>
    <w:rsid w:val="00282B6F"/>
    <w:rsid w:val="00283E18"/>
    <w:rsid w:val="00284030"/>
    <w:rsid w:val="00284440"/>
    <w:rsid w:val="002848AE"/>
    <w:rsid w:val="0028532E"/>
    <w:rsid w:val="00286EB3"/>
    <w:rsid w:val="002908E3"/>
    <w:rsid w:val="00290B1D"/>
    <w:rsid w:val="00294562"/>
    <w:rsid w:val="00295676"/>
    <w:rsid w:val="002A03EC"/>
    <w:rsid w:val="002A0A69"/>
    <w:rsid w:val="002A4CC4"/>
    <w:rsid w:val="002A4E4A"/>
    <w:rsid w:val="002A68FA"/>
    <w:rsid w:val="002A6E92"/>
    <w:rsid w:val="002A7129"/>
    <w:rsid w:val="002B0880"/>
    <w:rsid w:val="002B6C6D"/>
    <w:rsid w:val="002B7373"/>
    <w:rsid w:val="002C09C4"/>
    <w:rsid w:val="002C13F4"/>
    <w:rsid w:val="002C4298"/>
    <w:rsid w:val="002C4ABD"/>
    <w:rsid w:val="002C5809"/>
    <w:rsid w:val="002C594A"/>
    <w:rsid w:val="002C6590"/>
    <w:rsid w:val="002D08F0"/>
    <w:rsid w:val="002D09E6"/>
    <w:rsid w:val="002D2A27"/>
    <w:rsid w:val="002D3431"/>
    <w:rsid w:val="002D43DE"/>
    <w:rsid w:val="002D4F5D"/>
    <w:rsid w:val="002D67BA"/>
    <w:rsid w:val="002D698D"/>
    <w:rsid w:val="002D7E06"/>
    <w:rsid w:val="002E17B8"/>
    <w:rsid w:val="002E1EBA"/>
    <w:rsid w:val="002E26BE"/>
    <w:rsid w:val="002E3FB8"/>
    <w:rsid w:val="002E489D"/>
    <w:rsid w:val="002E5A26"/>
    <w:rsid w:val="002E5EDF"/>
    <w:rsid w:val="002E6C16"/>
    <w:rsid w:val="002F0579"/>
    <w:rsid w:val="002F0FBA"/>
    <w:rsid w:val="002F1671"/>
    <w:rsid w:val="002F2958"/>
    <w:rsid w:val="002F34DA"/>
    <w:rsid w:val="002F423A"/>
    <w:rsid w:val="002F4AD7"/>
    <w:rsid w:val="002F53B2"/>
    <w:rsid w:val="002F5435"/>
    <w:rsid w:val="002F6172"/>
    <w:rsid w:val="002F62C4"/>
    <w:rsid w:val="002F74EF"/>
    <w:rsid w:val="00301DDC"/>
    <w:rsid w:val="00302056"/>
    <w:rsid w:val="00303742"/>
    <w:rsid w:val="003056A4"/>
    <w:rsid w:val="003068E6"/>
    <w:rsid w:val="0031199F"/>
    <w:rsid w:val="00311C02"/>
    <w:rsid w:val="00312D41"/>
    <w:rsid w:val="0031431D"/>
    <w:rsid w:val="00317187"/>
    <w:rsid w:val="003202D5"/>
    <w:rsid w:val="00323359"/>
    <w:rsid w:val="00324D42"/>
    <w:rsid w:val="00325E03"/>
    <w:rsid w:val="00330550"/>
    <w:rsid w:val="00330C8E"/>
    <w:rsid w:val="00330D25"/>
    <w:rsid w:val="00331638"/>
    <w:rsid w:val="00332AAF"/>
    <w:rsid w:val="003330AB"/>
    <w:rsid w:val="00333EEB"/>
    <w:rsid w:val="00337045"/>
    <w:rsid w:val="00340C23"/>
    <w:rsid w:val="00341193"/>
    <w:rsid w:val="0034151B"/>
    <w:rsid w:val="003420DB"/>
    <w:rsid w:val="003424F5"/>
    <w:rsid w:val="00343743"/>
    <w:rsid w:val="0034387F"/>
    <w:rsid w:val="00343D72"/>
    <w:rsid w:val="00344DD6"/>
    <w:rsid w:val="00345710"/>
    <w:rsid w:val="00345816"/>
    <w:rsid w:val="00345E8A"/>
    <w:rsid w:val="0034647A"/>
    <w:rsid w:val="00346823"/>
    <w:rsid w:val="00346A68"/>
    <w:rsid w:val="00346B39"/>
    <w:rsid w:val="00350D96"/>
    <w:rsid w:val="00351356"/>
    <w:rsid w:val="00351E68"/>
    <w:rsid w:val="00351EA4"/>
    <w:rsid w:val="00352685"/>
    <w:rsid w:val="00352872"/>
    <w:rsid w:val="00353579"/>
    <w:rsid w:val="00353C03"/>
    <w:rsid w:val="00355AA4"/>
    <w:rsid w:val="00356B65"/>
    <w:rsid w:val="00356C75"/>
    <w:rsid w:val="00357A7F"/>
    <w:rsid w:val="00360898"/>
    <w:rsid w:val="0036090C"/>
    <w:rsid w:val="003621EB"/>
    <w:rsid w:val="003667A9"/>
    <w:rsid w:val="003667D6"/>
    <w:rsid w:val="00367055"/>
    <w:rsid w:val="00370832"/>
    <w:rsid w:val="00371BBE"/>
    <w:rsid w:val="00372D99"/>
    <w:rsid w:val="00373D97"/>
    <w:rsid w:val="00374F09"/>
    <w:rsid w:val="003751E6"/>
    <w:rsid w:val="003760E0"/>
    <w:rsid w:val="003779FA"/>
    <w:rsid w:val="00380122"/>
    <w:rsid w:val="00382563"/>
    <w:rsid w:val="00384A45"/>
    <w:rsid w:val="0038523A"/>
    <w:rsid w:val="003852C1"/>
    <w:rsid w:val="00385E45"/>
    <w:rsid w:val="00386099"/>
    <w:rsid w:val="0039071B"/>
    <w:rsid w:val="00392B49"/>
    <w:rsid w:val="00392FDB"/>
    <w:rsid w:val="003935A6"/>
    <w:rsid w:val="00395EE4"/>
    <w:rsid w:val="00396397"/>
    <w:rsid w:val="003A02C0"/>
    <w:rsid w:val="003A0752"/>
    <w:rsid w:val="003A2A84"/>
    <w:rsid w:val="003A43AC"/>
    <w:rsid w:val="003A4656"/>
    <w:rsid w:val="003B0F06"/>
    <w:rsid w:val="003B0F75"/>
    <w:rsid w:val="003B1CE6"/>
    <w:rsid w:val="003B24BB"/>
    <w:rsid w:val="003B33C7"/>
    <w:rsid w:val="003B6840"/>
    <w:rsid w:val="003B7B2D"/>
    <w:rsid w:val="003C1F61"/>
    <w:rsid w:val="003C27A9"/>
    <w:rsid w:val="003C2959"/>
    <w:rsid w:val="003C4825"/>
    <w:rsid w:val="003C56EA"/>
    <w:rsid w:val="003C61E9"/>
    <w:rsid w:val="003C7D91"/>
    <w:rsid w:val="003D440E"/>
    <w:rsid w:val="003D5614"/>
    <w:rsid w:val="003D6A3D"/>
    <w:rsid w:val="003D7315"/>
    <w:rsid w:val="003D7844"/>
    <w:rsid w:val="003D79AA"/>
    <w:rsid w:val="003D7AFA"/>
    <w:rsid w:val="003E02A4"/>
    <w:rsid w:val="003E14AB"/>
    <w:rsid w:val="003E2A26"/>
    <w:rsid w:val="003E41F2"/>
    <w:rsid w:val="003E4315"/>
    <w:rsid w:val="003E502A"/>
    <w:rsid w:val="003E5388"/>
    <w:rsid w:val="003E5836"/>
    <w:rsid w:val="003E7137"/>
    <w:rsid w:val="003E714E"/>
    <w:rsid w:val="003E7918"/>
    <w:rsid w:val="003E7E32"/>
    <w:rsid w:val="003F05C0"/>
    <w:rsid w:val="003F0EC9"/>
    <w:rsid w:val="003F1414"/>
    <w:rsid w:val="003F17A3"/>
    <w:rsid w:val="003F1B44"/>
    <w:rsid w:val="003F284F"/>
    <w:rsid w:val="003F2913"/>
    <w:rsid w:val="003F383F"/>
    <w:rsid w:val="003F4C1A"/>
    <w:rsid w:val="003F6B2E"/>
    <w:rsid w:val="003F7BCE"/>
    <w:rsid w:val="003F7CDB"/>
    <w:rsid w:val="00400402"/>
    <w:rsid w:val="004007EF"/>
    <w:rsid w:val="004026DC"/>
    <w:rsid w:val="00404307"/>
    <w:rsid w:val="00405804"/>
    <w:rsid w:val="004059CC"/>
    <w:rsid w:val="004100D1"/>
    <w:rsid w:val="00410954"/>
    <w:rsid w:val="00412270"/>
    <w:rsid w:val="00412277"/>
    <w:rsid w:val="0041381C"/>
    <w:rsid w:val="00414CD1"/>
    <w:rsid w:val="004158E8"/>
    <w:rsid w:val="00415987"/>
    <w:rsid w:val="00420276"/>
    <w:rsid w:val="0042029D"/>
    <w:rsid w:val="00421736"/>
    <w:rsid w:val="00422514"/>
    <w:rsid w:val="00423E25"/>
    <w:rsid w:val="00434294"/>
    <w:rsid w:val="004343A7"/>
    <w:rsid w:val="00434667"/>
    <w:rsid w:val="00435174"/>
    <w:rsid w:val="004353A8"/>
    <w:rsid w:val="004354FA"/>
    <w:rsid w:val="004361C0"/>
    <w:rsid w:val="00437B85"/>
    <w:rsid w:val="0044038A"/>
    <w:rsid w:val="0044052F"/>
    <w:rsid w:val="0044131A"/>
    <w:rsid w:val="0044291A"/>
    <w:rsid w:val="00446A51"/>
    <w:rsid w:val="00450014"/>
    <w:rsid w:val="00450896"/>
    <w:rsid w:val="00450E49"/>
    <w:rsid w:val="00450EC7"/>
    <w:rsid w:val="004519BE"/>
    <w:rsid w:val="00452D6E"/>
    <w:rsid w:val="00454140"/>
    <w:rsid w:val="00461195"/>
    <w:rsid w:val="0046131C"/>
    <w:rsid w:val="00462E4D"/>
    <w:rsid w:val="004632E1"/>
    <w:rsid w:val="00463E80"/>
    <w:rsid w:val="004656FD"/>
    <w:rsid w:val="004672E8"/>
    <w:rsid w:val="004676B2"/>
    <w:rsid w:val="00470D28"/>
    <w:rsid w:val="00475980"/>
    <w:rsid w:val="00476BB9"/>
    <w:rsid w:val="00476E77"/>
    <w:rsid w:val="00476F01"/>
    <w:rsid w:val="0047791F"/>
    <w:rsid w:val="00480C31"/>
    <w:rsid w:val="00480C35"/>
    <w:rsid w:val="00480D92"/>
    <w:rsid w:val="00482C86"/>
    <w:rsid w:val="00486C97"/>
    <w:rsid w:val="00487E26"/>
    <w:rsid w:val="004958BF"/>
    <w:rsid w:val="00495BA3"/>
    <w:rsid w:val="00496F5F"/>
    <w:rsid w:val="004A152D"/>
    <w:rsid w:val="004A23C6"/>
    <w:rsid w:val="004A336F"/>
    <w:rsid w:val="004A599A"/>
    <w:rsid w:val="004A6C64"/>
    <w:rsid w:val="004B2044"/>
    <w:rsid w:val="004B3D76"/>
    <w:rsid w:val="004B4C7D"/>
    <w:rsid w:val="004B522E"/>
    <w:rsid w:val="004B7141"/>
    <w:rsid w:val="004C05BC"/>
    <w:rsid w:val="004C0A21"/>
    <w:rsid w:val="004C0D90"/>
    <w:rsid w:val="004C1C6E"/>
    <w:rsid w:val="004C2757"/>
    <w:rsid w:val="004C282E"/>
    <w:rsid w:val="004C3323"/>
    <w:rsid w:val="004C3A80"/>
    <w:rsid w:val="004C46F6"/>
    <w:rsid w:val="004C673A"/>
    <w:rsid w:val="004C694B"/>
    <w:rsid w:val="004C774D"/>
    <w:rsid w:val="004D1300"/>
    <w:rsid w:val="004D1455"/>
    <w:rsid w:val="004D16E0"/>
    <w:rsid w:val="004D2478"/>
    <w:rsid w:val="004D3CC7"/>
    <w:rsid w:val="004D412B"/>
    <w:rsid w:val="004D4B43"/>
    <w:rsid w:val="004D56BB"/>
    <w:rsid w:val="004D5F85"/>
    <w:rsid w:val="004D7628"/>
    <w:rsid w:val="004D7910"/>
    <w:rsid w:val="004D7AA6"/>
    <w:rsid w:val="004E0DB4"/>
    <w:rsid w:val="004E1DA4"/>
    <w:rsid w:val="004E245D"/>
    <w:rsid w:val="004E377C"/>
    <w:rsid w:val="004E43F2"/>
    <w:rsid w:val="004E688C"/>
    <w:rsid w:val="004E7022"/>
    <w:rsid w:val="004E703C"/>
    <w:rsid w:val="004F13B1"/>
    <w:rsid w:val="004F2327"/>
    <w:rsid w:val="004F2AB0"/>
    <w:rsid w:val="004F3A05"/>
    <w:rsid w:val="004F4DA2"/>
    <w:rsid w:val="004F64D1"/>
    <w:rsid w:val="004F6A8F"/>
    <w:rsid w:val="004F7ABE"/>
    <w:rsid w:val="0050089E"/>
    <w:rsid w:val="0050185D"/>
    <w:rsid w:val="005018FB"/>
    <w:rsid w:val="00506372"/>
    <w:rsid w:val="005063A3"/>
    <w:rsid w:val="005071D4"/>
    <w:rsid w:val="00507421"/>
    <w:rsid w:val="00507835"/>
    <w:rsid w:val="00507D86"/>
    <w:rsid w:val="00507E0C"/>
    <w:rsid w:val="00512B2C"/>
    <w:rsid w:val="00512FFB"/>
    <w:rsid w:val="00513DC8"/>
    <w:rsid w:val="005141A2"/>
    <w:rsid w:val="00515696"/>
    <w:rsid w:val="005157FC"/>
    <w:rsid w:val="005164AC"/>
    <w:rsid w:val="00520896"/>
    <w:rsid w:val="005219E1"/>
    <w:rsid w:val="00523501"/>
    <w:rsid w:val="00524D97"/>
    <w:rsid w:val="00524FFD"/>
    <w:rsid w:val="00526362"/>
    <w:rsid w:val="0052685B"/>
    <w:rsid w:val="00526C3E"/>
    <w:rsid w:val="00526EE6"/>
    <w:rsid w:val="00530297"/>
    <w:rsid w:val="0053067B"/>
    <w:rsid w:val="005308E9"/>
    <w:rsid w:val="00531363"/>
    <w:rsid w:val="00535262"/>
    <w:rsid w:val="0053755D"/>
    <w:rsid w:val="00540C43"/>
    <w:rsid w:val="00543023"/>
    <w:rsid w:val="005436BB"/>
    <w:rsid w:val="005436FA"/>
    <w:rsid w:val="0054478A"/>
    <w:rsid w:val="0054480C"/>
    <w:rsid w:val="00545C1B"/>
    <w:rsid w:val="00546BEF"/>
    <w:rsid w:val="00547D30"/>
    <w:rsid w:val="005502A3"/>
    <w:rsid w:val="00550639"/>
    <w:rsid w:val="00552D72"/>
    <w:rsid w:val="00554B8E"/>
    <w:rsid w:val="00554C3E"/>
    <w:rsid w:val="00555737"/>
    <w:rsid w:val="00555781"/>
    <w:rsid w:val="005559FB"/>
    <w:rsid w:val="00556223"/>
    <w:rsid w:val="00557E05"/>
    <w:rsid w:val="00557E79"/>
    <w:rsid w:val="00560594"/>
    <w:rsid w:val="00560775"/>
    <w:rsid w:val="00560BE1"/>
    <w:rsid w:val="00561191"/>
    <w:rsid w:val="0056173A"/>
    <w:rsid w:val="005618A2"/>
    <w:rsid w:val="005626E7"/>
    <w:rsid w:val="005627D1"/>
    <w:rsid w:val="005637B8"/>
    <w:rsid w:val="00564533"/>
    <w:rsid w:val="005654EC"/>
    <w:rsid w:val="00566529"/>
    <w:rsid w:val="00570AA4"/>
    <w:rsid w:val="00571BCE"/>
    <w:rsid w:val="00572254"/>
    <w:rsid w:val="00573E17"/>
    <w:rsid w:val="0057423C"/>
    <w:rsid w:val="005771C3"/>
    <w:rsid w:val="00577201"/>
    <w:rsid w:val="0057725B"/>
    <w:rsid w:val="00582C77"/>
    <w:rsid w:val="00582EB5"/>
    <w:rsid w:val="00583973"/>
    <w:rsid w:val="00583CE7"/>
    <w:rsid w:val="00583E93"/>
    <w:rsid w:val="0058680F"/>
    <w:rsid w:val="00591012"/>
    <w:rsid w:val="005918DF"/>
    <w:rsid w:val="00594590"/>
    <w:rsid w:val="005945CF"/>
    <w:rsid w:val="00594653"/>
    <w:rsid w:val="0059506B"/>
    <w:rsid w:val="005951D4"/>
    <w:rsid w:val="00596628"/>
    <w:rsid w:val="005A35AC"/>
    <w:rsid w:val="005A37F6"/>
    <w:rsid w:val="005A523F"/>
    <w:rsid w:val="005A6158"/>
    <w:rsid w:val="005A6541"/>
    <w:rsid w:val="005A65A3"/>
    <w:rsid w:val="005B0A09"/>
    <w:rsid w:val="005B2629"/>
    <w:rsid w:val="005B50C8"/>
    <w:rsid w:val="005B6CFB"/>
    <w:rsid w:val="005C195A"/>
    <w:rsid w:val="005C342E"/>
    <w:rsid w:val="005C487F"/>
    <w:rsid w:val="005C4C9A"/>
    <w:rsid w:val="005C554F"/>
    <w:rsid w:val="005C59E2"/>
    <w:rsid w:val="005C5FD9"/>
    <w:rsid w:val="005C790E"/>
    <w:rsid w:val="005D03C7"/>
    <w:rsid w:val="005D1CD3"/>
    <w:rsid w:val="005D3508"/>
    <w:rsid w:val="005D35CD"/>
    <w:rsid w:val="005D3CA8"/>
    <w:rsid w:val="005D40E6"/>
    <w:rsid w:val="005D48F4"/>
    <w:rsid w:val="005D5C49"/>
    <w:rsid w:val="005D6776"/>
    <w:rsid w:val="005D707C"/>
    <w:rsid w:val="005D7718"/>
    <w:rsid w:val="005D7768"/>
    <w:rsid w:val="005D7B0F"/>
    <w:rsid w:val="005D7F65"/>
    <w:rsid w:val="005E149E"/>
    <w:rsid w:val="005E1FCF"/>
    <w:rsid w:val="005E2EED"/>
    <w:rsid w:val="005E3DBD"/>
    <w:rsid w:val="005E46B6"/>
    <w:rsid w:val="005E724D"/>
    <w:rsid w:val="005E7E72"/>
    <w:rsid w:val="005F36D4"/>
    <w:rsid w:val="005F3ED3"/>
    <w:rsid w:val="005F504F"/>
    <w:rsid w:val="005F55F9"/>
    <w:rsid w:val="005F61B9"/>
    <w:rsid w:val="005F6FD3"/>
    <w:rsid w:val="00604275"/>
    <w:rsid w:val="00604B87"/>
    <w:rsid w:val="00604E50"/>
    <w:rsid w:val="00604FCE"/>
    <w:rsid w:val="0060711B"/>
    <w:rsid w:val="00610063"/>
    <w:rsid w:val="0061037D"/>
    <w:rsid w:val="006104B7"/>
    <w:rsid w:val="00611843"/>
    <w:rsid w:val="00613335"/>
    <w:rsid w:val="006149C4"/>
    <w:rsid w:val="00614F31"/>
    <w:rsid w:val="00615497"/>
    <w:rsid w:val="00616B91"/>
    <w:rsid w:val="00620E12"/>
    <w:rsid w:val="0062100E"/>
    <w:rsid w:val="00624DBB"/>
    <w:rsid w:val="00626BC0"/>
    <w:rsid w:val="00627336"/>
    <w:rsid w:val="00627D84"/>
    <w:rsid w:val="00630EDA"/>
    <w:rsid w:val="0063405F"/>
    <w:rsid w:val="006344B7"/>
    <w:rsid w:val="00635C19"/>
    <w:rsid w:val="0063723F"/>
    <w:rsid w:val="00637BB8"/>
    <w:rsid w:val="0064272E"/>
    <w:rsid w:val="0064368C"/>
    <w:rsid w:val="00644033"/>
    <w:rsid w:val="006461A7"/>
    <w:rsid w:val="006475D7"/>
    <w:rsid w:val="00647A5F"/>
    <w:rsid w:val="0065064B"/>
    <w:rsid w:val="0065151B"/>
    <w:rsid w:val="006517B5"/>
    <w:rsid w:val="00651ED4"/>
    <w:rsid w:val="006527C8"/>
    <w:rsid w:val="0065318D"/>
    <w:rsid w:val="00653A30"/>
    <w:rsid w:val="00653E5B"/>
    <w:rsid w:val="00655297"/>
    <w:rsid w:val="0065779F"/>
    <w:rsid w:val="00657AF0"/>
    <w:rsid w:val="0066088A"/>
    <w:rsid w:val="00661DFA"/>
    <w:rsid w:val="00662045"/>
    <w:rsid w:val="00664327"/>
    <w:rsid w:val="00664620"/>
    <w:rsid w:val="006648AE"/>
    <w:rsid w:val="006718DD"/>
    <w:rsid w:val="00671CD6"/>
    <w:rsid w:val="00674CC0"/>
    <w:rsid w:val="00675FC1"/>
    <w:rsid w:val="006760B3"/>
    <w:rsid w:val="0067740F"/>
    <w:rsid w:val="00677607"/>
    <w:rsid w:val="00680017"/>
    <w:rsid w:val="00680C54"/>
    <w:rsid w:val="006828DA"/>
    <w:rsid w:val="006832ED"/>
    <w:rsid w:val="00683C88"/>
    <w:rsid w:val="00685315"/>
    <w:rsid w:val="00685B9D"/>
    <w:rsid w:val="00686147"/>
    <w:rsid w:val="0068622F"/>
    <w:rsid w:val="00687191"/>
    <w:rsid w:val="00690857"/>
    <w:rsid w:val="00692885"/>
    <w:rsid w:val="006937B1"/>
    <w:rsid w:val="00693BEB"/>
    <w:rsid w:val="00695252"/>
    <w:rsid w:val="006959DB"/>
    <w:rsid w:val="00695F85"/>
    <w:rsid w:val="006972B5"/>
    <w:rsid w:val="00697C05"/>
    <w:rsid w:val="006A1C3C"/>
    <w:rsid w:val="006A2351"/>
    <w:rsid w:val="006A2C80"/>
    <w:rsid w:val="006A5567"/>
    <w:rsid w:val="006A7A16"/>
    <w:rsid w:val="006B0913"/>
    <w:rsid w:val="006B1D2B"/>
    <w:rsid w:val="006B274D"/>
    <w:rsid w:val="006B3750"/>
    <w:rsid w:val="006B46C2"/>
    <w:rsid w:val="006C0B6B"/>
    <w:rsid w:val="006C1067"/>
    <w:rsid w:val="006C38C5"/>
    <w:rsid w:val="006C3A3E"/>
    <w:rsid w:val="006C71D0"/>
    <w:rsid w:val="006D304A"/>
    <w:rsid w:val="006D70CD"/>
    <w:rsid w:val="006D71B5"/>
    <w:rsid w:val="006D737D"/>
    <w:rsid w:val="006D7DF1"/>
    <w:rsid w:val="006E29B7"/>
    <w:rsid w:val="006E2C7A"/>
    <w:rsid w:val="006E4135"/>
    <w:rsid w:val="006E4483"/>
    <w:rsid w:val="006F0600"/>
    <w:rsid w:val="006F13BF"/>
    <w:rsid w:val="006F195C"/>
    <w:rsid w:val="006F1DFC"/>
    <w:rsid w:val="006F29FD"/>
    <w:rsid w:val="006F3489"/>
    <w:rsid w:val="006F3648"/>
    <w:rsid w:val="006F5C17"/>
    <w:rsid w:val="006F64FA"/>
    <w:rsid w:val="006F75F1"/>
    <w:rsid w:val="006F77BD"/>
    <w:rsid w:val="007002DF"/>
    <w:rsid w:val="00700B71"/>
    <w:rsid w:val="00700EB5"/>
    <w:rsid w:val="007036F1"/>
    <w:rsid w:val="00703923"/>
    <w:rsid w:val="00704386"/>
    <w:rsid w:val="00704FA9"/>
    <w:rsid w:val="007061CA"/>
    <w:rsid w:val="00707625"/>
    <w:rsid w:val="00707ABD"/>
    <w:rsid w:val="00710F67"/>
    <w:rsid w:val="00713911"/>
    <w:rsid w:val="007146D0"/>
    <w:rsid w:val="0071470C"/>
    <w:rsid w:val="00715ED3"/>
    <w:rsid w:val="0072108F"/>
    <w:rsid w:val="00721969"/>
    <w:rsid w:val="007233A2"/>
    <w:rsid w:val="00723C99"/>
    <w:rsid w:val="00723F79"/>
    <w:rsid w:val="00727729"/>
    <w:rsid w:val="00727858"/>
    <w:rsid w:val="00727A96"/>
    <w:rsid w:val="00730A0D"/>
    <w:rsid w:val="007323CC"/>
    <w:rsid w:val="0073286F"/>
    <w:rsid w:val="00734067"/>
    <w:rsid w:val="007340A8"/>
    <w:rsid w:val="00734235"/>
    <w:rsid w:val="00735D74"/>
    <w:rsid w:val="00735EEC"/>
    <w:rsid w:val="00736063"/>
    <w:rsid w:val="007361BF"/>
    <w:rsid w:val="00737721"/>
    <w:rsid w:val="00737CE0"/>
    <w:rsid w:val="007420F4"/>
    <w:rsid w:val="0074380A"/>
    <w:rsid w:val="0074404B"/>
    <w:rsid w:val="00745A6F"/>
    <w:rsid w:val="00750981"/>
    <w:rsid w:val="00752069"/>
    <w:rsid w:val="007528B0"/>
    <w:rsid w:val="007538EF"/>
    <w:rsid w:val="00753EA7"/>
    <w:rsid w:val="00753F71"/>
    <w:rsid w:val="0075419B"/>
    <w:rsid w:val="007553BD"/>
    <w:rsid w:val="007562A4"/>
    <w:rsid w:val="0076017D"/>
    <w:rsid w:val="00761C1A"/>
    <w:rsid w:val="007633EA"/>
    <w:rsid w:val="00763610"/>
    <w:rsid w:val="00763F50"/>
    <w:rsid w:val="00765A11"/>
    <w:rsid w:val="00766A63"/>
    <w:rsid w:val="00772553"/>
    <w:rsid w:val="00773904"/>
    <w:rsid w:val="00774CEC"/>
    <w:rsid w:val="00775918"/>
    <w:rsid w:val="00775FC2"/>
    <w:rsid w:val="0077696C"/>
    <w:rsid w:val="00776F7C"/>
    <w:rsid w:val="0078124C"/>
    <w:rsid w:val="00781611"/>
    <w:rsid w:val="0078334C"/>
    <w:rsid w:val="0078402A"/>
    <w:rsid w:val="007857D7"/>
    <w:rsid w:val="00786688"/>
    <w:rsid w:val="0079022C"/>
    <w:rsid w:val="00792E49"/>
    <w:rsid w:val="00794210"/>
    <w:rsid w:val="0079421E"/>
    <w:rsid w:val="0079590D"/>
    <w:rsid w:val="0079683C"/>
    <w:rsid w:val="00796A85"/>
    <w:rsid w:val="00797BD5"/>
    <w:rsid w:val="007A07A6"/>
    <w:rsid w:val="007A15FA"/>
    <w:rsid w:val="007A339C"/>
    <w:rsid w:val="007A4D7E"/>
    <w:rsid w:val="007A533A"/>
    <w:rsid w:val="007A57A9"/>
    <w:rsid w:val="007A688E"/>
    <w:rsid w:val="007B0BC4"/>
    <w:rsid w:val="007B0EBC"/>
    <w:rsid w:val="007B1632"/>
    <w:rsid w:val="007B368E"/>
    <w:rsid w:val="007B4BE0"/>
    <w:rsid w:val="007B581A"/>
    <w:rsid w:val="007B7716"/>
    <w:rsid w:val="007C1FB7"/>
    <w:rsid w:val="007C26B2"/>
    <w:rsid w:val="007C3016"/>
    <w:rsid w:val="007C346E"/>
    <w:rsid w:val="007C7267"/>
    <w:rsid w:val="007D0E90"/>
    <w:rsid w:val="007D13B4"/>
    <w:rsid w:val="007D3477"/>
    <w:rsid w:val="007D3683"/>
    <w:rsid w:val="007D4555"/>
    <w:rsid w:val="007D4B5B"/>
    <w:rsid w:val="007D53B6"/>
    <w:rsid w:val="007D5676"/>
    <w:rsid w:val="007E0117"/>
    <w:rsid w:val="007E10B2"/>
    <w:rsid w:val="007E1997"/>
    <w:rsid w:val="007E63C8"/>
    <w:rsid w:val="007E7362"/>
    <w:rsid w:val="007F31B2"/>
    <w:rsid w:val="007F6E51"/>
    <w:rsid w:val="007F7976"/>
    <w:rsid w:val="00801B5F"/>
    <w:rsid w:val="00801C9C"/>
    <w:rsid w:val="0080496B"/>
    <w:rsid w:val="00804AA9"/>
    <w:rsid w:val="00804D39"/>
    <w:rsid w:val="00804E50"/>
    <w:rsid w:val="00804EA1"/>
    <w:rsid w:val="00807748"/>
    <w:rsid w:val="00807A6D"/>
    <w:rsid w:val="008110E8"/>
    <w:rsid w:val="00815527"/>
    <w:rsid w:val="00817ED3"/>
    <w:rsid w:val="0082039D"/>
    <w:rsid w:val="0082164A"/>
    <w:rsid w:val="008220A3"/>
    <w:rsid w:val="00822B99"/>
    <w:rsid w:val="00822DD6"/>
    <w:rsid w:val="00823210"/>
    <w:rsid w:val="00823711"/>
    <w:rsid w:val="0082626F"/>
    <w:rsid w:val="00826605"/>
    <w:rsid w:val="00826912"/>
    <w:rsid w:val="00826B67"/>
    <w:rsid w:val="00830343"/>
    <w:rsid w:val="00830C6D"/>
    <w:rsid w:val="008310A3"/>
    <w:rsid w:val="00831C1C"/>
    <w:rsid w:val="0083426F"/>
    <w:rsid w:val="00835641"/>
    <w:rsid w:val="00835D3E"/>
    <w:rsid w:val="00836237"/>
    <w:rsid w:val="0083629D"/>
    <w:rsid w:val="00837437"/>
    <w:rsid w:val="008376C3"/>
    <w:rsid w:val="0084136C"/>
    <w:rsid w:val="00841CBB"/>
    <w:rsid w:val="00842523"/>
    <w:rsid w:val="008440B4"/>
    <w:rsid w:val="00847481"/>
    <w:rsid w:val="00847A88"/>
    <w:rsid w:val="00850BCC"/>
    <w:rsid w:val="008510A7"/>
    <w:rsid w:val="008524F8"/>
    <w:rsid w:val="0085283D"/>
    <w:rsid w:val="00853EA4"/>
    <w:rsid w:val="00855C3D"/>
    <w:rsid w:val="00855FD0"/>
    <w:rsid w:val="008569DB"/>
    <w:rsid w:val="008570E7"/>
    <w:rsid w:val="0085752D"/>
    <w:rsid w:val="00857F6B"/>
    <w:rsid w:val="00860205"/>
    <w:rsid w:val="00860AE0"/>
    <w:rsid w:val="00861715"/>
    <w:rsid w:val="00861FAE"/>
    <w:rsid w:val="00862EC2"/>
    <w:rsid w:val="00863176"/>
    <w:rsid w:val="00863ACA"/>
    <w:rsid w:val="0086491D"/>
    <w:rsid w:val="008651B5"/>
    <w:rsid w:val="0086574A"/>
    <w:rsid w:val="00865DF0"/>
    <w:rsid w:val="00866908"/>
    <w:rsid w:val="00870621"/>
    <w:rsid w:val="0087119F"/>
    <w:rsid w:val="0087212F"/>
    <w:rsid w:val="00872729"/>
    <w:rsid w:val="0087362C"/>
    <w:rsid w:val="00873AA3"/>
    <w:rsid w:val="0087733A"/>
    <w:rsid w:val="008801E8"/>
    <w:rsid w:val="00880B0C"/>
    <w:rsid w:val="0088382C"/>
    <w:rsid w:val="008849C5"/>
    <w:rsid w:val="00885AC3"/>
    <w:rsid w:val="00885F06"/>
    <w:rsid w:val="008907FA"/>
    <w:rsid w:val="00890A4B"/>
    <w:rsid w:val="00892E3D"/>
    <w:rsid w:val="008938D0"/>
    <w:rsid w:val="00893C08"/>
    <w:rsid w:val="00894DBF"/>
    <w:rsid w:val="00896EA0"/>
    <w:rsid w:val="00896F1B"/>
    <w:rsid w:val="00897E1F"/>
    <w:rsid w:val="008A0717"/>
    <w:rsid w:val="008A3739"/>
    <w:rsid w:val="008A6244"/>
    <w:rsid w:val="008B0333"/>
    <w:rsid w:val="008B0F06"/>
    <w:rsid w:val="008B1D5E"/>
    <w:rsid w:val="008B4EBF"/>
    <w:rsid w:val="008B5093"/>
    <w:rsid w:val="008B58DF"/>
    <w:rsid w:val="008C0EB2"/>
    <w:rsid w:val="008C1E5A"/>
    <w:rsid w:val="008C2290"/>
    <w:rsid w:val="008C33CA"/>
    <w:rsid w:val="008C33D5"/>
    <w:rsid w:val="008C3EC2"/>
    <w:rsid w:val="008C7F00"/>
    <w:rsid w:val="008D074D"/>
    <w:rsid w:val="008D083D"/>
    <w:rsid w:val="008D08B9"/>
    <w:rsid w:val="008D2637"/>
    <w:rsid w:val="008D2BAC"/>
    <w:rsid w:val="008D3BA6"/>
    <w:rsid w:val="008D4E70"/>
    <w:rsid w:val="008D519F"/>
    <w:rsid w:val="008D6C95"/>
    <w:rsid w:val="008E0C59"/>
    <w:rsid w:val="008E278D"/>
    <w:rsid w:val="008E3594"/>
    <w:rsid w:val="008E4094"/>
    <w:rsid w:val="008E43AD"/>
    <w:rsid w:val="008E5738"/>
    <w:rsid w:val="008E5787"/>
    <w:rsid w:val="008E5CED"/>
    <w:rsid w:val="008E6B26"/>
    <w:rsid w:val="008F0746"/>
    <w:rsid w:val="008F0C6B"/>
    <w:rsid w:val="008F1EA4"/>
    <w:rsid w:val="008F2599"/>
    <w:rsid w:val="008F2C83"/>
    <w:rsid w:val="008F370C"/>
    <w:rsid w:val="008F4299"/>
    <w:rsid w:val="008F6B1E"/>
    <w:rsid w:val="008F6C16"/>
    <w:rsid w:val="008F7F41"/>
    <w:rsid w:val="00903199"/>
    <w:rsid w:val="00903E34"/>
    <w:rsid w:val="00903F34"/>
    <w:rsid w:val="009044AD"/>
    <w:rsid w:val="00906344"/>
    <w:rsid w:val="00906D28"/>
    <w:rsid w:val="00907487"/>
    <w:rsid w:val="00910AFE"/>
    <w:rsid w:val="009136BA"/>
    <w:rsid w:val="00913906"/>
    <w:rsid w:val="0091434E"/>
    <w:rsid w:val="00914A87"/>
    <w:rsid w:val="00914B07"/>
    <w:rsid w:val="00915BB4"/>
    <w:rsid w:val="00915F09"/>
    <w:rsid w:val="00916B3B"/>
    <w:rsid w:val="00916DA0"/>
    <w:rsid w:val="00920DE3"/>
    <w:rsid w:val="00921044"/>
    <w:rsid w:val="00921F63"/>
    <w:rsid w:val="0092463A"/>
    <w:rsid w:val="009255CD"/>
    <w:rsid w:val="00925A05"/>
    <w:rsid w:val="00926641"/>
    <w:rsid w:val="0093249E"/>
    <w:rsid w:val="00932BAA"/>
    <w:rsid w:val="00932EBB"/>
    <w:rsid w:val="00934DB1"/>
    <w:rsid w:val="009363AC"/>
    <w:rsid w:val="009370F8"/>
    <w:rsid w:val="00937AF4"/>
    <w:rsid w:val="0094120B"/>
    <w:rsid w:val="00941BB0"/>
    <w:rsid w:val="00942B80"/>
    <w:rsid w:val="00942D86"/>
    <w:rsid w:val="00943538"/>
    <w:rsid w:val="00944A26"/>
    <w:rsid w:val="00945DE4"/>
    <w:rsid w:val="00945F54"/>
    <w:rsid w:val="009500DC"/>
    <w:rsid w:val="00950AA1"/>
    <w:rsid w:val="009538CF"/>
    <w:rsid w:val="00954082"/>
    <w:rsid w:val="009544AB"/>
    <w:rsid w:val="00954B88"/>
    <w:rsid w:val="00955250"/>
    <w:rsid w:val="00955CF8"/>
    <w:rsid w:val="0095619F"/>
    <w:rsid w:val="009561C4"/>
    <w:rsid w:val="00956DBD"/>
    <w:rsid w:val="009574B4"/>
    <w:rsid w:val="00957B24"/>
    <w:rsid w:val="0096069D"/>
    <w:rsid w:val="00960802"/>
    <w:rsid w:val="00960C6E"/>
    <w:rsid w:val="00960F93"/>
    <w:rsid w:val="009612C5"/>
    <w:rsid w:val="009616A3"/>
    <w:rsid w:val="00962D03"/>
    <w:rsid w:val="0096425B"/>
    <w:rsid w:val="00964FD3"/>
    <w:rsid w:val="009653B3"/>
    <w:rsid w:val="009655B8"/>
    <w:rsid w:val="00966BA2"/>
    <w:rsid w:val="00967020"/>
    <w:rsid w:val="00971088"/>
    <w:rsid w:val="009717E4"/>
    <w:rsid w:val="00972B38"/>
    <w:rsid w:val="00972F6D"/>
    <w:rsid w:val="00973F35"/>
    <w:rsid w:val="00976983"/>
    <w:rsid w:val="00977658"/>
    <w:rsid w:val="009806C0"/>
    <w:rsid w:val="00980987"/>
    <w:rsid w:val="00981AD5"/>
    <w:rsid w:val="0098435E"/>
    <w:rsid w:val="0098451F"/>
    <w:rsid w:val="009852BE"/>
    <w:rsid w:val="009874A2"/>
    <w:rsid w:val="0099002B"/>
    <w:rsid w:val="009904CB"/>
    <w:rsid w:val="00990DE1"/>
    <w:rsid w:val="0099204B"/>
    <w:rsid w:val="00992631"/>
    <w:rsid w:val="00992CD4"/>
    <w:rsid w:val="009949FE"/>
    <w:rsid w:val="00997044"/>
    <w:rsid w:val="009A03F7"/>
    <w:rsid w:val="009A0671"/>
    <w:rsid w:val="009A11BD"/>
    <w:rsid w:val="009A3A5C"/>
    <w:rsid w:val="009A55C9"/>
    <w:rsid w:val="009A6A5B"/>
    <w:rsid w:val="009A799E"/>
    <w:rsid w:val="009B0E4A"/>
    <w:rsid w:val="009B21E7"/>
    <w:rsid w:val="009B516B"/>
    <w:rsid w:val="009B6D97"/>
    <w:rsid w:val="009C2AC2"/>
    <w:rsid w:val="009C536A"/>
    <w:rsid w:val="009C5DC2"/>
    <w:rsid w:val="009C60BF"/>
    <w:rsid w:val="009C66C7"/>
    <w:rsid w:val="009D023B"/>
    <w:rsid w:val="009D0C96"/>
    <w:rsid w:val="009D2452"/>
    <w:rsid w:val="009D37D7"/>
    <w:rsid w:val="009D3AFA"/>
    <w:rsid w:val="009D44ED"/>
    <w:rsid w:val="009D4CC7"/>
    <w:rsid w:val="009D5FD3"/>
    <w:rsid w:val="009D6C04"/>
    <w:rsid w:val="009D6C7D"/>
    <w:rsid w:val="009D6CA1"/>
    <w:rsid w:val="009D7622"/>
    <w:rsid w:val="009D7B25"/>
    <w:rsid w:val="009D7D57"/>
    <w:rsid w:val="009E050B"/>
    <w:rsid w:val="009E2B1E"/>
    <w:rsid w:val="009E4C46"/>
    <w:rsid w:val="009E5526"/>
    <w:rsid w:val="009E57A7"/>
    <w:rsid w:val="009E6BCC"/>
    <w:rsid w:val="009E7D54"/>
    <w:rsid w:val="009E7F67"/>
    <w:rsid w:val="009F1317"/>
    <w:rsid w:val="009F17CA"/>
    <w:rsid w:val="009F3654"/>
    <w:rsid w:val="009F3BF9"/>
    <w:rsid w:val="009F592F"/>
    <w:rsid w:val="009F5A33"/>
    <w:rsid w:val="009F75A1"/>
    <w:rsid w:val="00A0068D"/>
    <w:rsid w:val="00A008C4"/>
    <w:rsid w:val="00A00914"/>
    <w:rsid w:val="00A00A00"/>
    <w:rsid w:val="00A00CD6"/>
    <w:rsid w:val="00A0182C"/>
    <w:rsid w:val="00A023CA"/>
    <w:rsid w:val="00A026C6"/>
    <w:rsid w:val="00A05C6F"/>
    <w:rsid w:val="00A07D79"/>
    <w:rsid w:val="00A103FF"/>
    <w:rsid w:val="00A11A6F"/>
    <w:rsid w:val="00A134D3"/>
    <w:rsid w:val="00A15251"/>
    <w:rsid w:val="00A17426"/>
    <w:rsid w:val="00A17717"/>
    <w:rsid w:val="00A201DF"/>
    <w:rsid w:val="00A20FFE"/>
    <w:rsid w:val="00A21144"/>
    <w:rsid w:val="00A22CB2"/>
    <w:rsid w:val="00A236EA"/>
    <w:rsid w:val="00A2488D"/>
    <w:rsid w:val="00A24F47"/>
    <w:rsid w:val="00A2632A"/>
    <w:rsid w:val="00A305A8"/>
    <w:rsid w:val="00A33C80"/>
    <w:rsid w:val="00A34B1A"/>
    <w:rsid w:val="00A36659"/>
    <w:rsid w:val="00A36FDF"/>
    <w:rsid w:val="00A3730E"/>
    <w:rsid w:val="00A37B30"/>
    <w:rsid w:val="00A405CF"/>
    <w:rsid w:val="00A408B6"/>
    <w:rsid w:val="00A40BC0"/>
    <w:rsid w:val="00A42C4F"/>
    <w:rsid w:val="00A43888"/>
    <w:rsid w:val="00A44533"/>
    <w:rsid w:val="00A45F58"/>
    <w:rsid w:val="00A523E8"/>
    <w:rsid w:val="00A525DA"/>
    <w:rsid w:val="00A555DC"/>
    <w:rsid w:val="00A562AE"/>
    <w:rsid w:val="00A616DA"/>
    <w:rsid w:val="00A61897"/>
    <w:rsid w:val="00A63714"/>
    <w:rsid w:val="00A65F97"/>
    <w:rsid w:val="00A672C9"/>
    <w:rsid w:val="00A70B10"/>
    <w:rsid w:val="00A72DA2"/>
    <w:rsid w:val="00A739E9"/>
    <w:rsid w:val="00A73AD8"/>
    <w:rsid w:val="00A75026"/>
    <w:rsid w:val="00A75587"/>
    <w:rsid w:val="00A7629C"/>
    <w:rsid w:val="00A815CE"/>
    <w:rsid w:val="00A82354"/>
    <w:rsid w:val="00A82E05"/>
    <w:rsid w:val="00A82F0E"/>
    <w:rsid w:val="00A8422C"/>
    <w:rsid w:val="00A8530B"/>
    <w:rsid w:val="00A86145"/>
    <w:rsid w:val="00A87E13"/>
    <w:rsid w:val="00A90D09"/>
    <w:rsid w:val="00A91BF5"/>
    <w:rsid w:val="00A93787"/>
    <w:rsid w:val="00A93B01"/>
    <w:rsid w:val="00A94E82"/>
    <w:rsid w:val="00A959B4"/>
    <w:rsid w:val="00A971B1"/>
    <w:rsid w:val="00A97289"/>
    <w:rsid w:val="00A9744A"/>
    <w:rsid w:val="00A97C18"/>
    <w:rsid w:val="00AA354E"/>
    <w:rsid w:val="00AA35C4"/>
    <w:rsid w:val="00AA44C9"/>
    <w:rsid w:val="00AA52E8"/>
    <w:rsid w:val="00AA6BFB"/>
    <w:rsid w:val="00AA720E"/>
    <w:rsid w:val="00AA76F1"/>
    <w:rsid w:val="00AB0D4B"/>
    <w:rsid w:val="00AB32F3"/>
    <w:rsid w:val="00AB4448"/>
    <w:rsid w:val="00AB4753"/>
    <w:rsid w:val="00AB51C6"/>
    <w:rsid w:val="00AB55E7"/>
    <w:rsid w:val="00AB5654"/>
    <w:rsid w:val="00AB5D6A"/>
    <w:rsid w:val="00AB77D3"/>
    <w:rsid w:val="00AC0F17"/>
    <w:rsid w:val="00AC23D5"/>
    <w:rsid w:val="00AC2F5C"/>
    <w:rsid w:val="00AC3628"/>
    <w:rsid w:val="00AC4703"/>
    <w:rsid w:val="00AC531E"/>
    <w:rsid w:val="00AC5516"/>
    <w:rsid w:val="00AC655D"/>
    <w:rsid w:val="00AC7AD2"/>
    <w:rsid w:val="00AC7B85"/>
    <w:rsid w:val="00AD3450"/>
    <w:rsid w:val="00AD4E52"/>
    <w:rsid w:val="00AD532F"/>
    <w:rsid w:val="00AD7A78"/>
    <w:rsid w:val="00AD7A9B"/>
    <w:rsid w:val="00AD7FE5"/>
    <w:rsid w:val="00AE0534"/>
    <w:rsid w:val="00AE1868"/>
    <w:rsid w:val="00AE287F"/>
    <w:rsid w:val="00AE55CA"/>
    <w:rsid w:val="00AE5AE6"/>
    <w:rsid w:val="00AE755D"/>
    <w:rsid w:val="00AE7BA0"/>
    <w:rsid w:val="00AF06D1"/>
    <w:rsid w:val="00AF0E18"/>
    <w:rsid w:val="00AF12E5"/>
    <w:rsid w:val="00AF1A42"/>
    <w:rsid w:val="00AF2281"/>
    <w:rsid w:val="00AF2B4C"/>
    <w:rsid w:val="00AF3076"/>
    <w:rsid w:val="00AF3297"/>
    <w:rsid w:val="00AF359B"/>
    <w:rsid w:val="00AF4862"/>
    <w:rsid w:val="00AF5B28"/>
    <w:rsid w:val="00AF65E0"/>
    <w:rsid w:val="00AF7F38"/>
    <w:rsid w:val="00B00F0D"/>
    <w:rsid w:val="00B01738"/>
    <w:rsid w:val="00B01948"/>
    <w:rsid w:val="00B04B58"/>
    <w:rsid w:val="00B07399"/>
    <w:rsid w:val="00B07BEE"/>
    <w:rsid w:val="00B10776"/>
    <w:rsid w:val="00B11488"/>
    <w:rsid w:val="00B1158C"/>
    <w:rsid w:val="00B12484"/>
    <w:rsid w:val="00B140DB"/>
    <w:rsid w:val="00B15162"/>
    <w:rsid w:val="00B15FA5"/>
    <w:rsid w:val="00B172C8"/>
    <w:rsid w:val="00B17B7F"/>
    <w:rsid w:val="00B2456E"/>
    <w:rsid w:val="00B24E89"/>
    <w:rsid w:val="00B268FF"/>
    <w:rsid w:val="00B26BAF"/>
    <w:rsid w:val="00B26E44"/>
    <w:rsid w:val="00B26E73"/>
    <w:rsid w:val="00B308B9"/>
    <w:rsid w:val="00B322EC"/>
    <w:rsid w:val="00B32352"/>
    <w:rsid w:val="00B328B3"/>
    <w:rsid w:val="00B33859"/>
    <w:rsid w:val="00B33DB6"/>
    <w:rsid w:val="00B343D7"/>
    <w:rsid w:val="00B344BA"/>
    <w:rsid w:val="00B35288"/>
    <w:rsid w:val="00B35B4D"/>
    <w:rsid w:val="00B36A89"/>
    <w:rsid w:val="00B37B3C"/>
    <w:rsid w:val="00B37EC9"/>
    <w:rsid w:val="00B37F81"/>
    <w:rsid w:val="00B37FE2"/>
    <w:rsid w:val="00B415A4"/>
    <w:rsid w:val="00B470FE"/>
    <w:rsid w:val="00B472D4"/>
    <w:rsid w:val="00B47783"/>
    <w:rsid w:val="00B507EE"/>
    <w:rsid w:val="00B50E9E"/>
    <w:rsid w:val="00B50F81"/>
    <w:rsid w:val="00B5129C"/>
    <w:rsid w:val="00B51513"/>
    <w:rsid w:val="00B53FEA"/>
    <w:rsid w:val="00B557C6"/>
    <w:rsid w:val="00B55A1E"/>
    <w:rsid w:val="00B56BE4"/>
    <w:rsid w:val="00B626E6"/>
    <w:rsid w:val="00B635F5"/>
    <w:rsid w:val="00B642DB"/>
    <w:rsid w:val="00B64E78"/>
    <w:rsid w:val="00B650F4"/>
    <w:rsid w:val="00B66C13"/>
    <w:rsid w:val="00B67B36"/>
    <w:rsid w:val="00B70C3A"/>
    <w:rsid w:val="00B7113C"/>
    <w:rsid w:val="00B7125F"/>
    <w:rsid w:val="00B712E0"/>
    <w:rsid w:val="00B717CB"/>
    <w:rsid w:val="00B72635"/>
    <w:rsid w:val="00B736F3"/>
    <w:rsid w:val="00B77F99"/>
    <w:rsid w:val="00B805C7"/>
    <w:rsid w:val="00B80951"/>
    <w:rsid w:val="00B80A78"/>
    <w:rsid w:val="00B813AB"/>
    <w:rsid w:val="00B818C3"/>
    <w:rsid w:val="00B8348A"/>
    <w:rsid w:val="00B845EB"/>
    <w:rsid w:val="00B85609"/>
    <w:rsid w:val="00B86017"/>
    <w:rsid w:val="00B864B1"/>
    <w:rsid w:val="00B866CD"/>
    <w:rsid w:val="00B870D7"/>
    <w:rsid w:val="00B9018F"/>
    <w:rsid w:val="00B90FE0"/>
    <w:rsid w:val="00B92C90"/>
    <w:rsid w:val="00B93C7E"/>
    <w:rsid w:val="00B957BA"/>
    <w:rsid w:val="00B95F20"/>
    <w:rsid w:val="00B96133"/>
    <w:rsid w:val="00B96AA6"/>
    <w:rsid w:val="00B96E93"/>
    <w:rsid w:val="00BA02F7"/>
    <w:rsid w:val="00BA0D9F"/>
    <w:rsid w:val="00BA39D2"/>
    <w:rsid w:val="00BA3E34"/>
    <w:rsid w:val="00BA4687"/>
    <w:rsid w:val="00BA5507"/>
    <w:rsid w:val="00BA5730"/>
    <w:rsid w:val="00BA5B12"/>
    <w:rsid w:val="00BA5D9F"/>
    <w:rsid w:val="00BA6619"/>
    <w:rsid w:val="00BA7FBD"/>
    <w:rsid w:val="00BB2C4C"/>
    <w:rsid w:val="00BB399D"/>
    <w:rsid w:val="00BB3E17"/>
    <w:rsid w:val="00BB4D3A"/>
    <w:rsid w:val="00BB6312"/>
    <w:rsid w:val="00BC0DC7"/>
    <w:rsid w:val="00BC13F4"/>
    <w:rsid w:val="00BC193C"/>
    <w:rsid w:val="00BC1D7F"/>
    <w:rsid w:val="00BC3476"/>
    <w:rsid w:val="00BC34DF"/>
    <w:rsid w:val="00BC4161"/>
    <w:rsid w:val="00BC5CBC"/>
    <w:rsid w:val="00BD0847"/>
    <w:rsid w:val="00BD4699"/>
    <w:rsid w:val="00BD5718"/>
    <w:rsid w:val="00BD713E"/>
    <w:rsid w:val="00BD7E95"/>
    <w:rsid w:val="00BE2B4D"/>
    <w:rsid w:val="00BE2FA2"/>
    <w:rsid w:val="00BE3606"/>
    <w:rsid w:val="00BE4928"/>
    <w:rsid w:val="00BE4FEB"/>
    <w:rsid w:val="00BE5B9E"/>
    <w:rsid w:val="00BE611D"/>
    <w:rsid w:val="00BE6EB8"/>
    <w:rsid w:val="00BE7691"/>
    <w:rsid w:val="00BF041F"/>
    <w:rsid w:val="00BF28ED"/>
    <w:rsid w:val="00BF3743"/>
    <w:rsid w:val="00BF3AC7"/>
    <w:rsid w:val="00BF3CFC"/>
    <w:rsid w:val="00BF4EC8"/>
    <w:rsid w:val="00BF608E"/>
    <w:rsid w:val="00BF7AF3"/>
    <w:rsid w:val="00C019A3"/>
    <w:rsid w:val="00C01A8B"/>
    <w:rsid w:val="00C01D06"/>
    <w:rsid w:val="00C0287D"/>
    <w:rsid w:val="00C0449E"/>
    <w:rsid w:val="00C047E1"/>
    <w:rsid w:val="00C05765"/>
    <w:rsid w:val="00C05D14"/>
    <w:rsid w:val="00C06BC9"/>
    <w:rsid w:val="00C07CD7"/>
    <w:rsid w:val="00C10756"/>
    <w:rsid w:val="00C114A8"/>
    <w:rsid w:val="00C14478"/>
    <w:rsid w:val="00C144D8"/>
    <w:rsid w:val="00C156EB"/>
    <w:rsid w:val="00C16C98"/>
    <w:rsid w:val="00C17A38"/>
    <w:rsid w:val="00C21937"/>
    <w:rsid w:val="00C21D49"/>
    <w:rsid w:val="00C23D00"/>
    <w:rsid w:val="00C25915"/>
    <w:rsid w:val="00C263FB"/>
    <w:rsid w:val="00C2722A"/>
    <w:rsid w:val="00C27988"/>
    <w:rsid w:val="00C323BC"/>
    <w:rsid w:val="00C32561"/>
    <w:rsid w:val="00C34939"/>
    <w:rsid w:val="00C350D0"/>
    <w:rsid w:val="00C35DC5"/>
    <w:rsid w:val="00C37BC6"/>
    <w:rsid w:val="00C411FE"/>
    <w:rsid w:val="00C42643"/>
    <w:rsid w:val="00C43EB4"/>
    <w:rsid w:val="00C443F8"/>
    <w:rsid w:val="00C44D23"/>
    <w:rsid w:val="00C466BD"/>
    <w:rsid w:val="00C46E27"/>
    <w:rsid w:val="00C4734A"/>
    <w:rsid w:val="00C51684"/>
    <w:rsid w:val="00C5172E"/>
    <w:rsid w:val="00C517F5"/>
    <w:rsid w:val="00C540B8"/>
    <w:rsid w:val="00C54D81"/>
    <w:rsid w:val="00C608D4"/>
    <w:rsid w:val="00C60FF9"/>
    <w:rsid w:val="00C61B71"/>
    <w:rsid w:val="00C621AB"/>
    <w:rsid w:val="00C62529"/>
    <w:rsid w:val="00C632FF"/>
    <w:rsid w:val="00C63A62"/>
    <w:rsid w:val="00C64814"/>
    <w:rsid w:val="00C67346"/>
    <w:rsid w:val="00C677A4"/>
    <w:rsid w:val="00C70434"/>
    <w:rsid w:val="00C70E1A"/>
    <w:rsid w:val="00C722A5"/>
    <w:rsid w:val="00C764F2"/>
    <w:rsid w:val="00C768F7"/>
    <w:rsid w:val="00C779D3"/>
    <w:rsid w:val="00C807FA"/>
    <w:rsid w:val="00C80C8B"/>
    <w:rsid w:val="00C8281B"/>
    <w:rsid w:val="00C82B25"/>
    <w:rsid w:val="00C82F4D"/>
    <w:rsid w:val="00C8367A"/>
    <w:rsid w:val="00C847FB"/>
    <w:rsid w:val="00C85DEC"/>
    <w:rsid w:val="00C8724F"/>
    <w:rsid w:val="00C87F4E"/>
    <w:rsid w:val="00C929D4"/>
    <w:rsid w:val="00C937DB"/>
    <w:rsid w:val="00C93DA6"/>
    <w:rsid w:val="00C94233"/>
    <w:rsid w:val="00C95F5D"/>
    <w:rsid w:val="00C961D3"/>
    <w:rsid w:val="00C964EF"/>
    <w:rsid w:val="00C96A05"/>
    <w:rsid w:val="00C97692"/>
    <w:rsid w:val="00CA062E"/>
    <w:rsid w:val="00CA101D"/>
    <w:rsid w:val="00CA12AA"/>
    <w:rsid w:val="00CA1D09"/>
    <w:rsid w:val="00CA248A"/>
    <w:rsid w:val="00CA4D16"/>
    <w:rsid w:val="00CA5B44"/>
    <w:rsid w:val="00CA6365"/>
    <w:rsid w:val="00CA7456"/>
    <w:rsid w:val="00CB0B0B"/>
    <w:rsid w:val="00CB154A"/>
    <w:rsid w:val="00CB26B7"/>
    <w:rsid w:val="00CB2844"/>
    <w:rsid w:val="00CB3E61"/>
    <w:rsid w:val="00CB4E03"/>
    <w:rsid w:val="00CB590D"/>
    <w:rsid w:val="00CB608A"/>
    <w:rsid w:val="00CB703F"/>
    <w:rsid w:val="00CB7139"/>
    <w:rsid w:val="00CC1560"/>
    <w:rsid w:val="00CC22FB"/>
    <w:rsid w:val="00CC27C1"/>
    <w:rsid w:val="00CC2A75"/>
    <w:rsid w:val="00CC2F3E"/>
    <w:rsid w:val="00CC3D36"/>
    <w:rsid w:val="00CC4FF0"/>
    <w:rsid w:val="00CC626D"/>
    <w:rsid w:val="00CC6CD9"/>
    <w:rsid w:val="00CC7108"/>
    <w:rsid w:val="00CC7729"/>
    <w:rsid w:val="00CC7A1E"/>
    <w:rsid w:val="00CD00A8"/>
    <w:rsid w:val="00CD0D5A"/>
    <w:rsid w:val="00CD0E69"/>
    <w:rsid w:val="00CD1BEA"/>
    <w:rsid w:val="00CD305E"/>
    <w:rsid w:val="00CD3AF2"/>
    <w:rsid w:val="00CD4114"/>
    <w:rsid w:val="00CD4B67"/>
    <w:rsid w:val="00CD5E6F"/>
    <w:rsid w:val="00CD6545"/>
    <w:rsid w:val="00CD66FC"/>
    <w:rsid w:val="00CD73B0"/>
    <w:rsid w:val="00CE1AEA"/>
    <w:rsid w:val="00CE2441"/>
    <w:rsid w:val="00CE329D"/>
    <w:rsid w:val="00CE3C3A"/>
    <w:rsid w:val="00CE4637"/>
    <w:rsid w:val="00CE579A"/>
    <w:rsid w:val="00CE7052"/>
    <w:rsid w:val="00CF2C33"/>
    <w:rsid w:val="00CF7ED3"/>
    <w:rsid w:val="00D05915"/>
    <w:rsid w:val="00D12316"/>
    <w:rsid w:val="00D12B63"/>
    <w:rsid w:val="00D1398A"/>
    <w:rsid w:val="00D14593"/>
    <w:rsid w:val="00D14F47"/>
    <w:rsid w:val="00D1554B"/>
    <w:rsid w:val="00D15C30"/>
    <w:rsid w:val="00D1621B"/>
    <w:rsid w:val="00D162E9"/>
    <w:rsid w:val="00D17454"/>
    <w:rsid w:val="00D21266"/>
    <w:rsid w:val="00D22EE3"/>
    <w:rsid w:val="00D2324C"/>
    <w:rsid w:val="00D24372"/>
    <w:rsid w:val="00D24857"/>
    <w:rsid w:val="00D249F4"/>
    <w:rsid w:val="00D257D4"/>
    <w:rsid w:val="00D2609C"/>
    <w:rsid w:val="00D2763A"/>
    <w:rsid w:val="00D30170"/>
    <w:rsid w:val="00D31162"/>
    <w:rsid w:val="00D312A6"/>
    <w:rsid w:val="00D32818"/>
    <w:rsid w:val="00D34E89"/>
    <w:rsid w:val="00D361E9"/>
    <w:rsid w:val="00D367F2"/>
    <w:rsid w:val="00D36F0D"/>
    <w:rsid w:val="00D37B47"/>
    <w:rsid w:val="00D40DBA"/>
    <w:rsid w:val="00D418A0"/>
    <w:rsid w:val="00D418C9"/>
    <w:rsid w:val="00D41C13"/>
    <w:rsid w:val="00D43AAD"/>
    <w:rsid w:val="00D44551"/>
    <w:rsid w:val="00D4475C"/>
    <w:rsid w:val="00D45322"/>
    <w:rsid w:val="00D45664"/>
    <w:rsid w:val="00D476E0"/>
    <w:rsid w:val="00D47C56"/>
    <w:rsid w:val="00D51397"/>
    <w:rsid w:val="00D51695"/>
    <w:rsid w:val="00D5289C"/>
    <w:rsid w:val="00D549E4"/>
    <w:rsid w:val="00D55CF4"/>
    <w:rsid w:val="00D56194"/>
    <w:rsid w:val="00D56C18"/>
    <w:rsid w:val="00D57094"/>
    <w:rsid w:val="00D57802"/>
    <w:rsid w:val="00D63A15"/>
    <w:rsid w:val="00D63CCF"/>
    <w:rsid w:val="00D65FA0"/>
    <w:rsid w:val="00D67859"/>
    <w:rsid w:val="00D67AE7"/>
    <w:rsid w:val="00D67FB6"/>
    <w:rsid w:val="00D701D7"/>
    <w:rsid w:val="00D70CA9"/>
    <w:rsid w:val="00D71B6A"/>
    <w:rsid w:val="00D73B95"/>
    <w:rsid w:val="00D74B12"/>
    <w:rsid w:val="00D756FD"/>
    <w:rsid w:val="00D76005"/>
    <w:rsid w:val="00D770D1"/>
    <w:rsid w:val="00D77E8A"/>
    <w:rsid w:val="00D804CD"/>
    <w:rsid w:val="00D8053D"/>
    <w:rsid w:val="00D81386"/>
    <w:rsid w:val="00D8169A"/>
    <w:rsid w:val="00D8223B"/>
    <w:rsid w:val="00D83954"/>
    <w:rsid w:val="00D84363"/>
    <w:rsid w:val="00D859BC"/>
    <w:rsid w:val="00D87AF9"/>
    <w:rsid w:val="00D907C4"/>
    <w:rsid w:val="00D9123D"/>
    <w:rsid w:val="00D92037"/>
    <w:rsid w:val="00D92AC9"/>
    <w:rsid w:val="00D9384D"/>
    <w:rsid w:val="00D95367"/>
    <w:rsid w:val="00D95E00"/>
    <w:rsid w:val="00D96026"/>
    <w:rsid w:val="00D96537"/>
    <w:rsid w:val="00D9661F"/>
    <w:rsid w:val="00DA0CB0"/>
    <w:rsid w:val="00DA11B0"/>
    <w:rsid w:val="00DA126C"/>
    <w:rsid w:val="00DA24AB"/>
    <w:rsid w:val="00DA341C"/>
    <w:rsid w:val="00DA3ECE"/>
    <w:rsid w:val="00DA4CFC"/>
    <w:rsid w:val="00DA61B7"/>
    <w:rsid w:val="00DA67AC"/>
    <w:rsid w:val="00DA7932"/>
    <w:rsid w:val="00DB09FA"/>
    <w:rsid w:val="00DB1266"/>
    <w:rsid w:val="00DB1B69"/>
    <w:rsid w:val="00DB2EF4"/>
    <w:rsid w:val="00DB35FA"/>
    <w:rsid w:val="00DB3C74"/>
    <w:rsid w:val="00DB42B4"/>
    <w:rsid w:val="00DB7253"/>
    <w:rsid w:val="00DB74D8"/>
    <w:rsid w:val="00DB7A6A"/>
    <w:rsid w:val="00DC0D53"/>
    <w:rsid w:val="00DC167E"/>
    <w:rsid w:val="00DC19A7"/>
    <w:rsid w:val="00DC31E5"/>
    <w:rsid w:val="00DC44E8"/>
    <w:rsid w:val="00DC5DFE"/>
    <w:rsid w:val="00DC6D6F"/>
    <w:rsid w:val="00DC7C22"/>
    <w:rsid w:val="00DD150F"/>
    <w:rsid w:val="00DD34FD"/>
    <w:rsid w:val="00DD3A1D"/>
    <w:rsid w:val="00DD43D4"/>
    <w:rsid w:val="00DD543E"/>
    <w:rsid w:val="00DE13E9"/>
    <w:rsid w:val="00DE2595"/>
    <w:rsid w:val="00DE3757"/>
    <w:rsid w:val="00DE445A"/>
    <w:rsid w:val="00DE47E9"/>
    <w:rsid w:val="00DE5CC7"/>
    <w:rsid w:val="00DE623B"/>
    <w:rsid w:val="00DE6749"/>
    <w:rsid w:val="00DE70A9"/>
    <w:rsid w:val="00DE7133"/>
    <w:rsid w:val="00DE7305"/>
    <w:rsid w:val="00DE7B96"/>
    <w:rsid w:val="00DF0AC6"/>
    <w:rsid w:val="00DF16FF"/>
    <w:rsid w:val="00DF1814"/>
    <w:rsid w:val="00DF1980"/>
    <w:rsid w:val="00DF3298"/>
    <w:rsid w:val="00DF399E"/>
    <w:rsid w:val="00DF5C4D"/>
    <w:rsid w:val="00DF691C"/>
    <w:rsid w:val="00E011A7"/>
    <w:rsid w:val="00E026D4"/>
    <w:rsid w:val="00E02E35"/>
    <w:rsid w:val="00E03C29"/>
    <w:rsid w:val="00E056F6"/>
    <w:rsid w:val="00E062D4"/>
    <w:rsid w:val="00E1122A"/>
    <w:rsid w:val="00E14E1B"/>
    <w:rsid w:val="00E20A59"/>
    <w:rsid w:val="00E21537"/>
    <w:rsid w:val="00E24D9E"/>
    <w:rsid w:val="00E24E09"/>
    <w:rsid w:val="00E26FD2"/>
    <w:rsid w:val="00E27140"/>
    <w:rsid w:val="00E302ED"/>
    <w:rsid w:val="00E30447"/>
    <w:rsid w:val="00E304B4"/>
    <w:rsid w:val="00E34361"/>
    <w:rsid w:val="00E3520E"/>
    <w:rsid w:val="00E41981"/>
    <w:rsid w:val="00E41FB1"/>
    <w:rsid w:val="00E427EB"/>
    <w:rsid w:val="00E44A6F"/>
    <w:rsid w:val="00E45759"/>
    <w:rsid w:val="00E503FD"/>
    <w:rsid w:val="00E519F0"/>
    <w:rsid w:val="00E51A84"/>
    <w:rsid w:val="00E51E71"/>
    <w:rsid w:val="00E54450"/>
    <w:rsid w:val="00E55ECD"/>
    <w:rsid w:val="00E56006"/>
    <w:rsid w:val="00E5669F"/>
    <w:rsid w:val="00E57095"/>
    <w:rsid w:val="00E61104"/>
    <w:rsid w:val="00E613AC"/>
    <w:rsid w:val="00E61D6B"/>
    <w:rsid w:val="00E63620"/>
    <w:rsid w:val="00E640A9"/>
    <w:rsid w:val="00E652C1"/>
    <w:rsid w:val="00E66D0C"/>
    <w:rsid w:val="00E678F0"/>
    <w:rsid w:val="00E67C22"/>
    <w:rsid w:val="00E71E99"/>
    <w:rsid w:val="00E72111"/>
    <w:rsid w:val="00E72826"/>
    <w:rsid w:val="00E72BF8"/>
    <w:rsid w:val="00E72F17"/>
    <w:rsid w:val="00E735B6"/>
    <w:rsid w:val="00E75010"/>
    <w:rsid w:val="00E762C2"/>
    <w:rsid w:val="00E765DA"/>
    <w:rsid w:val="00E76F26"/>
    <w:rsid w:val="00E77A44"/>
    <w:rsid w:val="00E77BE5"/>
    <w:rsid w:val="00E77F3D"/>
    <w:rsid w:val="00E77F5A"/>
    <w:rsid w:val="00E816D7"/>
    <w:rsid w:val="00E81877"/>
    <w:rsid w:val="00E82AC1"/>
    <w:rsid w:val="00E83332"/>
    <w:rsid w:val="00E84A78"/>
    <w:rsid w:val="00E854C9"/>
    <w:rsid w:val="00E90564"/>
    <w:rsid w:val="00E91E9C"/>
    <w:rsid w:val="00E94DAF"/>
    <w:rsid w:val="00E95601"/>
    <w:rsid w:val="00E95AC6"/>
    <w:rsid w:val="00E97499"/>
    <w:rsid w:val="00E97D3C"/>
    <w:rsid w:val="00EA03C8"/>
    <w:rsid w:val="00EA3B5C"/>
    <w:rsid w:val="00EA4493"/>
    <w:rsid w:val="00EA53E3"/>
    <w:rsid w:val="00EA5C08"/>
    <w:rsid w:val="00EB0159"/>
    <w:rsid w:val="00EB235E"/>
    <w:rsid w:val="00EB4491"/>
    <w:rsid w:val="00EB6734"/>
    <w:rsid w:val="00EB7D9F"/>
    <w:rsid w:val="00EC1532"/>
    <w:rsid w:val="00EC1E7A"/>
    <w:rsid w:val="00EC273E"/>
    <w:rsid w:val="00EC3541"/>
    <w:rsid w:val="00EC3A59"/>
    <w:rsid w:val="00EC3C6B"/>
    <w:rsid w:val="00EC5AE8"/>
    <w:rsid w:val="00EC662A"/>
    <w:rsid w:val="00EC6DBE"/>
    <w:rsid w:val="00EC77F7"/>
    <w:rsid w:val="00EC7FDE"/>
    <w:rsid w:val="00ED0A4C"/>
    <w:rsid w:val="00ED0BEE"/>
    <w:rsid w:val="00ED15B2"/>
    <w:rsid w:val="00ED177B"/>
    <w:rsid w:val="00ED2C7C"/>
    <w:rsid w:val="00ED322C"/>
    <w:rsid w:val="00ED3532"/>
    <w:rsid w:val="00ED39E7"/>
    <w:rsid w:val="00ED4AB9"/>
    <w:rsid w:val="00ED61C0"/>
    <w:rsid w:val="00EE02E5"/>
    <w:rsid w:val="00EE3746"/>
    <w:rsid w:val="00EE4F2E"/>
    <w:rsid w:val="00EE5FBE"/>
    <w:rsid w:val="00EE620C"/>
    <w:rsid w:val="00EE6B8C"/>
    <w:rsid w:val="00EF0345"/>
    <w:rsid w:val="00EF043E"/>
    <w:rsid w:val="00EF115A"/>
    <w:rsid w:val="00EF3573"/>
    <w:rsid w:val="00EF380C"/>
    <w:rsid w:val="00EF42BD"/>
    <w:rsid w:val="00EF63D9"/>
    <w:rsid w:val="00EF76F1"/>
    <w:rsid w:val="00F0188A"/>
    <w:rsid w:val="00F01A80"/>
    <w:rsid w:val="00F050C5"/>
    <w:rsid w:val="00F06939"/>
    <w:rsid w:val="00F06D0F"/>
    <w:rsid w:val="00F07092"/>
    <w:rsid w:val="00F1012E"/>
    <w:rsid w:val="00F12DD0"/>
    <w:rsid w:val="00F134FE"/>
    <w:rsid w:val="00F1364F"/>
    <w:rsid w:val="00F15D80"/>
    <w:rsid w:val="00F16CE7"/>
    <w:rsid w:val="00F209BE"/>
    <w:rsid w:val="00F222AD"/>
    <w:rsid w:val="00F22792"/>
    <w:rsid w:val="00F23668"/>
    <w:rsid w:val="00F24649"/>
    <w:rsid w:val="00F30585"/>
    <w:rsid w:val="00F32950"/>
    <w:rsid w:val="00F36C05"/>
    <w:rsid w:val="00F40C1F"/>
    <w:rsid w:val="00F413DB"/>
    <w:rsid w:val="00F42072"/>
    <w:rsid w:val="00F42685"/>
    <w:rsid w:val="00F43830"/>
    <w:rsid w:val="00F4405C"/>
    <w:rsid w:val="00F45688"/>
    <w:rsid w:val="00F4610C"/>
    <w:rsid w:val="00F46B83"/>
    <w:rsid w:val="00F47AAD"/>
    <w:rsid w:val="00F50F05"/>
    <w:rsid w:val="00F51BEE"/>
    <w:rsid w:val="00F52069"/>
    <w:rsid w:val="00F52DD6"/>
    <w:rsid w:val="00F53CD8"/>
    <w:rsid w:val="00F54C8E"/>
    <w:rsid w:val="00F55AB3"/>
    <w:rsid w:val="00F568FD"/>
    <w:rsid w:val="00F56F06"/>
    <w:rsid w:val="00F57792"/>
    <w:rsid w:val="00F60444"/>
    <w:rsid w:val="00F60514"/>
    <w:rsid w:val="00F607F5"/>
    <w:rsid w:val="00F627C6"/>
    <w:rsid w:val="00F65AF3"/>
    <w:rsid w:val="00F67206"/>
    <w:rsid w:val="00F6781D"/>
    <w:rsid w:val="00F70F1A"/>
    <w:rsid w:val="00F72787"/>
    <w:rsid w:val="00F72E0D"/>
    <w:rsid w:val="00F734DE"/>
    <w:rsid w:val="00F74BE4"/>
    <w:rsid w:val="00F753C9"/>
    <w:rsid w:val="00F75A60"/>
    <w:rsid w:val="00F76AA6"/>
    <w:rsid w:val="00F81C31"/>
    <w:rsid w:val="00F82A53"/>
    <w:rsid w:val="00F82C9C"/>
    <w:rsid w:val="00F83293"/>
    <w:rsid w:val="00F84807"/>
    <w:rsid w:val="00F84EC7"/>
    <w:rsid w:val="00F857CE"/>
    <w:rsid w:val="00F860AB"/>
    <w:rsid w:val="00F86534"/>
    <w:rsid w:val="00F86873"/>
    <w:rsid w:val="00F8714B"/>
    <w:rsid w:val="00F901B0"/>
    <w:rsid w:val="00F93D12"/>
    <w:rsid w:val="00F946D5"/>
    <w:rsid w:val="00F9510A"/>
    <w:rsid w:val="00F951A2"/>
    <w:rsid w:val="00F9675A"/>
    <w:rsid w:val="00F97187"/>
    <w:rsid w:val="00F971E3"/>
    <w:rsid w:val="00FA0144"/>
    <w:rsid w:val="00FA0E47"/>
    <w:rsid w:val="00FA1A07"/>
    <w:rsid w:val="00FA1DC1"/>
    <w:rsid w:val="00FA1F7A"/>
    <w:rsid w:val="00FA2372"/>
    <w:rsid w:val="00FA42F6"/>
    <w:rsid w:val="00FA6F22"/>
    <w:rsid w:val="00FA77F0"/>
    <w:rsid w:val="00FA7E79"/>
    <w:rsid w:val="00FB00FD"/>
    <w:rsid w:val="00FB1909"/>
    <w:rsid w:val="00FB1927"/>
    <w:rsid w:val="00FB2FAA"/>
    <w:rsid w:val="00FB37C0"/>
    <w:rsid w:val="00FB5BD3"/>
    <w:rsid w:val="00FB739F"/>
    <w:rsid w:val="00FC07F8"/>
    <w:rsid w:val="00FC30B0"/>
    <w:rsid w:val="00FC57E8"/>
    <w:rsid w:val="00FC6170"/>
    <w:rsid w:val="00FC7062"/>
    <w:rsid w:val="00FD0690"/>
    <w:rsid w:val="00FD077E"/>
    <w:rsid w:val="00FD1859"/>
    <w:rsid w:val="00FD1FB8"/>
    <w:rsid w:val="00FD2A4D"/>
    <w:rsid w:val="00FD352D"/>
    <w:rsid w:val="00FD3810"/>
    <w:rsid w:val="00FD4EF8"/>
    <w:rsid w:val="00FD53B2"/>
    <w:rsid w:val="00FD6599"/>
    <w:rsid w:val="00FE3990"/>
    <w:rsid w:val="00FE5D61"/>
    <w:rsid w:val="00FE63BF"/>
    <w:rsid w:val="00FE6920"/>
    <w:rsid w:val="00FE6E3D"/>
    <w:rsid w:val="00FF00D6"/>
    <w:rsid w:val="00FF3999"/>
    <w:rsid w:val="00FF513C"/>
    <w:rsid w:val="00FF61F1"/>
    <w:rsid w:val="00FF77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EBB"/>
    <w:rPr>
      <w:rFonts w:ascii="Times New Roman" w:eastAsia="Times New Roman" w:hAnsi="Times New Roman"/>
      <w:sz w:val="24"/>
      <w:szCs w:val="24"/>
    </w:rPr>
  </w:style>
  <w:style w:type="paragraph" w:styleId="Heading1">
    <w:name w:val="heading 1"/>
    <w:basedOn w:val="Normal"/>
    <w:next w:val="Normal"/>
    <w:link w:val="Heading1Char"/>
    <w:uiPriority w:val="99"/>
    <w:qFormat/>
    <w:rsid w:val="00D92037"/>
    <w:pPr>
      <w:keepNext/>
      <w:keepLines/>
      <w:spacing w:before="480"/>
      <w:jc w:val="center"/>
      <w:outlineLvl w:val="0"/>
    </w:pPr>
    <w:rPr>
      <w:rFonts w:eastAsia="Calibri"/>
      <w:caps/>
      <w:sz w:val="28"/>
      <w:szCs w:val="28"/>
    </w:rPr>
  </w:style>
  <w:style w:type="paragraph" w:styleId="Heading2">
    <w:name w:val="heading 2"/>
    <w:basedOn w:val="Normal"/>
    <w:link w:val="Heading2Char"/>
    <w:uiPriority w:val="99"/>
    <w:qFormat/>
    <w:rsid w:val="00D92037"/>
    <w:pPr>
      <w:spacing w:line="480" w:lineRule="auto"/>
      <w:jc w:val="center"/>
      <w:outlineLvl w:val="1"/>
    </w:pPr>
    <w:rPr>
      <w:rFonts w:eastAsia="Calibri"/>
      <w:caps/>
      <w:u w:val="single"/>
    </w:rPr>
  </w:style>
  <w:style w:type="paragraph" w:styleId="Heading3">
    <w:name w:val="heading 3"/>
    <w:basedOn w:val="Normal"/>
    <w:next w:val="Normal"/>
    <w:link w:val="Heading3Char"/>
    <w:uiPriority w:val="99"/>
    <w:qFormat/>
    <w:rsid w:val="00D92037"/>
    <w:pPr>
      <w:keepNext/>
      <w:keepLines/>
      <w:spacing w:before="200"/>
      <w:outlineLvl w:val="2"/>
    </w:pPr>
    <w:rPr>
      <w:rFonts w:eastAsia="Calibri"/>
      <w:b/>
      <w:bCs/>
    </w:rPr>
  </w:style>
  <w:style w:type="paragraph" w:styleId="Heading4">
    <w:name w:val="heading 4"/>
    <w:basedOn w:val="Normal"/>
    <w:next w:val="Normal"/>
    <w:link w:val="Heading4Char"/>
    <w:uiPriority w:val="99"/>
    <w:qFormat/>
    <w:rsid w:val="00D92037"/>
    <w:pPr>
      <w:keepNext/>
      <w:spacing w:before="240" w:after="60"/>
      <w:outlineLvl w:val="3"/>
    </w:pPr>
    <w:rPr>
      <w:rFonts w:eastAsia="Calibri"/>
      <w:i/>
      <w:iCs/>
      <w:sz w:val="28"/>
      <w:szCs w:val="28"/>
    </w:rPr>
  </w:style>
  <w:style w:type="paragraph" w:styleId="Heading5">
    <w:name w:val="heading 5"/>
    <w:basedOn w:val="Normal"/>
    <w:next w:val="Normal"/>
    <w:link w:val="Heading5Char"/>
    <w:uiPriority w:val="9"/>
    <w:qFormat/>
    <w:rsid w:val="00D9203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92037"/>
    <w:rPr>
      <w:rFonts w:ascii="Times New Roman" w:hAnsi="Times New Roman" w:cs="Times New Roman"/>
      <w:caps/>
      <w:sz w:val="28"/>
      <w:szCs w:val="28"/>
    </w:rPr>
  </w:style>
  <w:style w:type="character" w:customStyle="1" w:styleId="Heading2Char">
    <w:name w:val="Heading 2 Char"/>
    <w:link w:val="Heading2"/>
    <w:uiPriority w:val="99"/>
    <w:rsid w:val="00D92037"/>
    <w:rPr>
      <w:rFonts w:ascii="Times New Roman" w:hAnsi="Times New Roman" w:cs="Times New Roman"/>
      <w:caps/>
      <w:sz w:val="24"/>
      <w:szCs w:val="24"/>
      <w:u w:val="single"/>
    </w:rPr>
  </w:style>
  <w:style w:type="character" w:customStyle="1" w:styleId="Heading3Char">
    <w:name w:val="Heading 3 Char"/>
    <w:link w:val="Heading3"/>
    <w:uiPriority w:val="99"/>
    <w:rsid w:val="00D92037"/>
    <w:rPr>
      <w:rFonts w:ascii="Times New Roman" w:hAnsi="Times New Roman" w:cs="Times New Roman"/>
      <w:b/>
      <w:bCs/>
      <w:sz w:val="24"/>
      <w:szCs w:val="24"/>
    </w:rPr>
  </w:style>
  <w:style w:type="character" w:customStyle="1" w:styleId="Heading4Char">
    <w:name w:val="Heading 4 Char"/>
    <w:link w:val="Heading4"/>
    <w:uiPriority w:val="99"/>
    <w:rsid w:val="00D92037"/>
    <w:rPr>
      <w:rFonts w:ascii="Times New Roman" w:hAnsi="Times New Roman" w:cs="Times New Roman"/>
      <w:i/>
      <w:iCs/>
      <w:sz w:val="28"/>
      <w:szCs w:val="28"/>
    </w:rPr>
  </w:style>
  <w:style w:type="character" w:customStyle="1" w:styleId="Heading5Char">
    <w:name w:val="Heading 5 Char"/>
    <w:link w:val="Heading5"/>
    <w:uiPriority w:val="9"/>
    <w:rsid w:val="00D92037"/>
    <w:rPr>
      <w:rFonts w:ascii="Calibri" w:eastAsia="Times New Roman" w:hAnsi="Calibri" w:cs="Times New Roman"/>
      <w:b/>
      <w:bCs/>
      <w:i/>
      <w:iCs/>
      <w:sz w:val="26"/>
      <w:szCs w:val="26"/>
    </w:rPr>
  </w:style>
  <w:style w:type="character" w:styleId="Strong">
    <w:name w:val="Strong"/>
    <w:qFormat/>
    <w:rsid w:val="00D92037"/>
    <w:rPr>
      <w:b/>
      <w:bCs/>
    </w:rPr>
  </w:style>
  <w:style w:type="character" w:styleId="Emphasis">
    <w:name w:val="Emphasis"/>
    <w:uiPriority w:val="20"/>
    <w:qFormat/>
    <w:rsid w:val="00D92037"/>
    <w:rPr>
      <w:i/>
      <w:iCs/>
    </w:rPr>
  </w:style>
  <w:style w:type="paragraph" w:customStyle="1" w:styleId="NoSpacing1">
    <w:name w:val="No Spacing1"/>
    <w:link w:val="NoSpacingChar"/>
    <w:uiPriority w:val="99"/>
    <w:qFormat/>
    <w:rsid w:val="00D92037"/>
    <w:rPr>
      <w:rFonts w:cs="Calibri"/>
      <w:sz w:val="22"/>
      <w:szCs w:val="22"/>
      <w:lang w:val="en-US" w:eastAsia="en-US"/>
    </w:rPr>
  </w:style>
  <w:style w:type="character" w:customStyle="1" w:styleId="NoSpacingChar">
    <w:name w:val="No Spacing Char"/>
    <w:link w:val="NoSpacing1"/>
    <w:uiPriority w:val="99"/>
    <w:locked/>
    <w:rsid w:val="00D92037"/>
    <w:rPr>
      <w:rFonts w:cs="Calibri"/>
      <w:sz w:val="22"/>
      <w:szCs w:val="22"/>
      <w:lang w:val="en-US" w:eastAsia="en-US" w:bidi="ar-SA"/>
    </w:rPr>
  </w:style>
  <w:style w:type="paragraph" w:customStyle="1" w:styleId="MediumGrid1-Accent21">
    <w:name w:val="Medium Grid 1 - Accent 21"/>
    <w:basedOn w:val="Normal"/>
    <w:uiPriority w:val="99"/>
    <w:qFormat/>
    <w:rsid w:val="00D92037"/>
    <w:pPr>
      <w:ind w:left="720"/>
    </w:pPr>
  </w:style>
  <w:style w:type="paragraph" w:customStyle="1" w:styleId="TOCHeading1">
    <w:name w:val="TOC Heading1"/>
    <w:basedOn w:val="Heading1"/>
    <w:next w:val="Normal"/>
    <w:uiPriority w:val="99"/>
    <w:qFormat/>
    <w:rsid w:val="00D92037"/>
    <w:pPr>
      <w:outlineLvl w:val="9"/>
    </w:pPr>
    <w:rPr>
      <w:rFonts w:eastAsia="Times New Roman"/>
    </w:rPr>
  </w:style>
  <w:style w:type="paragraph" w:styleId="FootnoteText">
    <w:name w:val="footnote text"/>
    <w:basedOn w:val="Normal"/>
    <w:link w:val="FootnoteTextChar"/>
    <w:rsid w:val="005219E1"/>
    <w:rPr>
      <w:sz w:val="20"/>
      <w:szCs w:val="20"/>
    </w:rPr>
  </w:style>
  <w:style w:type="character" w:customStyle="1" w:styleId="FootnoteTextChar">
    <w:name w:val="Footnote Text Char"/>
    <w:link w:val="FootnoteText"/>
    <w:rsid w:val="005219E1"/>
    <w:rPr>
      <w:rFonts w:ascii="Times New Roman" w:eastAsia="Times New Roman" w:hAnsi="Times New Roman"/>
    </w:rPr>
  </w:style>
  <w:style w:type="character" w:styleId="FootnoteReference">
    <w:name w:val="footnote reference"/>
    <w:uiPriority w:val="99"/>
    <w:rsid w:val="005219E1"/>
    <w:rPr>
      <w:vertAlign w:val="superscript"/>
    </w:rPr>
  </w:style>
  <w:style w:type="character" w:customStyle="1" w:styleId="hit">
    <w:name w:val="hit"/>
    <w:basedOn w:val="DefaultParagraphFont"/>
    <w:rsid w:val="005219E1"/>
  </w:style>
  <w:style w:type="character" w:customStyle="1" w:styleId="SubtleEmphasis1">
    <w:name w:val="Subtle Emphasis1"/>
    <w:uiPriority w:val="19"/>
    <w:qFormat/>
    <w:rsid w:val="00526362"/>
    <w:rPr>
      <w:i/>
      <w:iCs/>
      <w:color w:val="808080"/>
    </w:rPr>
  </w:style>
  <w:style w:type="paragraph" w:customStyle="1" w:styleId="Header1">
    <w:name w:val="Header 1"/>
    <w:basedOn w:val="Normal"/>
    <w:link w:val="Header1Char"/>
    <w:qFormat/>
    <w:rsid w:val="006972B5"/>
    <w:pPr>
      <w:spacing w:line="480" w:lineRule="auto"/>
      <w:jc w:val="center"/>
    </w:pPr>
    <w:rPr>
      <w:caps/>
      <w:sz w:val="28"/>
      <w:szCs w:val="28"/>
    </w:rPr>
  </w:style>
  <w:style w:type="paragraph" w:customStyle="1" w:styleId="header2">
    <w:name w:val="header 2"/>
    <w:basedOn w:val="Normal"/>
    <w:link w:val="header2Char"/>
    <w:qFormat/>
    <w:rsid w:val="006972B5"/>
    <w:pPr>
      <w:spacing w:line="480" w:lineRule="auto"/>
      <w:jc w:val="both"/>
    </w:pPr>
    <w:rPr>
      <w:b/>
      <w:szCs w:val="26"/>
    </w:rPr>
  </w:style>
  <w:style w:type="character" w:customStyle="1" w:styleId="Header1Char">
    <w:name w:val="Header 1 Char"/>
    <w:link w:val="Header1"/>
    <w:rsid w:val="006972B5"/>
    <w:rPr>
      <w:rFonts w:ascii="Times New Roman" w:eastAsia="Times New Roman" w:hAnsi="Times New Roman"/>
      <w:caps/>
      <w:sz w:val="28"/>
      <w:szCs w:val="28"/>
    </w:rPr>
  </w:style>
  <w:style w:type="character" w:styleId="Hyperlink">
    <w:name w:val="Hyperlink"/>
    <w:uiPriority w:val="99"/>
    <w:unhideWhenUsed/>
    <w:rsid w:val="00B140DB"/>
    <w:rPr>
      <w:color w:val="0000FF"/>
      <w:u w:val="single"/>
    </w:rPr>
  </w:style>
  <w:style w:type="character" w:customStyle="1" w:styleId="header2Char">
    <w:name w:val="header 2 Char"/>
    <w:link w:val="header2"/>
    <w:rsid w:val="006972B5"/>
    <w:rPr>
      <w:rFonts w:ascii="Times New Roman" w:eastAsia="Times New Roman" w:hAnsi="Times New Roman"/>
      <w:b/>
      <w:sz w:val="24"/>
      <w:szCs w:val="26"/>
    </w:rPr>
  </w:style>
  <w:style w:type="character" w:customStyle="1" w:styleId="verdana">
    <w:name w:val="verdana"/>
    <w:basedOn w:val="DefaultParagraphFont"/>
    <w:rsid w:val="009874A2"/>
  </w:style>
  <w:style w:type="character" w:customStyle="1" w:styleId="st">
    <w:name w:val="st"/>
    <w:basedOn w:val="DefaultParagraphFont"/>
    <w:rsid w:val="00486C97"/>
  </w:style>
  <w:style w:type="character" w:customStyle="1" w:styleId="bibitemspan">
    <w:name w:val="bibitemspan"/>
    <w:basedOn w:val="DefaultParagraphFont"/>
    <w:rsid w:val="00EF63D9"/>
  </w:style>
  <w:style w:type="paragraph" w:customStyle="1" w:styleId="ColorfulList-Accent11">
    <w:name w:val="Colorful List - Accent 11"/>
    <w:basedOn w:val="Normal"/>
    <w:uiPriority w:val="34"/>
    <w:qFormat/>
    <w:rsid w:val="00772553"/>
    <w:pPr>
      <w:ind w:left="720"/>
      <w:contextualSpacing/>
    </w:pPr>
  </w:style>
  <w:style w:type="paragraph" w:styleId="Header">
    <w:name w:val="header"/>
    <w:basedOn w:val="Normal"/>
    <w:link w:val="HeaderChar"/>
    <w:uiPriority w:val="99"/>
    <w:unhideWhenUsed/>
    <w:rsid w:val="00496F5F"/>
    <w:pPr>
      <w:tabs>
        <w:tab w:val="center" w:pos="4513"/>
        <w:tab w:val="right" w:pos="9026"/>
      </w:tabs>
    </w:pPr>
  </w:style>
  <w:style w:type="character" w:customStyle="1" w:styleId="HeaderChar">
    <w:name w:val="Header Char"/>
    <w:basedOn w:val="DefaultParagraphFont"/>
    <w:link w:val="Header"/>
    <w:uiPriority w:val="99"/>
    <w:rsid w:val="00496F5F"/>
    <w:rPr>
      <w:rFonts w:ascii="Times New Roman" w:eastAsia="Times New Roman" w:hAnsi="Times New Roman"/>
      <w:sz w:val="24"/>
      <w:szCs w:val="24"/>
    </w:rPr>
  </w:style>
  <w:style w:type="paragraph" w:styleId="Footer">
    <w:name w:val="footer"/>
    <w:basedOn w:val="Normal"/>
    <w:link w:val="FooterChar"/>
    <w:uiPriority w:val="99"/>
    <w:unhideWhenUsed/>
    <w:rsid w:val="00496F5F"/>
    <w:pPr>
      <w:tabs>
        <w:tab w:val="center" w:pos="4513"/>
        <w:tab w:val="right" w:pos="9026"/>
      </w:tabs>
    </w:pPr>
  </w:style>
  <w:style w:type="character" w:customStyle="1" w:styleId="FooterChar">
    <w:name w:val="Footer Char"/>
    <w:basedOn w:val="DefaultParagraphFont"/>
    <w:link w:val="Footer"/>
    <w:uiPriority w:val="99"/>
    <w:rsid w:val="00496F5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E02A4"/>
    <w:rPr>
      <w:rFonts w:ascii="Tahoma" w:hAnsi="Tahoma" w:cs="Tahoma"/>
      <w:sz w:val="16"/>
      <w:szCs w:val="16"/>
    </w:rPr>
  </w:style>
  <w:style w:type="character" w:customStyle="1" w:styleId="BalloonTextChar">
    <w:name w:val="Balloon Text Char"/>
    <w:basedOn w:val="DefaultParagraphFont"/>
    <w:link w:val="BalloonText"/>
    <w:uiPriority w:val="99"/>
    <w:semiHidden/>
    <w:rsid w:val="003E02A4"/>
    <w:rPr>
      <w:rFonts w:ascii="Tahoma" w:eastAsia="Times New Roman" w:hAnsi="Tahoma" w:cs="Tahoma"/>
      <w:sz w:val="16"/>
      <w:szCs w:val="16"/>
    </w:rPr>
  </w:style>
  <w:style w:type="character" w:customStyle="1" w:styleId="srchlink">
    <w:name w:val="srch_link"/>
    <w:basedOn w:val="DefaultParagraphFont"/>
    <w:rsid w:val="005C5FD9"/>
  </w:style>
  <w:style w:type="character" w:styleId="FollowedHyperlink">
    <w:name w:val="FollowedHyperlink"/>
    <w:basedOn w:val="DefaultParagraphFont"/>
    <w:uiPriority w:val="99"/>
    <w:semiHidden/>
    <w:unhideWhenUsed/>
    <w:rsid w:val="00960802"/>
    <w:rPr>
      <w:color w:val="800080" w:themeColor="followedHyperlink"/>
      <w:u w:val="single"/>
    </w:rPr>
  </w:style>
  <w:style w:type="character" w:customStyle="1" w:styleId="searchterm">
    <w:name w:val="searchterm"/>
    <w:basedOn w:val="DefaultParagraphFont"/>
    <w:rsid w:val="00D12B63"/>
  </w:style>
  <w:style w:type="character" w:customStyle="1" w:styleId="lucenesearchresultmatchingurlb">
    <w:name w:val="lucene_search_result_matching_url_b"/>
    <w:basedOn w:val="DefaultParagraphFont"/>
    <w:rsid w:val="001617EC"/>
  </w:style>
  <w:style w:type="character" w:customStyle="1" w:styleId="legds">
    <w:name w:val="legds"/>
    <w:basedOn w:val="DefaultParagraphFont"/>
    <w:rsid w:val="00831C1C"/>
  </w:style>
  <w:style w:type="character" w:styleId="CommentReference">
    <w:name w:val="annotation reference"/>
    <w:basedOn w:val="DefaultParagraphFont"/>
    <w:uiPriority w:val="99"/>
    <w:semiHidden/>
    <w:unhideWhenUsed/>
    <w:rsid w:val="00290B1D"/>
    <w:rPr>
      <w:sz w:val="16"/>
      <w:szCs w:val="16"/>
    </w:rPr>
  </w:style>
  <w:style w:type="paragraph" w:styleId="CommentText">
    <w:name w:val="annotation text"/>
    <w:basedOn w:val="Normal"/>
    <w:link w:val="CommentTextChar"/>
    <w:uiPriority w:val="99"/>
    <w:semiHidden/>
    <w:unhideWhenUsed/>
    <w:rsid w:val="00290B1D"/>
    <w:rPr>
      <w:sz w:val="20"/>
      <w:szCs w:val="20"/>
    </w:rPr>
  </w:style>
  <w:style w:type="character" w:customStyle="1" w:styleId="CommentTextChar">
    <w:name w:val="Comment Text Char"/>
    <w:basedOn w:val="DefaultParagraphFont"/>
    <w:link w:val="CommentText"/>
    <w:uiPriority w:val="99"/>
    <w:semiHidden/>
    <w:rsid w:val="00290B1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90B1D"/>
    <w:rPr>
      <w:b/>
      <w:bCs/>
    </w:rPr>
  </w:style>
  <w:style w:type="character" w:customStyle="1" w:styleId="CommentSubjectChar">
    <w:name w:val="Comment Subject Char"/>
    <w:basedOn w:val="CommentTextChar"/>
    <w:link w:val="CommentSubject"/>
    <w:uiPriority w:val="99"/>
    <w:semiHidden/>
    <w:rsid w:val="00290B1D"/>
    <w:rPr>
      <w:rFonts w:ascii="Times New Roman" w:eastAsia="Times New Roman" w:hAnsi="Times New Roman"/>
      <w:b/>
      <w:bCs/>
    </w:rPr>
  </w:style>
  <w:style w:type="paragraph" w:styleId="Revision">
    <w:name w:val="Revision"/>
    <w:hidden/>
    <w:uiPriority w:val="99"/>
    <w:semiHidden/>
    <w:rsid w:val="004E1DA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57872">
      <w:bodyDiv w:val="1"/>
      <w:marLeft w:val="0"/>
      <w:marRight w:val="0"/>
      <w:marTop w:val="0"/>
      <w:marBottom w:val="0"/>
      <w:divBdr>
        <w:top w:val="none" w:sz="0" w:space="0" w:color="auto"/>
        <w:left w:val="none" w:sz="0" w:space="0" w:color="auto"/>
        <w:bottom w:val="none" w:sz="0" w:space="0" w:color="auto"/>
        <w:right w:val="none" w:sz="0" w:space="0" w:color="auto"/>
      </w:divBdr>
    </w:div>
    <w:div w:id="295530245">
      <w:bodyDiv w:val="1"/>
      <w:marLeft w:val="0"/>
      <w:marRight w:val="0"/>
      <w:marTop w:val="0"/>
      <w:marBottom w:val="0"/>
      <w:divBdr>
        <w:top w:val="none" w:sz="0" w:space="0" w:color="auto"/>
        <w:left w:val="none" w:sz="0" w:space="0" w:color="auto"/>
        <w:bottom w:val="none" w:sz="0" w:space="0" w:color="auto"/>
        <w:right w:val="none" w:sz="0" w:space="0" w:color="auto"/>
      </w:divBdr>
    </w:div>
    <w:div w:id="372001639">
      <w:bodyDiv w:val="1"/>
      <w:marLeft w:val="0"/>
      <w:marRight w:val="0"/>
      <w:marTop w:val="0"/>
      <w:marBottom w:val="0"/>
      <w:divBdr>
        <w:top w:val="none" w:sz="0" w:space="0" w:color="auto"/>
        <w:left w:val="none" w:sz="0" w:space="0" w:color="auto"/>
        <w:bottom w:val="none" w:sz="0" w:space="0" w:color="auto"/>
        <w:right w:val="none" w:sz="0" w:space="0" w:color="auto"/>
      </w:divBdr>
    </w:div>
    <w:div w:id="392897551">
      <w:bodyDiv w:val="1"/>
      <w:marLeft w:val="0"/>
      <w:marRight w:val="0"/>
      <w:marTop w:val="0"/>
      <w:marBottom w:val="0"/>
      <w:divBdr>
        <w:top w:val="none" w:sz="0" w:space="0" w:color="auto"/>
        <w:left w:val="none" w:sz="0" w:space="0" w:color="auto"/>
        <w:bottom w:val="none" w:sz="0" w:space="0" w:color="auto"/>
        <w:right w:val="none" w:sz="0" w:space="0" w:color="auto"/>
      </w:divBdr>
    </w:div>
    <w:div w:id="408961893">
      <w:bodyDiv w:val="1"/>
      <w:marLeft w:val="0"/>
      <w:marRight w:val="0"/>
      <w:marTop w:val="0"/>
      <w:marBottom w:val="0"/>
      <w:divBdr>
        <w:top w:val="none" w:sz="0" w:space="0" w:color="auto"/>
        <w:left w:val="none" w:sz="0" w:space="0" w:color="auto"/>
        <w:bottom w:val="none" w:sz="0" w:space="0" w:color="auto"/>
        <w:right w:val="none" w:sz="0" w:space="0" w:color="auto"/>
      </w:divBdr>
    </w:div>
    <w:div w:id="426577907">
      <w:bodyDiv w:val="1"/>
      <w:marLeft w:val="0"/>
      <w:marRight w:val="0"/>
      <w:marTop w:val="0"/>
      <w:marBottom w:val="0"/>
      <w:divBdr>
        <w:top w:val="none" w:sz="0" w:space="0" w:color="auto"/>
        <w:left w:val="none" w:sz="0" w:space="0" w:color="auto"/>
        <w:bottom w:val="none" w:sz="0" w:space="0" w:color="auto"/>
        <w:right w:val="none" w:sz="0" w:space="0" w:color="auto"/>
      </w:divBdr>
    </w:div>
    <w:div w:id="519397119">
      <w:bodyDiv w:val="1"/>
      <w:marLeft w:val="0"/>
      <w:marRight w:val="0"/>
      <w:marTop w:val="0"/>
      <w:marBottom w:val="0"/>
      <w:divBdr>
        <w:top w:val="none" w:sz="0" w:space="0" w:color="auto"/>
        <w:left w:val="none" w:sz="0" w:space="0" w:color="auto"/>
        <w:bottom w:val="none" w:sz="0" w:space="0" w:color="auto"/>
        <w:right w:val="none" w:sz="0" w:space="0" w:color="auto"/>
      </w:divBdr>
    </w:div>
    <w:div w:id="535822436">
      <w:bodyDiv w:val="1"/>
      <w:marLeft w:val="0"/>
      <w:marRight w:val="0"/>
      <w:marTop w:val="0"/>
      <w:marBottom w:val="0"/>
      <w:divBdr>
        <w:top w:val="none" w:sz="0" w:space="0" w:color="auto"/>
        <w:left w:val="none" w:sz="0" w:space="0" w:color="auto"/>
        <w:bottom w:val="none" w:sz="0" w:space="0" w:color="auto"/>
        <w:right w:val="none" w:sz="0" w:space="0" w:color="auto"/>
      </w:divBdr>
    </w:div>
    <w:div w:id="598952641">
      <w:bodyDiv w:val="1"/>
      <w:marLeft w:val="0"/>
      <w:marRight w:val="0"/>
      <w:marTop w:val="0"/>
      <w:marBottom w:val="0"/>
      <w:divBdr>
        <w:top w:val="none" w:sz="0" w:space="0" w:color="auto"/>
        <w:left w:val="none" w:sz="0" w:space="0" w:color="auto"/>
        <w:bottom w:val="none" w:sz="0" w:space="0" w:color="auto"/>
        <w:right w:val="none" w:sz="0" w:space="0" w:color="auto"/>
      </w:divBdr>
    </w:div>
    <w:div w:id="614675217">
      <w:bodyDiv w:val="1"/>
      <w:marLeft w:val="0"/>
      <w:marRight w:val="0"/>
      <w:marTop w:val="0"/>
      <w:marBottom w:val="0"/>
      <w:divBdr>
        <w:top w:val="none" w:sz="0" w:space="0" w:color="auto"/>
        <w:left w:val="none" w:sz="0" w:space="0" w:color="auto"/>
        <w:bottom w:val="none" w:sz="0" w:space="0" w:color="auto"/>
        <w:right w:val="none" w:sz="0" w:space="0" w:color="auto"/>
      </w:divBdr>
    </w:div>
    <w:div w:id="660158852">
      <w:bodyDiv w:val="1"/>
      <w:marLeft w:val="0"/>
      <w:marRight w:val="0"/>
      <w:marTop w:val="0"/>
      <w:marBottom w:val="0"/>
      <w:divBdr>
        <w:top w:val="none" w:sz="0" w:space="0" w:color="auto"/>
        <w:left w:val="none" w:sz="0" w:space="0" w:color="auto"/>
        <w:bottom w:val="none" w:sz="0" w:space="0" w:color="auto"/>
        <w:right w:val="none" w:sz="0" w:space="0" w:color="auto"/>
      </w:divBdr>
    </w:div>
    <w:div w:id="679088971">
      <w:bodyDiv w:val="1"/>
      <w:marLeft w:val="0"/>
      <w:marRight w:val="0"/>
      <w:marTop w:val="0"/>
      <w:marBottom w:val="0"/>
      <w:divBdr>
        <w:top w:val="none" w:sz="0" w:space="0" w:color="auto"/>
        <w:left w:val="none" w:sz="0" w:space="0" w:color="auto"/>
        <w:bottom w:val="none" w:sz="0" w:space="0" w:color="auto"/>
        <w:right w:val="none" w:sz="0" w:space="0" w:color="auto"/>
      </w:divBdr>
    </w:div>
    <w:div w:id="849680748">
      <w:bodyDiv w:val="1"/>
      <w:marLeft w:val="0"/>
      <w:marRight w:val="0"/>
      <w:marTop w:val="0"/>
      <w:marBottom w:val="0"/>
      <w:divBdr>
        <w:top w:val="none" w:sz="0" w:space="0" w:color="auto"/>
        <w:left w:val="none" w:sz="0" w:space="0" w:color="auto"/>
        <w:bottom w:val="none" w:sz="0" w:space="0" w:color="auto"/>
        <w:right w:val="none" w:sz="0" w:space="0" w:color="auto"/>
      </w:divBdr>
    </w:div>
    <w:div w:id="1150825581">
      <w:bodyDiv w:val="1"/>
      <w:marLeft w:val="0"/>
      <w:marRight w:val="0"/>
      <w:marTop w:val="0"/>
      <w:marBottom w:val="0"/>
      <w:divBdr>
        <w:top w:val="none" w:sz="0" w:space="0" w:color="auto"/>
        <w:left w:val="none" w:sz="0" w:space="0" w:color="auto"/>
        <w:bottom w:val="none" w:sz="0" w:space="0" w:color="auto"/>
        <w:right w:val="none" w:sz="0" w:space="0" w:color="auto"/>
      </w:divBdr>
    </w:div>
    <w:div w:id="1220243408">
      <w:bodyDiv w:val="1"/>
      <w:marLeft w:val="0"/>
      <w:marRight w:val="0"/>
      <w:marTop w:val="0"/>
      <w:marBottom w:val="0"/>
      <w:divBdr>
        <w:top w:val="none" w:sz="0" w:space="0" w:color="auto"/>
        <w:left w:val="none" w:sz="0" w:space="0" w:color="auto"/>
        <w:bottom w:val="none" w:sz="0" w:space="0" w:color="auto"/>
        <w:right w:val="none" w:sz="0" w:space="0" w:color="auto"/>
      </w:divBdr>
    </w:div>
    <w:div w:id="1228539758">
      <w:bodyDiv w:val="1"/>
      <w:marLeft w:val="0"/>
      <w:marRight w:val="0"/>
      <w:marTop w:val="0"/>
      <w:marBottom w:val="0"/>
      <w:divBdr>
        <w:top w:val="none" w:sz="0" w:space="0" w:color="auto"/>
        <w:left w:val="none" w:sz="0" w:space="0" w:color="auto"/>
        <w:bottom w:val="none" w:sz="0" w:space="0" w:color="auto"/>
        <w:right w:val="none" w:sz="0" w:space="0" w:color="auto"/>
      </w:divBdr>
    </w:div>
    <w:div w:id="1234464372">
      <w:bodyDiv w:val="1"/>
      <w:marLeft w:val="0"/>
      <w:marRight w:val="0"/>
      <w:marTop w:val="0"/>
      <w:marBottom w:val="0"/>
      <w:divBdr>
        <w:top w:val="none" w:sz="0" w:space="0" w:color="auto"/>
        <w:left w:val="none" w:sz="0" w:space="0" w:color="auto"/>
        <w:bottom w:val="none" w:sz="0" w:space="0" w:color="auto"/>
        <w:right w:val="none" w:sz="0" w:space="0" w:color="auto"/>
      </w:divBdr>
    </w:div>
    <w:div w:id="1294218452">
      <w:bodyDiv w:val="1"/>
      <w:marLeft w:val="0"/>
      <w:marRight w:val="0"/>
      <w:marTop w:val="0"/>
      <w:marBottom w:val="0"/>
      <w:divBdr>
        <w:top w:val="none" w:sz="0" w:space="0" w:color="auto"/>
        <w:left w:val="none" w:sz="0" w:space="0" w:color="auto"/>
        <w:bottom w:val="none" w:sz="0" w:space="0" w:color="auto"/>
        <w:right w:val="none" w:sz="0" w:space="0" w:color="auto"/>
      </w:divBdr>
    </w:div>
    <w:div w:id="1436098286">
      <w:bodyDiv w:val="1"/>
      <w:marLeft w:val="0"/>
      <w:marRight w:val="0"/>
      <w:marTop w:val="0"/>
      <w:marBottom w:val="0"/>
      <w:divBdr>
        <w:top w:val="none" w:sz="0" w:space="0" w:color="auto"/>
        <w:left w:val="none" w:sz="0" w:space="0" w:color="auto"/>
        <w:bottom w:val="none" w:sz="0" w:space="0" w:color="auto"/>
        <w:right w:val="none" w:sz="0" w:space="0" w:color="auto"/>
      </w:divBdr>
      <w:divsChild>
        <w:div w:id="770590897">
          <w:marLeft w:val="360"/>
          <w:marRight w:val="0"/>
          <w:marTop w:val="120"/>
          <w:marBottom w:val="120"/>
          <w:divBdr>
            <w:top w:val="none" w:sz="0" w:space="0" w:color="auto"/>
            <w:left w:val="none" w:sz="0" w:space="0" w:color="auto"/>
            <w:bottom w:val="none" w:sz="0" w:space="0" w:color="auto"/>
            <w:right w:val="none" w:sz="0" w:space="0" w:color="auto"/>
          </w:divBdr>
        </w:div>
      </w:divsChild>
    </w:div>
    <w:div w:id="1458337491">
      <w:bodyDiv w:val="1"/>
      <w:marLeft w:val="0"/>
      <w:marRight w:val="0"/>
      <w:marTop w:val="0"/>
      <w:marBottom w:val="0"/>
      <w:divBdr>
        <w:top w:val="none" w:sz="0" w:space="0" w:color="auto"/>
        <w:left w:val="none" w:sz="0" w:space="0" w:color="auto"/>
        <w:bottom w:val="none" w:sz="0" w:space="0" w:color="auto"/>
        <w:right w:val="none" w:sz="0" w:space="0" w:color="auto"/>
      </w:divBdr>
    </w:div>
    <w:div w:id="1600525552">
      <w:bodyDiv w:val="1"/>
      <w:marLeft w:val="0"/>
      <w:marRight w:val="0"/>
      <w:marTop w:val="0"/>
      <w:marBottom w:val="0"/>
      <w:divBdr>
        <w:top w:val="none" w:sz="0" w:space="0" w:color="auto"/>
        <w:left w:val="none" w:sz="0" w:space="0" w:color="auto"/>
        <w:bottom w:val="none" w:sz="0" w:space="0" w:color="auto"/>
        <w:right w:val="none" w:sz="0" w:space="0" w:color="auto"/>
      </w:divBdr>
    </w:div>
    <w:div w:id="1800294449">
      <w:bodyDiv w:val="1"/>
      <w:marLeft w:val="0"/>
      <w:marRight w:val="0"/>
      <w:marTop w:val="0"/>
      <w:marBottom w:val="0"/>
      <w:divBdr>
        <w:top w:val="none" w:sz="0" w:space="0" w:color="auto"/>
        <w:left w:val="none" w:sz="0" w:space="0" w:color="auto"/>
        <w:bottom w:val="none" w:sz="0" w:space="0" w:color="auto"/>
        <w:right w:val="none" w:sz="0" w:space="0" w:color="auto"/>
      </w:divBdr>
    </w:div>
    <w:div w:id="1831215626">
      <w:bodyDiv w:val="1"/>
      <w:marLeft w:val="0"/>
      <w:marRight w:val="0"/>
      <w:marTop w:val="0"/>
      <w:marBottom w:val="0"/>
      <w:divBdr>
        <w:top w:val="none" w:sz="0" w:space="0" w:color="auto"/>
        <w:left w:val="none" w:sz="0" w:space="0" w:color="auto"/>
        <w:bottom w:val="none" w:sz="0" w:space="0" w:color="auto"/>
        <w:right w:val="none" w:sz="0" w:space="0" w:color="auto"/>
      </w:divBdr>
    </w:div>
    <w:div w:id="1846091227">
      <w:bodyDiv w:val="1"/>
      <w:marLeft w:val="0"/>
      <w:marRight w:val="0"/>
      <w:marTop w:val="0"/>
      <w:marBottom w:val="0"/>
      <w:divBdr>
        <w:top w:val="none" w:sz="0" w:space="0" w:color="auto"/>
        <w:left w:val="none" w:sz="0" w:space="0" w:color="auto"/>
        <w:bottom w:val="none" w:sz="0" w:space="0" w:color="auto"/>
        <w:right w:val="none" w:sz="0" w:space="0" w:color="auto"/>
      </w:divBdr>
    </w:div>
    <w:div w:id="1968851178">
      <w:bodyDiv w:val="1"/>
      <w:marLeft w:val="0"/>
      <w:marRight w:val="0"/>
      <w:marTop w:val="0"/>
      <w:marBottom w:val="0"/>
      <w:divBdr>
        <w:top w:val="none" w:sz="0" w:space="0" w:color="auto"/>
        <w:left w:val="none" w:sz="0" w:space="0" w:color="auto"/>
        <w:bottom w:val="none" w:sz="0" w:space="0" w:color="auto"/>
        <w:right w:val="none" w:sz="0" w:space="0" w:color="auto"/>
      </w:divBdr>
    </w:div>
    <w:div w:id="209323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d.salmons@as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2661E-F002-4553-B0F8-252265325A79}">
  <ds:schemaRefs>
    <ds:schemaRef ds:uri="http://schemas.openxmlformats.org/officeDocument/2006/bibliography"/>
  </ds:schemaRefs>
</ds:datastoreItem>
</file>

<file path=customXml/itemProps2.xml><?xml version="1.0" encoding="utf-8"?>
<ds:datastoreItem xmlns:ds="http://schemas.openxmlformats.org/officeDocument/2006/customXml" ds:itemID="{16EB9B34-2B01-4A45-BF93-4AF5867B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11915</Words>
  <Characters>67917</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2018-06-22T08:57:00Z</dcterms:created>
  <dcterms:modified xsi:type="dcterms:W3CDTF">2018-06-22T08:57:00Z</dcterms:modified>
</cp:coreProperties>
</file>