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60573E" w14:textId="2E7E5A21" w:rsidR="0076503E" w:rsidRPr="00CD265B" w:rsidRDefault="00470292" w:rsidP="00861B03">
      <w:pPr>
        <w:spacing w:line="480" w:lineRule="auto"/>
        <w:jc w:val="both"/>
        <w:rPr>
          <w:b/>
          <w:bCs/>
          <w:szCs w:val="32"/>
        </w:rPr>
      </w:pPr>
      <w:bookmarkStart w:id="0" w:name="_Hlk514653784"/>
      <w:bookmarkStart w:id="1" w:name="_GoBack"/>
      <w:bookmarkEnd w:id="1"/>
      <w:r w:rsidRPr="00CD265B">
        <w:rPr>
          <w:b/>
          <w:bCs/>
          <w:szCs w:val="32"/>
        </w:rPr>
        <w:t xml:space="preserve">Managing Risk in </w:t>
      </w:r>
      <w:r w:rsidR="009C15F9" w:rsidRPr="00CD265B">
        <w:rPr>
          <w:b/>
          <w:bCs/>
          <w:szCs w:val="32"/>
        </w:rPr>
        <w:t>St</w:t>
      </w:r>
      <w:r w:rsidRPr="00CD265B">
        <w:rPr>
          <w:b/>
          <w:bCs/>
          <w:szCs w:val="32"/>
        </w:rPr>
        <w:t>rategic Sourcing</w:t>
      </w:r>
      <w:r w:rsidR="0076503E" w:rsidRPr="00CD265B">
        <w:rPr>
          <w:b/>
          <w:bCs/>
          <w:szCs w:val="32"/>
        </w:rPr>
        <w:t xml:space="preserve">: </w:t>
      </w:r>
      <w:r w:rsidR="009C15F9" w:rsidRPr="00CD265B">
        <w:rPr>
          <w:b/>
          <w:bCs/>
          <w:szCs w:val="32"/>
        </w:rPr>
        <w:t>A Cross-</w:t>
      </w:r>
      <w:r w:rsidR="001E1ABC" w:rsidRPr="00CD265B">
        <w:rPr>
          <w:b/>
          <w:bCs/>
          <w:szCs w:val="32"/>
        </w:rPr>
        <w:t>Sectional</w:t>
      </w:r>
      <w:r w:rsidR="00A93745" w:rsidRPr="00CD265B">
        <w:rPr>
          <w:b/>
          <w:bCs/>
          <w:szCs w:val="32"/>
        </w:rPr>
        <w:t xml:space="preserve"> </w:t>
      </w:r>
      <w:r w:rsidR="009C15F9" w:rsidRPr="00CD265B">
        <w:rPr>
          <w:b/>
          <w:bCs/>
          <w:szCs w:val="32"/>
        </w:rPr>
        <w:t>and Multi-National Case Study</w:t>
      </w:r>
    </w:p>
    <w:bookmarkEnd w:id="0"/>
    <w:p w14:paraId="17FFD70B" w14:textId="77777777" w:rsidR="0076503E" w:rsidRPr="00CD265B" w:rsidRDefault="0076503E" w:rsidP="00861B03">
      <w:pPr>
        <w:spacing w:line="480" w:lineRule="auto"/>
        <w:jc w:val="both"/>
      </w:pPr>
    </w:p>
    <w:p w14:paraId="52B2FD06" w14:textId="675846F3" w:rsidR="001D10A3" w:rsidRPr="00CD265B" w:rsidRDefault="001D10A3" w:rsidP="00861B03">
      <w:pPr>
        <w:spacing w:line="480" w:lineRule="auto"/>
        <w:jc w:val="both"/>
      </w:pPr>
      <w:r w:rsidRPr="00CD265B">
        <w:t>Martin Kotula</w:t>
      </w:r>
      <w:r w:rsidRPr="00CD265B">
        <w:rPr>
          <w:vertAlign w:val="superscript"/>
        </w:rPr>
        <w:t>1</w:t>
      </w:r>
      <w:r w:rsidRPr="00CD265B">
        <w:t>, William Ho</w:t>
      </w:r>
      <w:r w:rsidRPr="00CD265B">
        <w:rPr>
          <w:vertAlign w:val="superscript"/>
        </w:rPr>
        <w:t>2</w:t>
      </w:r>
      <w:r w:rsidRPr="00CD265B">
        <w:t>, Sri</w:t>
      </w:r>
      <w:r w:rsidR="003A19C2">
        <w:t>nivas</w:t>
      </w:r>
      <w:r w:rsidRPr="00CD265B">
        <w:t xml:space="preserve"> Talluri</w:t>
      </w:r>
      <w:r w:rsidRPr="00CD265B">
        <w:rPr>
          <w:vertAlign w:val="superscript"/>
        </w:rPr>
        <w:t>2, 3</w:t>
      </w:r>
      <w:r w:rsidRPr="00CD265B">
        <w:t>, Prasanta Dey</w:t>
      </w:r>
      <w:r w:rsidRPr="00CD265B">
        <w:rPr>
          <w:vertAlign w:val="superscript"/>
        </w:rPr>
        <w:t>1</w:t>
      </w:r>
      <w:r w:rsidRPr="00CD265B">
        <w:t>, and Xin Ma</w:t>
      </w:r>
      <w:r w:rsidRPr="00CD265B">
        <w:rPr>
          <w:vertAlign w:val="superscript"/>
        </w:rPr>
        <w:t>4</w:t>
      </w:r>
    </w:p>
    <w:p w14:paraId="38EBD17C" w14:textId="3D36DB42" w:rsidR="001D10A3" w:rsidRPr="00CD265B" w:rsidRDefault="001D10A3" w:rsidP="002946F5">
      <w:pPr>
        <w:spacing w:line="360" w:lineRule="auto"/>
        <w:jc w:val="both"/>
        <w:rPr>
          <w:i/>
        </w:rPr>
      </w:pPr>
      <w:r w:rsidRPr="00CD265B">
        <w:rPr>
          <w:i/>
          <w:vertAlign w:val="superscript"/>
        </w:rPr>
        <w:t>1</w:t>
      </w:r>
      <w:r w:rsidRPr="00CD265B">
        <w:rPr>
          <w:i/>
        </w:rPr>
        <w:t>Aston University</w:t>
      </w:r>
    </w:p>
    <w:p w14:paraId="01ABF732" w14:textId="45358E02" w:rsidR="001D10A3" w:rsidRPr="00CD265B" w:rsidRDefault="001D10A3" w:rsidP="002946F5">
      <w:pPr>
        <w:spacing w:line="360" w:lineRule="auto"/>
        <w:jc w:val="both"/>
        <w:rPr>
          <w:i/>
        </w:rPr>
      </w:pPr>
      <w:r w:rsidRPr="00CD265B">
        <w:rPr>
          <w:i/>
          <w:vertAlign w:val="superscript"/>
        </w:rPr>
        <w:t>2</w:t>
      </w:r>
      <w:r w:rsidRPr="00CD265B">
        <w:rPr>
          <w:i/>
        </w:rPr>
        <w:t>The University of Melbourne</w:t>
      </w:r>
    </w:p>
    <w:p w14:paraId="7C863F41" w14:textId="368F4B6A" w:rsidR="001D10A3" w:rsidRPr="00CD265B" w:rsidRDefault="001D10A3" w:rsidP="002946F5">
      <w:pPr>
        <w:spacing w:line="360" w:lineRule="auto"/>
        <w:jc w:val="both"/>
        <w:rPr>
          <w:i/>
        </w:rPr>
      </w:pPr>
      <w:r w:rsidRPr="00CD265B">
        <w:rPr>
          <w:i/>
          <w:vertAlign w:val="superscript"/>
        </w:rPr>
        <w:t>3</w:t>
      </w:r>
      <w:r w:rsidRPr="00CD265B">
        <w:rPr>
          <w:i/>
        </w:rPr>
        <w:t>Michigan State University</w:t>
      </w:r>
    </w:p>
    <w:p w14:paraId="3295C40F" w14:textId="3CEDFFDA" w:rsidR="001D10A3" w:rsidRPr="00CD265B" w:rsidRDefault="001D10A3" w:rsidP="002946F5">
      <w:pPr>
        <w:spacing w:line="360" w:lineRule="auto"/>
        <w:jc w:val="both"/>
      </w:pPr>
      <w:r w:rsidRPr="00CD265B">
        <w:rPr>
          <w:i/>
          <w:vertAlign w:val="superscript"/>
        </w:rPr>
        <w:t>4</w:t>
      </w:r>
      <w:r w:rsidR="00C83984" w:rsidRPr="00CD265B">
        <w:rPr>
          <w:i/>
        </w:rPr>
        <w:t>Monash University</w:t>
      </w:r>
    </w:p>
    <w:p w14:paraId="40546267" w14:textId="77777777" w:rsidR="001D10A3" w:rsidRPr="00CD265B" w:rsidRDefault="001D10A3" w:rsidP="00861B03">
      <w:pPr>
        <w:spacing w:line="480" w:lineRule="auto"/>
        <w:jc w:val="both"/>
        <w:rPr>
          <w:b/>
          <w:bCs/>
        </w:rPr>
      </w:pPr>
      <w:bookmarkStart w:id="2" w:name="_Toc250490335"/>
      <w:bookmarkStart w:id="3" w:name="_Toc255589316"/>
    </w:p>
    <w:p w14:paraId="647D0246" w14:textId="71859FD7" w:rsidR="007F5FE2" w:rsidRPr="00CD265B" w:rsidRDefault="008E3A43" w:rsidP="00861B03">
      <w:pPr>
        <w:autoSpaceDE w:val="0"/>
        <w:autoSpaceDN w:val="0"/>
        <w:adjustRightInd w:val="0"/>
        <w:spacing w:line="480" w:lineRule="auto"/>
        <w:jc w:val="both"/>
      </w:pPr>
      <w:r w:rsidRPr="00CD265B">
        <w:rPr>
          <w:b/>
          <w:lang w:eastAsia="zh-TW"/>
        </w:rPr>
        <w:t>Abstract –</w:t>
      </w:r>
      <w:r w:rsidRPr="00CD265B">
        <w:rPr>
          <w:lang w:eastAsia="zh-TW"/>
        </w:rPr>
        <w:t xml:space="preserve"> </w:t>
      </w:r>
      <w:r w:rsidR="00A4176F">
        <w:rPr>
          <w:lang w:eastAsia="zh-TW"/>
        </w:rPr>
        <w:t xml:space="preserve">While risk management in supply chains is continuing to receive significant attention in </w:t>
      </w:r>
      <w:r w:rsidR="001C6C02">
        <w:rPr>
          <w:lang w:eastAsia="zh-TW"/>
        </w:rPr>
        <w:t xml:space="preserve">the </w:t>
      </w:r>
      <w:r w:rsidR="00A4176F">
        <w:rPr>
          <w:lang w:eastAsia="zh-TW"/>
        </w:rPr>
        <w:t xml:space="preserve">extant literature, research on risk aspects relating to strategic sourcing across various industry sectors </w:t>
      </w:r>
      <w:r w:rsidR="001C6C02">
        <w:rPr>
          <w:lang w:eastAsia="zh-TW"/>
        </w:rPr>
        <w:t xml:space="preserve">from a </w:t>
      </w:r>
      <w:r w:rsidR="00A4176F">
        <w:rPr>
          <w:lang w:eastAsia="zh-TW"/>
        </w:rPr>
        <w:t xml:space="preserve">multi-national perspective is scant.  </w:t>
      </w:r>
      <w:r w:rsidR="005E43ED">
        <w:t xml:space="preserve">Based on </w:t>
      </w:r>
      <w:r w:rsidR="00B05FB0">
        <w:t>20</w:t>
      </w:r>
      <w:r w:rsidR="005E43ED">
        <w:t xml:space="preserve"> case companies in the construction and electronics sectors in Germany and the United Kingdom</w:t>
      </w:r>
      <w:r w:rsidR="00B05FB0">
        <w:t xml:space="preserve"> (UK)</w:t>
      </w:r>
      <w:r w:rsidR="005E43ED">
        <w:t xml:space="preserve">, this paper </w:t>
      </w:r>
      <w:r w:rsidR="00A4176F">
        <w:t xml:space="preserve">undertakes </w:t>
      </w:r>
      <w:r w:rsidR="001C6C02">
        <w:t xml:space="preserve">a comparative evaluation </w:t>
      </w:r>
      <w:r w:rsidR="005E43ED">
        <w:t xml:space="preserve">of strategic sourcing risk management practices.  </w:t>
      </w:r>
      <w:r w:rsidR="001F148F" w:rsidRPr="00CD265B">
        <w:t xml:space="preserve">We find that </w:t>
      </w:r>
      <w:r w:rsidR="001F148F" w:rsidRPr="00CD265B">
        <w:rPr>
          <w:lang w:eastAsia="zh-TW"/>
        </w:rPr>
        <w:t>r</w:t>
      </w:r>
      <w:r w:rsidR="001E49CE" w:rsidRPr="00CD265B">
        <w:rPr>
          <w:lang w:eastAsia="zh-TW"/>
        </w:rPr>
        <w:t>isk management has not been adopted fully across industries and countries f</w:t>
      </w:r>
      <w:r w:rsidR="00217AE9">
        <w:rPr>
          <w:lang w:eastAsia="zh-TW"/>
        </w:rPr>
        <w:t>rom</w:t>
      </w:r>
      <w:r w:rsidR="001E49CE" w:rsidRPr="00CD265B">
        <w:rPr>
          <w:lang w:eastAsia="zh-TW"/>
        </w:rPr>
        <w:t xml:space="preserve"> </w:t>
      </w:r>
      <w:r w:rsidR="005E43ED">
        <w:rPr>
          <w:lang w:eastAsia="zh-TW"/>
        </w:rPr>
        <w:t xml:space="preserve">a </w:t>
      </w:r>
      <w:r w:rsidR="001E49CE" w:rsidRPr="00CD265B">
        <w:rPr>
          <w:lang w:eastAsia="zh-TW"/>
        </w:rPr>
        <w:t xml:space="preserve">strategic sourcing </w:t>
      </w:r>
      <w:r w:rsidR="005E43ED">
        <w:rPr>
          <w:lang w:eastAsia="zh-TW"/>
        </w:rPr>
        <w:t xml:space="preserve">perspective and that </w:t>
      </w:r>
      <w:r w:rsidR="00EE5DE8">
        <w:rPr>
          <w:lang w:eastAsia="zh-TW"/>
        </w:rPr>
        <w:t xml:space="preserve">differences exist with respect to risk factors considered, methods adopted to analyse risk, and impact on business performance.  </w:t>
      </w:r>
      <w:r w:rsidR="001F148F" w:rsidRPr="00CD265B">
        <w:t xml:space="preserve">Our research presents several significant and useful insights for </w:t>
      </w:r>
      <w:r w:rsidR="003A1B2C" w:rsidRPr="00CD265B">
        <w:t xml:space="preserve">managing </w:t>
      </w:r>
      <w:r w:rsidR="00EE5DE8">
        <w:t xml:space="preserve">risks in </w:t>
      </w:r>
      <w:r w:rsidR="003A1B2C" w:rsidRPr="00CD265B">
        <w:t>strategic sourcing</w:t>
      </w:r>
      <w:r w:rsidR="00EE5DE8">
        <w:t>.</w:t>
      </w:r>
    </w:p>
    <w:p w14:paraId="2ACD2F17" w14:textId="77777777" w:rsidR="006E25DB" w:rsidRPr="00CD265B" w:rsidRDefault="006E25DB" w:rsidP="00861B03">
      <w:pPr>
        <w:spacing w:line="480" w:lineRule="auto"/>
        <w:jc w:val="both"/>
      </w:pPr>
    </w:p>
    <w:p w14:paraId="47006554" w14:textId="0538C60B" w:rsidR="0076503E" w:rsidRPr="00CD265B" w:rsidRDefault="006E25DB" w:rsidP="00861B03">
      <w:pPr>
        <w:spacing w:line="480" w:lineRule="auto"/>
        <w:jc w:val="both"/>
      </w:pPr>
      <w:r w:rsidRPr="00CD265B">
        <w:rPr>
          <w:b/>
          <w:bCs/>
          <w:i/>
        </w:rPr>
        <w:t>Key</w:t>
      </w:r>
      <w:r w:rsidR="008E3A43" w:rsidRPr="00CD265B">
        <w:rPr>
          <w:b/>
          <w:bCs/>
          <w:i/>
        </w:rPr>
        <w:t xml:space="preserve"> </w:t>
      </w:r>
      <w:r w:rsidRPr="00CD265B">
        <w:rPr>
          <w:b/>
          <w:bCs/>
          <w:i/>
        </w:rPr>
        <w:t>words:</w:t>
      </w:r>
      <w:r w:rsidRPr="00CD265B">
        <w:rPr>
          <w:i/>
        </w:rPr>
        <w:t xml:space="preserve"> </w:t>
      </w:r>
      <w:r w:rsidR="008E3A43" w:rsidRPr="00CD265B">
        <w:rPr>
          <w:bCs/>
        </w:rPr>
        <w:t>S</w:t>
      </w:r>
      <w:r w:rsidR="007F22A5" w:rsidRPr="00CD265B">
        <w:rPr>
          <w:bCs/>
        </w:rPr>
        <w:t>trategic sourcing</w:t>
      </w:r>
      <w:r w:rsidR="008E3A43" w:rsidRPr="00CD265B">
        <w:rPr>
          <w:bCs/>
        </w:rPr>
        <w:t>,</w:t>
      </w:r>
      <w:r w:rsidR="007F22A5" w:rsidRPr="00CD265B">
        <w:rPr>
          <w:bCs/>
        </w:rPr>
        <w:t xml:space="preserve"> </w:t>
      </w:r>
      <w:r w:rsidR="001F148F" w:rsidRPr="00CD265B">
        <w:rPr>
          <w:bCs/>
        </w:rPr>
        <w:t>r</w:t>
      </w:r>
      <w:r w:rsidR="007F22A5" w:rsidRPr="00CD265B">
        <w:rPr>
          <w:bCs/>
        </w:rPr>
        <w:t>isk management</w:t>
      </w:r>
      <w:r w:rsidR="008E3A43" w:rsidRPr="00CD265B">
        <w:rPr>
          <w:bCs/>
        </w:rPr>
        <w:t>,</w:t>
      </w:r>
      <w:r w:rsidR="007F22A5" w:rsidRPr="00CD265B">
        <w:rPr>
          <w:bCs/>
        </w:rPr>
        <w:t xml:space="preserve"> </w:t>
      </w:r>
      <w:r w:rsidR="001F148F" w:rsidRPr="00CD265B">
        <w:rPr>
          <w:bCs/>
        </w:rPr>
        <w:t>c</w:t>
      </w:r>
      <w:r w:rsidR="007F22A5" w:rsidRPr="00CD265B">
        <w:rPr>
          <w:bCs/>
        </w:rPr>
        <w:t>onstruction</w:t>
      </w:r>
      <w:r w:rsidR="008E3A43" w:rsidRPr="00CD265B">
        <w:rPr>
          <w:bCs/>
        </w:rPr>
        <w:t>,</w:t>
      </w:r>
      <w:r w:rsidR="007F22A5" w:rsidRPr="00CD265B">
        <w:rPr>
          <w:bCs/>
        </w:rPr>
        <w:t xml:space="preserve"> </w:t>
      </w:r>
      <w:r w:rsidR="001F148F" w:rsidRPr="00CD265B">
        <w:rPr>
          <w:bCs/>
        </w:rPr>
        <w:t>e</w:t>
      </w:r>
      <w:r w:rsidR="007F22A5" w:rsidRPr="00CD265B">
        <w:rPr>
          <w:bCs/>
        </w:rPr>
        <w:t>lectronics manufacturing</w:t>
      </w:r>
      <w:r w:rsidR="008E3A43" w:rsidRPr="00CD265B">
        <w:rPr>
          <w:bCs/>
        </w:rPr>
        <w:t>,</w:t>
      </w:r>
      <w:r w:rsidR="007F22A5" w:rsidRPr="00CD265B">
        <w:rPr>
          <w:bCs/>
        </w:rPr>
        <w:t xml:space="preserve"> Germany</w:t>
      </w:r>
      <w:r w:rsidR="008E3A43" w:rsidRPr="00CD265B">
        <w:rPr>
          <w:bCs/>
        </w:rPr>
        <w:t>,</w:t>
      </w:r>
      <w:r w:rsidR="007F22A5" w:rsidRPr="00CD265B">
        <w:rPr>
          <w:bCs/>
        </w:rPr>
        <w:t xml:space="preserve"> United Kingdom</w:t>
      </w:r>
      <w:r w:rsidR="0076503E" w:rsidRPr="00CD265B">
        <w:br w:type="page"/>
      </w:r>
    </w:p>
    <w:bookmarkEnd w:id="2"/>
    <w:bookmarkEnd w:id="3"/>
    <w:p w14:paraId="753C2459" w14:textId="31B6AFAC" w:rsidR="00D25791" w:rsidRPr="00CD265B" w:rsidRDefault="008E3A43" w:rsidP="00861B03">
      <w:pPr>
        <w:spacing w:line="480" w:lineRule="auto"/>
        <w:outlineLvl w:val="0"/>
        <w:rPr>
          <w:b/>
        </w:rPr>
      </w:pPr>
      <w:r w:rsidRPr="00CD265B">
        <w:rPr>
          <w:b/>
        </w:rPr>
        <w:lastRenderedPageBreak/>
        <w:t xml:space="preserve">1. </w:t>
      </w:r>
      <w:r w:rsidR="00315D11">
        <w:rPr>
          <w:b/>
        </w:rPr>
        <w:t>BACKGROUND</w:t>
      </w:r>
    </w:p>
    <w:p w14:paraId="1F4B6C8F" w14:textId="5788C3FD" w:rsidR="003461F4" w:rsidRPr="00AF27DB" w:rsidRDefault="00D907F8" w:rsidP="001B10CB">
      <w:pPr>
        <w:spacing w:line="480" w:lineRule="auto"/>
        <w:jc w:val="both"/>
      </w:pPr>
      <w:r w:rsidRPr="00CD265B">
        <w:t>Increasingly</w:t>
      </w:r>
      <w:r w:rsidR="00791BF9" w:rsidRPr="00CD265B">
        <w:t>,</w:t>
      </w:r>
      <w:r w:rsidRPr="00CD265B">
        <w:t xml:space="preserve"> </w:t>
      </w:r>
      <w:r w:rsidR="00D50869" w:rsidRPr="00CD265B">
        <w:t>firm</w:t>
      </w:r>
      <w:r w:rsidRPr="00CD265B">
        <w:t>s are pursuing long-term relationships with their suppliers for strategic</w:t>
      </w:r>
      <w:r w:rsidR="00F61337" w:rsidRPr="00CD265B">
        <w:t xml:space="preserve"> </w:t>
      </w:r>
      <w:r w:rsidRPr="00CD265B">
        <w:t xml:space="preserve">items with a view to soliciting insights for new product development and resolving various operational issues. </w:t>
      </w:r>
      <w:r w:rsidR="00F61337" w:rsidRPr="00AF27DB">
        <w:t>S</w:t>
      </w:r>
      <w:r w:rsidR="00D73367" w:rsidRPr="00AF27DB">
        <w:t>trategic sourcing</w:t>
      </w:r>
      <w:r w:rsidR="00F32BA0" w:rsidRPr="00AF27DB">
        <w:t xml:space="preserve"> </w:t>
      </w:r>
      <w:r w:rsidRPr="00AF27DB">
        <w:t xml:space="preserve">not only reduces the purchasing and manufacturing costs significantly, but also contributes </w:t>
      </w:r>
      <w:r w:rsidR="00217AE9">
        <w:t>to</w:t>
      </w:r>
      <w:r w:rsidRPr="00AF27DB">
        <w:t xml:space="preserve"> </w:t>
      </w:r>
      <w:r w:rsidR="00105560" w:rsidRPr="00AF27DB">
        <w:t xml:space="preserve">product quality, </w:t>
      </w:r>
      <w:r w:rsidR="008E3A43" w:rsidRPr="00AF27DB">
        <w:t>product innovation</w:t>
      </w:r>
      <w:r w:rsidR="00D73367" w:rsidRPr="00AF27DB">
        <w:t xml:space="preserve">, </w:t>
      </w:r>
      <w:r w:rsidR="00105560" w:rsidRPr="00AF27DB">
        <w:t xml:space="preserve">firm’s </w:t>
      </w:r>
      <w:r w:rsidR="008E3A43" w:rsidRPr="00AF27DB">
        <w:t>flexibilities</w:t>
      </w:r>
      <w:r w:rsidR="00D73367" w:rsidRPr="00AF27DB">
        <w:t xml:space="preserve">, </w:t>
      </w:r>
      <w:r w:rsidR="00105560" w:rsidRPr="00AF27DB">
        <w:t>and supply chain agility</w:t>
      </w:r>
      <w:r w:rsidR="008E3A43" w:rsidRPr="00AF27DB">
        <w:t xml:space="preserve"> (Dey et al., 2015)</w:t>
      </w:r>
      <w:r w:rsidRPr="00AF27DB">
        <w:t>.</w:t>
      </w:r>
      <w:r w:rsidR="00D73367" w:rsidRPr="00AF27DB">
        <w:t xml:space="preserve"> </w:t>
      </w:r>
    </w:p>
    <w:p w14:paraId="2B90781A" w14:textId="5F1C7BAC" w:rsidR="00D25791" w:rsidRPr="00AF27DB" w:rsidRDefault="005C1731" w:rsidP="00861B03">
      <w:pPr>
        <w:spacing w:line="480" w:lineRule="auto"/>
        <w:ind w:firstLine="567"/>
        <w:jc w:val="both"/>
      </w:pPr>
      <w:r w:rsidRPr="00AF27DB">
        <w:t>As supply chain</w:t>
      </w:r>
      <w:r w:rsidR="00490ADE" w:rsidRPr="00AF27DB">
        <w:t>s</w:t>
      </w:r>
      <w:r w:rsidRPr="00AF27DB">
        <w:t xml:space="preserve"> become more complex</w:t>
      </w:r>
      <w:r w:rsidR="000E7C66" w:rsidRPr="00AF27DB">
        <w:t xml:space="preserve"> </w:t>
      </w:r>
      <w:r w:rsidRPr="00AF27DB">
        <w:t>and globali</w:t>
      </w:r>
      <w:r w:rsidR="004668E0" w:rsidRPr="00AF27DB">
        <w:t>z</w:t>
      </w:r>
      <w:r w:rsidRPr="00AF27DB">
        <w:t xml:space="preserve">ed, firms </w:t>
      </w:r>
      <w:r w:rsidR="00F32BA0" w:rsidRPr="00AF27DB">
        <w:t xml:space="preserve">to a higher degree are </w:t>
      </w:r>
      <w:r w:rsidRPr="00AF27DB">
        <w:t>dependent on their suppliers. This also entails a number of unexpected negative events, which makes</w:t>
      </w:r>
      <w:r w:rsidR="00680FE6" w:rsidRPr="00AF27DB">
        <w:t xml:space="preserve"> </w:t>
      </w:r>
      <w:r w:rsidRPr="00AF27DB">
        <w:t>strategic sourcing mor</w:t>
      </w:r>
      <w:r w:rsidR="00AC5944" w:rsidRPr="00AF27DB">
        <w:t>e critical compared to the past</w:t>
      </w:r>
      <w:r w:rsidRPr="00AF27DB">
        <w:t xml:space="preserve">. </w:t>
      </w:r>
      <w:r w:rsidR="00D25791" w:rsidRPr="00AF27DB">
        <w:t>For instance</w:t>
      </w:r>
      <w:r w:rsidR="00F32BA0" w:rsidRPr="00AF27DB">
        <w:t xml:space="preserve">, </w:t>
      </w:r>
      <w:r w:rsidR="00F32BA0" w:rsidRPr="00AF27DB">
        <w:rPr>
          <w:color w:val="000000"/>
        </w:rPr>
        <w:t>t</w:t>
      </w:r>
      <w:r w:rsidR="004873E5" w:rsidRPr="00AF27DB">
        <w:rPr>
          <w:color w:val="000000"/>
        </w:rPr>
        <w:t>he earthquake, tsunami, and the subsequent nuclear crisis that occurred in Japan in 2011 caused Toyota’s production to drop by 40,000 vehicles, costing $72 million in profits per day (Pettit et al.</w:t>
      </w:r>
      <w:r w:rsidR="00AC5944" w:rsidRPr="00AF27DB">
        <w:rPr>
          <w:color w:val="000000"/>
        </w:rPr>
        <w:t>,</w:t>
      </w:r>
      <w:r w:rsidR="004873E5" w:rsidRPr="00AF27DB">
        <w:rPr>
          <w:color w:val="000000"/>
        </w:rPr>
        <w:t xml:space="preserve"> 2013). The catastrophic Thailand flooding of October 2011 affected the supply chains of computer manufacturers </w:t>
      </w:r>
      <w:r w:rsidR="00680FE6" w:rsidRPr="00AF27DB">
        <w:rPr>
          <w:color w:val="000000"/>
        </w:rPr>
        <w:t xml:space="preserve">across the world and </w:t>
      </w:r>
      <w:r w:rsidR="004873E5" w:rsidRPr="00AF27DB">
        <w:rPr>
          <w:color w:val="000000"/>
        </w:rPr>
        <w:t xml:space="preserve">Japanese automotive companies </w:t>
      </w:r>
      <w:r w:rsidR="00F32BA0" w:rsidRPr="00AF27DB">
        <w:rPr>
          <w:color w:val="000000"/>
        </w:rPr>
        <w:t>that</w:t>
      </w:r>
      <w:r w:rsidR="00680FE6" w:rsidRPr="00AF27DB">
        <w:rPr>
          <w:color w:val="000000"/>
        </w:rPr>
        <w:t xml:space="preserve"> ha</w:t>
      </w:r>
      <w:r w:rsidR="00217AE9">
        <w:rPr>
          <w:color w:val="000000"/>
        </w:rPr>
        <w:t>d</w:t>
      </w:r>
      <w:r w:rsidR="00680FE6" w:rsidRPr="00AF27DB">
        <w:rPr>
          <w:color w:val="000000"/>
        </w:rPr>
        <w:t xml:space="preserve"> </w:t>
      </w:r>
      <w:r w:rsidR="004873E5" w:rsidRPr="00AF27DB">
        <w:rPr>
          <w:color w:val="000000"/>
        </w:rPr>
        <w:t>plants in Thailand (Chopra</w:t>
      </w:r>
      <w:r w:rsidR="004873E5" w:rsidRPr="00AF27DB">
        <w:rPr>
          <w:color w:val="000000"/>
          <w:lang w:eastAsia="zh-CN"/>
        </w:rPr>
        <w:t xml:space="preserve"> and </w:t>
      </w:r>
      <w:r w:rsidR="004873E5" w:rsidRPr="00AF27DB">
        <w:rPr>
          <w:color w:val="000000"/>
        </w:rPr>
        <w:t>Sodh</w:t>
      </w:r>
      <w:r w:rsidR="004873E5" w:rsidRPr="00AF27DB">
        <w:rPr>
          <w:color w:val="000000"/>
          <w:lang w:eastAsia="zh-CN"/>
        </w:rPr>
        <w:t>i</w:t>
      </w:r>
      <w:r w:rsidR="00AC5944" w:rsidRPr="00AF27DB">
        <w:rPr>
          <w:color w:val="000000"/>
          <w:lang w:eastAsia="zh-CN"/>
        </w:rPr>
        <w:t>,</w:t>
      </w:r>
      <w:r w:rsidR="004873E5" w:rsidRPr="00AF27DB">
        <w:rPr>
          <w:color w:val="000000"/>
          <w:lang w:eastAsia="zh-CN"/>
        </w:rPr>
        <w:t xml:space="preserve"> </w:t>
      </w:r>
      <w:r w:rsidR="004873E5" w:rsidRPr="00AF27DB">
        <w:rPr>
          <w:color w:val="000000"/>
        </w:rPr>
        <w:t>2014).</w:t>
      </w:r>
      <w:r w:rsidR="00D25791" w:rsidRPr="00AF27DB">
        <w:t xml:space="preserve"> All these risks have </w:t>
      </w:r>
      <w:r w:rsidR="00F32BA0" w:rsidRPr="00AF27DB">
        <w:t xml:space="preserve">a </w:t>
      </w:r>
      <w:r w:rsidR="00D25791" w:rsidRPr="00AF27DB">
        <w:t>direct impact on strategic sourcing decisions</w:t>
      </w:r>
      <w:r w:rsidR="00680FE6" w:rsidRPr="00AF27DB">
        <w:t>. Therefore,</w:t>
      </w:r>
      <w:r w:rsidR="00F0613D" w:rsidRPr="00AF27DB">
        <w:t xml:space="preserve"> i</w:t>
      </w:r>
      <w:r w:rsidR="00680FE6" w:rsidRPr="00AF27DB">
        <w:t xml:space="preserve">t </w:t>
      </w:r>
      <w:r w:rsidR="004873E5" w:rsidRPr="00AF27DB">
        <w:t xml:space="preserve">is necessary to consider </w:t>
      </w:r>
      <w:r w:rsidR="00680FE6" w:rsidRPr="00AF27DB">
        <w:t xml:space="preserve">risk </w:t>
      </w:r>
      <w:r w:rsidR="004873E5" w:rsidRPr="00AF27DB">
        <w:t xml:space="preserve">factors </w:t>
      </w:r>
      <w:r w:rsidR="00680FE6" w:rsidRPr="00AF27DB">
        <w:t xml:space="preserve">along with </w:t>
      </w:r>
      <w:r w:rsidR="004873E5" w:rsidRPr="00AF27DB">
        <w:t xml:space="preserve">cost </w:t>
      </w:r>
      <w:r w:rsidR="00680FE6" w:rsidRPr="00AF27DB">
        <w:t xml:space="preserve">and quality factors while making strategic sourcing </w:t>
      </w:r>
      <w:r w:rsidR="00887324" w:rsidRPr="00AF27DB">
        <w:t>decision</w:t>
      </w:r>
      <w:r w:rsidR="00F32BA0" w:rsidRPr="00AF27DB">
        <w:t>s</w:t>
      </w:r>
      <w:r w:rsidR="00680FE6" w:rsidRPr="00AF27DB">
        <w:t>.</w:t>
      </w:r>
    </w:p>
    <w:p w14:paraId="4E65A188" w14:textId="7B8E3867" w:rsidR="008C3826" w:rsidRPr="00C82114" w:rsidRDefault="008C3826" w:rsidP="00C82114">
      <w:pPr>
        <w:spacing w:line="480" w:lineRule="auto"/>
        <w:ind w:firstLine="567"/>
        <w:jc w:val="both"/>
        <w:rPr>
          <w:color w:val="000000"/>
          <w:lang w:eastAsia="zh-CN"/>
        </w:rPr>
      </w:pPr>
      <w:r w:rsidRPr="00AF27DB">
        <w:t xml:space="preserve">Recently, supply chain risk management (SCRM) has </w:t>
      </w:r>
      <w:r w:rsidR="001932D3" w:rsidRPr="00AF27DB">
        <w:t xml:space="preserve">received </w:t>
      </w:r>
      <w:r w:rsidR="00217AE9">
        <w:t>significant</w:t>
      </w:r>
      <w:r w:rsidR="00217AE9" w:rsidRPr="00AF27DB">
        <w:t xml:space="preserve"> </w:t>
      </w:r>
      <w:r w:rsidR="001932D3" w:rsidRPr="00AF27DB">
        <w:t xml:space="preserve">attention in academic research. </w:t>
      </w:r>
      <w:r w:rsidRPr="00AF27DB">
        <w:rPr>
          <w:color w:val="000000"/>
          <w:lang w:eastAsia="zh-CN"/>
        </w:rPr>
        <w:t>Ho et al. (2015) reveal that there is a continuous</w:t>
      </w:r>
      <w:r w:rsidRPr="00CD265B">
        <w:rPr>
          <w:color w:val="000000"/>
          <w:lang w:eastAsia="zh-CN"/>
        </w:rPr>
        <w:t xml:space="preserve"> growth in the number of </w:t>
      </w:r>
      <w:r w:rsidR="00490ADE">
        <w:rPr>
          <w:color w:val="000000"/>
          <w:lang w:eastAsia="zh-CN"/>
        </w:rPr>
        <w:t xml:space="preserve">academic </w:t>
      </w:r>
      <w:r w:rsidR="00F32BA0">
        <w:rPr>
          <w:color w:val="000000"/>
          <w:lang w:eastAsia="zh-CN"/>
        </w:rPr>
        <w:t>articles</w:t>
      </w:r>
      <w:r w:rsidRPr="00CD265B">
        <w:rPr>
          <w:color w:val="000000"/>
          <w:lang w:eastAsia="zh-CN"/>
        </w:rPr>
        <w:t xml:space="preserve"> focusing on SCRM in the period of 2003-2013. </w:t>
      </w:r>
      <w:r w:rsidR="00C33F46" w:rsidRPr="00CD265B">
        <w:t>S</w:t>
      </w:r>
      <w:r w:rsidR="00C33F46" w:rsidRPr="00CD265B">
        <w:rPr>
          <w:lang w:eastAsia="zh-CN"/>
        </w:rPr>
        <w:t>upply chain risks can be divided into two categories – macro risks and micro risks (</w:t>
      </w:r>
      <w:r w:rsidR="00C33F46" w:rsidRPr="00CD265B">
        <w:rPr>
          <w:color w:val="000000"/>
          <w:lang w:eastAsia="zh-CN"/>
        </w:rPr>
        <w:t>Ho et al.</w:t>
      </w:r>
      <w:r w:rsidR="00753773" w:rsidRPr="00CD265B">
        <w:rPr>
          <w:color w:val="000000"/>
          <w:lang w:eastAsia="zh-CN"/>
        </w:rPr>
        <w:t>,</w:t>
      </w:r>
      <w:r w:rsidR="00C33F46" w:rsidRPr="00CD265B">
        <w:rPr>
          <w:color w:val="000000"/>
          <w:lang w:eastAsia="zh-CN"/>
        </w:rPr>
        <w:t xml:space="preserve"> 2015</w:t>
      </w:r>
      <w:r w:rsidR="00C33F46" w:rsidRPr="00CD265B">
        <w:rPr>
          <w:lang w:eastAsia="zh-CN"/>
        </w:rPr>
        <w:t>). Macro risks refer to adverse and relatively rare external events or situations which might have negative impact on companies</w:t>
      </w:r>
      <w:r w:rsidR="007C02FC" w:rsidRPr="00CD265B">
        <w:rPr>
          <w:lang w:eastAsia="zh-CN"/>
        </w:rPr>
        <w:t xml:space="preserve">, such as </w:t>
      </w:r>
      <w:r w:rsidR="00C33F46" w:rsidRPr="00CD265B">
        <w:rPr>
          <w:lang w:eastAsia="zh-CN"/>
        </w:rPr>
        <w:t>natural risks (e.g., earthquakes, weather related disasters) and man-made risks (e.g., w</w:t>
      </w:r>
      <w:r w:rsidR="00C33F46" w:rsidRPr="00CD265B">
        <w:t>ar and terrorism</w:t>
      </w:r>
      <w:r w:rsidR="00C33F46" w:rsidRPr="00CD265B">
        <w:rPr>
          <w:lang w:eastAsia="zh-CN"/>
        </w:rPr>
        <w:t xml:space="preserve">, and </w:t>
      </w:r>
      <w:r w:rsidR="00C33F46" w:rsidRPr="00CD265B">
        <w:t>political instability)</w:t>
      </w:r>
      <w:r w:rsidR="00C33F46" w:rsidRPr="00CD265B">
        <w:rPr>
          <w:lang w:eastAsia="zh-CN"/>
        </w:rPr>
        <w:t xml:space="preserve">. On the other hand, micro risks refer to recurrent events </w:t>
      </w:r>
      <w:r w:rsidR="00C33F46" w:rsidRPr="00CD265B">
        <w:t>originate</w:t>
      </w:r>
      <w:r w:rsidR="00C33F46" w:rsidRPr="00CD265B">
        <w:rPr>
          <w:lang w:eastAsia="zh-CN"/>
        </w:rPr>
        <w:t>d</w:t>
      </w:r>
      <w:r w:rsidR="00C33F46" w:rsidRPr="00CD265B">
        <w:t xml:space="preserve"> directly from internal </w:t>
      </w:r>
      <w:r w:rsidR="00C33F46" w:rsidRPr="00CD265B">
        <w:rPr>
          <w:lang w:eastAsia="zh-CN"/>
        </w:rPr>
        <w:t>activities</w:t>
      </w:r>
      <w:r w:rsidR="00C33F46" w:rsidRPr="00CD265B">
        <w:t xml:space="preserve"> of compan</w:t>
      </w:r>
      <w:r w:rsidR="00C33F46" w:rsidRPr="00CD265B">
        <w:rPr>
          <w:lang w:eastAsia="zh-CN"/>
        </w:rPr>
        <w:t>ies and/or relationships within partn</w:t>
      </w:r>
      <w:r w:rsidR="007C02FC" w:rsidRPr="00CD265B">
        <w:rPr>
          <w:lang w:eastAsia="zh-CN"/>
        </w:rPr>
        <w:t xml:space="preserve">ers in the entire supply chain, including </w:t>
      </w:r>
      <w:r w:rsidR="00C33F46" w:rsidRPr="00CD265B">
        <w:rPr>
          <w:lang w:eastAsia="zh-CN"/>
        </w:rPr>
        <w:t xml:space="preserve">demand risk, manufacturing risk, supply </w:t>
      </w:r>
      <w:r w:rsidR="00C33F46" w:rsidRPr="00CD265B">
        <w:rPr>
          <w:lang w:eastAsia="zh-CN"/>
        </w:rPr>
        <w:lastRenderedPageBreak/>
        <w:t>risk, information</w:t>
      </w:r>
      <w:r w:rsidR="007C02FC" w:rsidRPr="00CD265B">
        <w:rPr>
          <w:lang w:eastAsia="zh-CN"/>
        </w:rPr>
        <w:t xml:space="preserve"> risk</w:t>
      </w:r>
      <w:r w:rsidR="00C33F46" w:rsidRPr="00CD265B">
        <w:rPr>
          <w:lang w:eastAsia="zh-CN"/>
        </w:rPr>
        <w:t>, transportation</w:t>
      </w:r>
      <w:r w:rsidR="007C02FC" w:rsidRPr="00CD265B">
        <w:rPr>
          <w:lang w:eastAsia="zh-CN"/>
        </w:rPr>
        <w:t xml:space="preserve"> risk</w:t>
      </w:r>
      <w:r w:rsidR="00C33F46" w:rsidRPr="00CD265B">
        <w:rPr>
          <w:lang w:eastAsia="zh-CN"/>
        </w:rPr>
        <w:t xml:space="preserve">, and financial </w:t>
      </w:r>
      <w:r w:rsidR="007C02FC" w:rsidRPr="00CD265B">
        <w:rPr>
          <w:lang w:eastAsia="zh-CN"/>
        </w:rPr>
        <w:t>risk</w:t>
      </w:r>
      <w:r w:rsidR="00C33F46" w:rsidRPr="00CD265B">
        <w:rPr>
          <w:lang w:eastAsia="zh-CN"/>
        </w:rPr>
        <w:t xml:space="preserve">. </w:t>
      </w:r>
      <w:r w:rsidR="007C02FC" w:rsidRPr="00CD265B">
        <w:rPr>
          <w:lang w:eastAsia="zh-CN"/>
        </w:rPr>
        <w:t>Among these seven types of supply chain risks, supply risk is t</w:t>
      </w:r>
      <w:r w:rsidR="007C02FC" w:rsidRPr="00CD265B">
        <w:rPr>
          <w:color w:val="000000"/>
          <w:lang w:eastAsia="zh-CN"/>
        </w:rPr>
        <w:t>he most widely studied risk type (Ho et al.</w:t>
      </w:r>
      <w:r w:rsidR="00753773" w:rsidRPr="00CD265B">
        <w:rPr>
          <w:color w:val="000000"/>
          <w:lang w:eastAsia="zh-CN"/>
        </w:rPr>
        <w:t>,</w:t>
      </w:r>
      <w:r w:rsidR="007C02FC" w:rsidRPr="00CD265B">
        <w:rPr>
          <w:color w:val="000000"/>
          <w:lang w:eastAsia="zh-CN"/>
        </w:rPr>
        <w:t xml:space="preserve"> 2015). Specifically, most of the researchers studied the supplier assessment and mitigation problems with risk considerations.</w:t>
      </w:r>
      <w:r w:rsidR="00C82114">
        <w:rPr>
          <w:color w:val="000000"/>
          <w:lang w:eastAsia="zh-CN"/>
        </w:rPr>
        <w:t xml:space="preserve">  </w:t>
      </w:r>
      <w:r w:rsidR="00DE748E" w:rsidRPr="00CD265B">
        <w:rPr>
          <w:color w:val="000000"/>
          <w:lang w:eastAsia="zh-CN"/>
        </w:rPr>
        <w:t xml:space="preserve">Although there is a significant amount of research in the </w:t>
      </w:r>
      <w:r w:rsidR="00217AE9">
        <w:rPr>
          <w:color w:val="000000"/>
          <w:lang w:eastAsia="zh-CN"/>
        </w:rPr>
        <w:t xml:space="preserve">domain of </w:t>
      </w:r>
      <w:r w:rsidR="00DE748E" w:rsidRPr="00CD265B">
        <w:rPr>
          <w:color w:val="000000"/>
          <w:lang w:eastAsia="zh-CN"/>
        </w:rPr>
        <w:t>supply ris</w:t>
      </w:r>
      <w:r w:rsidR="00C82114">
        <w:rPr>
          <w:color w:val="000000"/>
          <w:lang w:eastAsia="zh-CN"/>
        </w:rPr>
        <w:t>k</w:t>
      </w:r>
      <w:r w:rsidR="00DE748E" w:rsidRPr="00CD265B">
        <w:rPr>
          <w:color w:val="000000"/>
          <w:lang w:eastAsia="zh-CN"/>
        </w:rPr>
        <w:t xml:space="preserve">, </w:t>
      </w:r>
      <w:r w:rsidR="00BA3C77" w:rsidRPr="00CD265B">
        <w:rPr>
          <w:color w:val="000000"/>
          <w:lang w:eastAsia="zh-CN"/>
        </w:rPr>
        <w:t xml:space="preserve">risk </w:t>
      </w:r>
      <w:r w:rsidR="00C82114">
        <w:rPr>
          <w:color w:val="000000"/>
          <w:lang w:eastAsia="zh-CN"/>
        </w:rPr>
        <w:t xml:space="preserve">consideration </w:t>
      </w:r>
      <w:r w:rsidR="00BA3C77" w:rsidRPr="00CD265B">
        <w:rPr>
          <w:color w:val="000000"/>
          <w:lang w:eastAsia="zh-CN"/>
        </w:rPr>
        <w:t xml:space="preserve">in strategic sourcing is </w:t>
      </w:r>
      <w:r w:rsidR="00013314">
        <w:rPr>
          <w:color w:val="000000"/>
          <w:lang w:eastAsia="zh-CN"/>
        </w:rPr>
        <w:t>limited</w:t>
      </w:r>
      <w:r w:rsidR="00BA3C77" w:rsidRPr="00CD265B">
        <w:rPr>
          <w:color w:val="000000"/>
          <w:lang w:eastAsia="zh-CN"/>
        </w:rPr>
        <w:t xml:space="preserve">. </w:t>
      </w:r>
      <w:r w:rsidR="00C82114">
        <w:rPr>
          <w:color w:val="000000"/>
          <w:lang w:eastAsia="zh-CN"/>
        </w:rPr>
        <w:t xml:space="preserve"> To the best of our knowledge, </w:t>
      </w:r>
      <w:r w:rsidR="00BA3C77" w:rsidRPr="00CD265B">
        <w:rPr>
          <w:color w:val="000000"/>
          <w:lang w:eastAsia="zh-CN"/>
        </w:rPr>
        <w:t>there is no study that empirically analy</w:t>
      </w:r>
      <w:r w:rsidR="004668E0" w:rsidRPr="00CD265B">
        <w:rPr>
          <w:color w:val="000000"/>
          <w:lang w:eastAsia="zh-CN"/>
        </w:rPr>
        <w:t>z</w:t>
      </w:r>
      <w:r w:rsidR="00BA3C77" w:rsidRPr="00CD265B">
        <w:rPr>
          <w:color w:val="000000"/>
          <w:lang w:eastAsia="zh-CN"/>
        </w:rPr>
        <w:t>es cross</w:t>
      </w:r>
      <w:r w:rsidR="005E6302" w:rsidRPr="00CD265B">
        <w:rPr>
          <w:color w:val="000000"/>
          <w:lang w:eastAsia="zh-CN"/>
        </w:rPr>
        <w:t>-</w:t>
      </w:r>
      <w:r w:rsidR="001E1ABC" w:rsidRPr="00CD265B">
        <w:rPr>
          <w:color w:val="000000"/>
          <w:lang w:eastAsia="zh-CN"/>
        </w:rPr>
        <w:t>sectional</w:t>
      </w:r>
      <w:r w:rsidR="00BA3C77" w:rsidRPr="00CD265B">
        <w:rPr>
          <w:color w:val="000000"/>
          <w:lang w:eastAsia="zh-CN"/>
        </w:rPr>
        <w:t xml:space="preserve"> and multi</w:t>
      </w:r>
      <w:r w:rsidR="005E6302" w:rsidRPr="00CD265B">
        <w:rPr>
          <w:color w:val="000000"/>
          <w:lang w:eastAsia="zh-CN"/>
        </w:rPr>
        <w:t>-</w:t>
      </w:r>
      <w:r w:rsidR="00BA3C77" w:rsidRPr="00CD265B">
        <w:rPr>
          <w:color w:val="000000"/>
          <w:lang w:eastAsia="zh-CN"/>
        </w:rPr>
        <w:t xml:space="preserve">national cases of risk management in strategic sourcing. </w:t>
      </w:r>
      <w:r w:rsidR="00361236" w:rsidRPr="00CD265B">
        <w:rPr>
          <w:color w:val="000000"/>
          <w:lang w:eastAsia="zh-CN"/>
        </w:rPr>
        <w:t xml:space="preserve">The knowledge on critical risk factors in strategic sourcing, sector and country specific practices, </w:t>
      </w:r>
      <w:r w:rsidR="00602D28" w:rsidRPr="00CD265B">
        <w:rPr>
          <w:color w:val="000000"/>
          <w:lang w:eastAsia="zh-CN"/>
        </w:rPr>
        <w:t xml:space="preserve">and </w:t>
      </w:r>
      <w:r w:rsidR="00361236" w:rsidRPr="00CD265B">
        <w:rPr>
          <w:color w:val="000000"/>
          <w:lang w:eastAsia="zh-CN"/>
        </w:rPr>
        <w:t xml:space="preserve">methods </w:t>
      </w:r>
      <w:r w:rsidR="00D000EF" w:rsidRPr="00CD265B">
        <w:rPr>
          <w:color w:val="000000"/>
          <w:lang w:eastAsia="zh-CN"/>
        </w:rPr>
        <w:t xml:space="preserve">that </w:t>
      </w:r>
      <w:r w:rsidR="003347E3" w:rsidRPr="00CD265B">
        <w:rPr>
          <w:color w:val="000000"/>
          <w:lang w:eastAsia="zh-CN"/>
        </w:rPr>
        <w:t xml:space="preserve">help develop and adapt tailored risk management strategies and </w:t>
      </w:r>
      <w:r w:rsidR="00602D28" w:rsidRPr="00CD265B">
        <w:rPr>
          <w:color w:val="000000"/>
          <w:lang w:eastAsia="zh-CN"/>
        </w:rPr>
        <w:t>approache</w:t>
      </w:r>
      <w:r w:rsidR="003347E3" w:rsidRPr="00CD265B">
        <w:rPr>
          <w:color w:val="000000"/>
          <w:lang w:eastAsia="zh-CN"/>
        </w:rPr>
        <w:t xml:space="preserve">s </w:t>
      </w:r>
      <w:r w:rsidR="00C82114">
        <w:rPr>
          <w:color w:val="000000"/>
          <w:lang w:eastAsia="zh-CN"/>
        </w:rPr>
        <w:t xml:space="preserve">would prove to be of significant value to practicing managers.  </w:t>
      </w:r>
    </w:p>
    <w:p w14:paraId="2BF2BEEA" w14:textId="0E80BA30" w:rsidR="00F17DF2" w:rsidRPr="00CD265B" w:rsidRDefault="00C82114" w:rsidP="00861B03">
      <w:pPr>
        <w:spacing w:line="480" w:lineRule="auto"/>
        <w:ind w:firstLine="567"/>
        <w:jc w:val="both"/>
      </w:pPr>
      <w:r>
        <w:t xml:space="preserve">Based on </w:t>
      </w:r>
      <w:r w:rsidR="00FB5E5A" w:rsidRPr="00AF27DB">
        <w:t xml:space="preserve">practitioner reports and </w:t>
      </w:r>
      <w:r w:rsidR="00DA7BEB" w:rsidRPr="00AF27DB">
        <w:t>academic literature, firms recogni</w:t>
      </w:r>
      <w:r w:rsidR="003F14AB" w:rsidRPr="00AF27DB">
        <w:t>z</w:t>
      </w:r>
      <w:r w:rsidR="00DA7BEB" w:rsidRPr="00AF27DB">
        <w:t xml:space="preserve">e the importance of strategic sourcing, but often </w:t>
      </w:r>
      <w:r w:rsidR="00361236" w:rsidRPr="00AF27DB">
        <w:t xml:space="preserve">fail </w:t>
      </w:r>
      <w:r w:rsidR="00DA7BEB" w:rsidRPr="00AF27DB">
        <w:t>to incorporate risk management into strategic sourcing</w:t>
      </w:r>
      <w:r w:rsidRPr="00AF27DB">
        <w:t xml:space="preserve"> ini</w:t>
      </w:r>
      <w:r w:rsidR="00D946CA" w:rsidRPr="00AF27DB">
        <w:t>tiatives</w:t>
      </w:r>
      <w:r w:rsidR="00DA7BEB" w:rsidRPr="00AF27DB">
        <w:t>. For example, 53% of the interviewed firms in Australia spent AUD$50 million or more per year on sourcing from suppliers, but 61% of the interviewed firms only spent AUD$250,000</w:t>
      </w:r>
      <w:r w:rsidR="00FB5E5A" w:rsidRPr="00AF27DB">
        <w:t xml:space="preserve"> or less</w:t>
      </w:r>
      <w:r w:rsidR="00DA7BEB" w:rsidRPr="00AF27DB">
        <w:t xml:space="preserve"> per year on supplier risk management (PwC</w:t>
      </w:r>
      <w:r w:rsidR="00753773" w:rsidRPr="00AF27DB">
        <w:t>,</w:t>
      </w:r>
      <w:r w:rsidR="00DA7BEB" w:rsidRPr="00AF27DB">
        <w:t xml:space="preserve"> 2013). </w:t>
      </w:r>
      <w:r w:rsidR="00FB5E5A" w:rsidRPr="00AF27DB">
        <w:t xml:space="preserve">Besides, it is also </w:t>
      </w:r>
      <w:r w:rsidR="00BC62B2">
        <w:t xml:space="preserve">the case that </w:t>
      </w:r>
      <w:r w:rsidR="00F17DF2" w:rsidRPr="00AF27DB">
        <w:t xml:space="preserve">many </w:t>
      </w:r>
      <w:r w:rsidR="00FB5E5A" w:rsidRPr="00AF27DB">
        <w:t>firms</w:t>
      </w:r>
      <w:r w:rsidR="00F17DF2" w:rsidRPr="00AF27DB">
        <w:t xml:space="preserve"> </w:t>
      </w:r>
      <w:r w:rsidR="00FB5E5A" w:rsidRPr="00AF27DB">
        <w:t xml:space="preserve">are unprepared for risks and </w:t>
      </w:r>
      <w:r w:rsidR="00F17DF2" w:rsidRPr="00AF27DB">
        <w:t xml:space="preserve">lack the real implementation </w:t>
      </w:r>
      <w:r w:rsidR="00FB5E5A" w:rsidRPr="00AF27DB">
        <w:t>of risk management methods</w:t>
      </w:r>
      <w:r w:rsidR="00F17DF2" w:rsidRPr="00AF27DB">
        <w:t xml:space="preserve"> </w:t>
      </w:r>
      <w:r w:rsidR="00FB5E5A" w:rsidRPr="00AF27DB">
        <w:t>even</w:t>
      </w:r>
      <w:r w:rsidR="00D946CA" w:rsidRPr="00AF27DB">
        <w:t xml:space="preserve"> when</w:t>
      </w:r>
      <w:r w:rsidR="00FB5E5A" w:rsidRPr="00AF27DB">
        <w:t xml:space="preserve"> their supply chains are exp</w:t>
      </w:r>
      <w:r w:rsidR="00074C3E" w:rsidRPr="00AF27DB">
        <w:t>osed to various types of risks</w:t>
      </w:r>
      <w:r w:rsidR="000530A5" w:rsidRPr="00AF27DB">
        <w:t xml:space="preserve">. For instance, </w:t>
      </w:r>
      <w:r w:rsidR="007B710C" w:rsidRPr="00AF27DB">
        <w:t xml:space="preserve">Zsidisin et al. </w:t>
      </w:r>
      <w:r w:rsidR="000530A5" w:rsidRPr="00AF27DB">
        <w:t>(</w:t>
      </w:r>
      <w:r w:rsidR="007B710C" w:rsidRPr="00AF27DB">
        <w:t>2000</w:t>
      </w:r>
      <w:r w:rsidR="000530A5" w:rsidRPr="00AF27DB">
        <w:t xml:space="preserve">) reveal that only </w:t>
      </w:r>
      <w:r w:rsidR="00D946CA" w:rsidRPr="00AF27DB">
        <w:t xml:space="preserve">33% of </w:t>
      </w:r>
      <w:r w:rsidR="000530A5" w:rsidRPr="00AF27DB">
        <w:t xml:space="preserve">companies </w:t>
      </w:r>
      <w:r w:rsidR="00D946CA" w:rsidRPr="00AF27DB">
        <w:t xml:space="preserve">studied in their research </w:t>
      </w:r>
      <w:r w:rsidR="000530A5" w:rsidRPr="00AF27DB">
        <w:t>perform</w:t>
      </w:r>
      <w:r w:rsidR="001A6B81" w:rsidRPr="00AF27DB">
        <w:t>ed</w:t>
      </w:r>
      <w:r w:rsidR="000530A5" w:rsidRPr="00AF27DB">
        <w:t xml:space="preserve"> a formal risk assessment or used contingency plans during sourcing</w:t>
      </w:r>
      <w:r w:rsidR="00D946CA" w:rsidRPr="00AF27DB">
        <w:t xml:space="preserve">. </w:t>
      </w:r>
      <w:r w:rsidR="000530A5" w:rsidRPr="00AF27DB">
        <w:t xml:space="preserve"> Blackhurst </w:t>
      </w:r>
      <w:r w:rsidR="003A19C2" w:rsidRPr="00AF27DB">
        <w:t>et al.</w:t>
      </w:r>
      <w:r w:rsidR="000530A5" w:rsidRPr="00AF27DB">
        <w:t xml:space="preserve"> (2005) identif</w:t>
      </w:r>
      <w:r w:rsidR="005A7D20" w:rsidRPr="00AF27DB">
        <w:t>y</w:t>
      </w:r>
      <w:r w:rsidR="000530A5" w:rsidRPr="00AF27DB">
        <w:t xml:space="preserve"> </w:t>
      </w:r>
      <w:r w:rsidR="00FD7009" w:rsidRPr="00AF27DB">
        <w:t xml:space="preserve">that only </w:t>
      </w:r>
      <w:r w:rsidR="000530A5" w:rsidRPr="00AF27DB">
        <w:t>5-25% of Fortune 500</w:t>
      </w:r>
      <w:r w:rsidR="000530A5" w:rsidRPr="00CD265B">
        <w:t xml:space="preserve"> companies </w:t>
      </w:r>
      <w:r w:rsidR="001A6B81" w:rsidRPr="00CD265B">
        <w:t>we</w:t>
      </w:r>
      <w:r w:rsidR="000530A5" w:rsidRPr="00CD265B">
        <w:t>re prepared to handle crisis or disruptions.</w:t>
      </w:r>
    </w:p>
    <w:p w14:paraId="1A92EF0D" w14:textId="7B737A0A" w:rsidR="00D25791" w:rsidRPr="00CD265B" w:rsidRDefault="00EF41E9" w:rsidP="00861B03">
      <w:pPr>
        <w:spacing w:line="480" w:lineRule="auto"/>
        <w:ind w:firstLine="567"/>
        <w:jc w:val="both"/>
      </w:pPr>
      <w:r w:rsidRPr="00CD265B">
        <w:t xml:space="preserve">The </w:t>
      </w:r>
      <w:r w:rsidR="00D946CA">
        <w:t>primary</w:t>
      </w:r>
      <w:r w:rsidRPr="00CD265B">
        <w:t xml:space="preserve"> </w:t>
      </w:r>
      <w:r w:rsidR="00D946CA">
        <w:t>goal</w:t>
      </w:r>
      <w:r w:rsidRPr="00CD265B">
        <w:t xml:space="preserve"> of this paper is to </w:t>
      </w:r>
      <w:r w:rsidR="00D946CA">
        <w:t>understand</w:t>
      </w:r>
      <w:r w:rsidRPr="00CD265B">
        <w:t xml:space="preserve"> </w:t>
      </w:r>
      <w:r w:rsidR="00BF5EFD" w:rsidRPr="00CD265B">
        <w:t xml:space="preserve">whether </w:t>
      </w:r>
      <w:r w:rsidRPr="00CD265B">
        <w:t xml:space="preserve">risk management </w:t>
      </w:r>
      <w:r w:rsidR="00BF5EFD" w:rsidRPr="00CD265B">
        <w:t xml:space="preserve">can enhance </w:t>
      </w:r>
      <w:r w:rsidR="001A6B81" w:rsidRPr="00CD265B">
        <w:t xml:space="preserve">the </w:t>
      </w:r>
      <w:r w:rsidR="00BF5EFD" w:rsidRPr="00CD265B">
        <w:t xml:space="preserve">effectiveness of </w:t>
      </w:r>
      <w:r w:rsidRPr="00CD265B">
        <w:t xml:space="preserve">strategic sourcing. </w:t>
      </w:r>
      <w:r w:rsidR="00315D11">
        <w:t>A</w:t>
      </w:r>
      <w:r w:rsidR="004115EE" w:rsidRPr="00CD265B">
        <w:t>lthough strategic sourcing has benefits</w:t>
      </w:r>
      <w:r w:rsidR="008F26B5" w:rsidRPr="00CD265B">
        <w:t>,</w:t>
      </w:r>
      <w:r w:rsidR="004115EE" w:rsidRPr="00CD265B">
        <w:t xml:space="preserve"> it </w:t>
      </w:r>
      <w:r w:rsidR="00315D11">
        <w:t>can be</w:t>
      </w:r>
      <w:r w:rsidR="004115EE" w:rsidRPr="00CD265B">
        <w:t xml:space="preserve"> </w:t>
      </w:r>
      <w:r w:rsidR="00D946CA">
        <w:t xml:space="preserve">a </w:t>
      </w:r>
      <w:r w:rsidR="004115EE" w:rsidRPr="00CD265B">
        <w:t xml:space="preserve">risky endeavour due to various external and internal </w:t>
      </w:r>
      <w:r w:rsidR="00D946CA">
        <w:t>factors</w:t>
      </w:r>
      <w:r w:rsidR="004115EE" w:rsidRPr="00CD265B">
        <w:t xml:space="preserve"> – such as political, environmental, contractual, logistical and economic constraints. </w:t>
      </w:r>
      <w:r w:rsidR="00BF5EFD" w:rsidRPr="00CD265B">
        <w:t>T</w:t>
      </w:r>
      <w:r w:rsidR="005A7D20" w:rsidRPr="00CD265B">
        <w:t xml:space="preserve">his paper </w:t>
      </w:r>
      <w:r w:rsidR="004A7378" w:rsidRPr="00CD265B">
        <w:t xml:space="preserve">intends </w:t>
      </w:r>
      <w:r w:rsidR="005A7D20" w:rsidRPr="00CD265B">
        <w:t xml:space="preserve">to </w:t>
      </w:r>
      <w:r w:rsidR="004A7378" w:rsidRPr="00CD265B">
        <w:t xml:space="preserve">contribute to this knowledge gap by answering the following </w:t>
      </w:r>
      <w:r w:rsidR="000D4AA8" w:rsidRPr="00CD265B">
        <w:t xml:space="preserve">three </w:t>
      </w:r>
      <w:r w:rsidR="004A7378" w:rsidRPr="00CD265B">
        <w:t>research questions</w:t>
      </w:r>
      <w:r w:rsidR="00D946CA">
        <w:t>: 1)</w:t>
      </w:r>
      <w:r w:rsidR="004A7378" w:rsidRPr="00CD265B">
        <w:t xml:space="preserve"> to what extent </w:t>
      </w:r>
      <w:r w:rsidR="004A7378" w:rsidRPr="00CD265B">
        <w:lastRenderedPageBreak/>
        <w:t xml:space="preserve">companies face strategic sourcing risk and what </w:t>
      </w:r>
      <w:r w:rsidR="00D946CA">
        <w:t xml:space="preserve">is its </w:t>
      </w:r>
      <w:r w:rsidR="004A7378" w:rsidRPr="00CD265B">
        <w:t>impact on business performance</w:t>
      </w:r>
      <w:r w:rsidR="00F437BB">
        <w:t xml:space="preserve"> 2) </w:t>
      </w:r>
      <w:r w:rsidR="004A7378" w:rsidRPr="00CD265B">
        <w:t xml:space="preserve">what are the critical </w:t>
      </w:r>
      <w:r w:rsidR="00315D11">
        <w:t xml:space="preserve">strategic sourcing </w:t>
      </w:r>
      <w:r w:rsidR="004A7378" w:rsidRPr="00CD265B">
        <w:t>risk factors</w:t>
      </w:r>
      <w:r w:rsidR="00315D11">
        <w:t xml:space="preserve"> </w:t>
      </w:r>
      <w:r w:rsidR="004A7378" w:rsidRPr="00CD265B">
        <w:t xml:space="preserve">and </w:t>
      </w:r>
      <w:r w:rsidR="00F437BB">
        <w:t xml:space="preserve">3) </w:t>
      </w:r>
      <w:r w:rsidR="000D4AA8" w:rsidRPr="00CD265B">
        <w:t xml:space="preserve">what methods </w:t>
      </w:r>
      <w:r w:rsidR="008F26B5" w:rsidRPr="00CD265B">
        <w:t xml:space="preserve">do </w:t>
      </w:r>
      <w:r w:rsidR="004A7378" w:rsidRPr="00CD265B">
        <w:t xml:space="preserve">companies </w:t>
      </w:r>
      <w:r w:rsidR="000D4AA8" w:rsidRPr="00CD265B">
        <w:t xml:space="preserve">adopt to </w:t>
      </w:r>
      <w:r w:rsidR="004A7378" w:rsidRPr="00CD265B">
        <w:t xml:space="preserve">manage </w:t>
      </w:r>
      <w:r w:rsidR="00315D11">
        <w:t>sourcing</w:t>
      </w:r>
      <w:r w:rsidR="004A7378" w:rsidRPr="00CD265B">
        <w:t xml:space="preserve"> risks. </w:t>
      </w:r>
      <w:r w:rsidR="0005324D" w:rsidRPr="00CD265B">
        <w:t>This study takes both cross</w:t>
      </w:r>
      <w:r w:rsidR="005E6302" w:rsidRPr="00CD265B">
        <w:t>-</w:t>
      </w:r>
      <w:r w:rsidR="001E1ABC" w:rsidRPr="00CD265B">
        <w:t>sectional</w:t>
      </w:r>
      <w:r w:rsidR="0005324D" w:rsidRPr="00CD265B">
        <w:t xml:space="preserve"> and multi</w:t>
      </w:r>
      <w:r w:rsidR="005E6302" w:rsidRPr="00CD265B">
        <w:t>-</w:t>
      </w:r>
      <w:r w:rsidR="0005324D" w:rsidRPr="00CD265B">
        <w:t>national perspectives through comparative analysis of construction and electronics manufacturing sectors in Germany and the U</w:t>
      </w:r>
      <w:r w:rsidR="00315D11">
        <w:t>K</w:t>
      </w:r>
      <w:r w:rsidR="0005324D" w:rsidRPr="00CD265B">
        <w:t xml:space="preserve">. </w:t>
      </w:r>
      <w:r w:rsidR="004115EE" w:rsidRPr="00CD265B">
        <w:t>The answers to these questions will enable organi</w:t>
      </w:r>
      <w:r w:rsidR="003F14AB" w:rsidRPr="00CD265B">
        <w:t>z</w:t>
      </w:r>
      <w:r w:rsidR="004115EE" w:rsidRPr="00CD265B">
        <w:t>ation</w:t>
      </w:r>
      <w:r w:rsidR="00F437BB">
        <w:t>s</w:t>
      </w:r>
      <w:r w:rsidR="004115EE" w:rsidRPr="00CD265B">
        <w:t xml:space="preserve"> to develop their risk management </w:t>
      </w:r>
      <w:r w:rsidR="00F437BB">
        <w:t>system</w:t>
      </w:r>
      <w:r w:rsidR="004115EE" w:rsidRPr="00CD265B">
        <w:t xml:space="preserve"> specific to industry and geographical location in order to make their strategic sourcing more effective.</w:t>
      </w:r>
      <w:r w:rsidR="0005324D" w:rsidRPr="00CD265B">
        <w:t xml:space="preserve"> </w:t>
      </w:r>
    </w:p>
    <w:p w14:paraId="142045DB" w14:textId="1F9F95F9" w:rsidR="00B93825" w:rsidRDefault="00D25791" w:rsidP="00315D11">
      <w:pPr>
        <w:spacing w:line="480" w:lineRule="auto"/>
        <w:ind w:firstLine="567"/>
        <w:jc w:val="both"/>
      </w:pPr>
      <w:r w:rsidRPr="00CD265B">
        <w:t xml:space="preserve">The </w:t>
      </w:r>
      <w:r w:rsidR="00A45B10" w:rsidRPr="00CD265B">
        <w:t>rem</w:t>
      </w:r>
      <w:r w:rsidR="00F437BB">
        <w:t>ainder</w:t>
      </w:r>
      <w:r w:rsidR="00A45B10" w:rsidRPr="00CD265B">
        <w:t xml:space="preserve"> of the </w:t>
      </w:r>
      <w:r w:rsidRPr="00CD265B">
        <w:t>paper is organi</w:t>
      </w:r>
      <w:r w:rsidR="003F14AB" w:rsidRPr="00CD265B">
        <w:t>z</w:t>
      </w:r>
      <w:r w:rsidRPr="00CD265B">
        <w:t>ed</w:t>
      </w:r>
      <w:r w:rsidR="00A45B10" w:rsidRPr="00CD265B">
        <w:t xml:space="preserve"> as follows</w:t>
      </w:r>
      <w:r w:rsidR="00F437BB">
        <w:t xml:space="preserve">.  </w:t>
      </w:r>
      <w:r w:rsidR="00404D3D">
        <w:t xml:space="preserve">Section </w:t>
      </w:r>
      <w:r w:rsidR="00315D11">
        <w:t>2</w:t>
      </w:r>
      <w:r w:rsidR="00404D3D">
        <w:t xml:space="preserve"> discusses the </w:t>
      </w:r>
      <w:r w:rsidRPr="00CD265B">
        <w:t>research method</w:t>
      </w:r>
      <w:r w:rsidR="003959C1" w:rsidRPr="00CD265B">
        <w:t>ology</w:t>
      </w:r>
      <w:r w:rsidRPr="00CD265B">
        <w:t xml:space="preserve">. Section </w:t>
      </w:r>
      <w:r w:rsidR="00315D11">
        <w:t>3</w:t>
      </w:r>
      <w:r w:rsidRPr="00CD265B">
        <w:t xml:space="preserve"> </w:t>
      </w:r>
      <w:r w:rsidR="00975A51" w:rsidRPr="00CD265B">
        <w:t xml:space="preserve">demonstrates </w:t>
      </w:r>
      <w:r w:rsidRPr="00CD265B">
        <w:t xml:space="preserve">the </w:t>
      </w:r>
      <w:r w:rsidR="00635D91" w:rsidRPr="00CD265B">
        <w:t xml:space="preserve">results and </w:t>
      </w:r>
      <w:r w:rsidRPr="00CD265B">
        <w:t>findings</w:t>
      </w:r>
      <w:r w:rsidR="00635D91" w:rsidRPr="00CD265B">
        <w:t xml:space="preserve">. </w:t>
      </w:r>
      <w:r w:rsidR="003959C1" w:rsidRPr="00CD265B">
        <w:t xml:space="preserve">Section </w:t>
      </w:r>
      <w:r w:rsidR="00315D11">
        <w:t>4</w:t>
      </w:r>
      <w:r w:rsidR="003959C1" w:rsidRPr="00CD265B">
        <w:t xml:space="preserve"> </w:t>
      </w:r>
      <w:r w:rsidR="007F5040">
        <w:t>presents the managerial implications</w:t>
      </w:r>
      <w:r w:rsidR="00F437BB">
        <w:t xml:space="preserve"> and s</w:t>
      </w:r>
      <w:r w:rsidR="007F5040">
        <w:t xml:space="preserve">ection </w:t>
      </w:r>
      <w:r w:rsidR="00315D11">
        <w:t>5</w:t>
      </w:r>
      <w:r w:rsidR="00975A51" w:rsidRPr="00CD265B">
        <w:t xml:space="preserve"> </w:t>
      </w:r>
      <w:r w:rsidRPr="00CD265B">
        <w:t>concludes the paper.</w:t>
      </w:r>
    </w:p>
    <w:p w14:paraId="7049C4EB" w14:textId="77777777" w:rsidR="00315D11" w:rsidRPr="00CD265B" w:rsidRDefault="00315D11" w:rsidP="00315D11">
      <w:pPr>
        <w:spacing w:line="480" w:lineRule="auto"/>
        <w:ind w:firstLine="567"/>
        <w:jc w:val="both"/>
      </w:pPr>
    </w:p>
    <w:p w14:paraId="35248D7E" w14:textId="7B9004D7" w:rsidR="00D25791" w:rsidRPr="00CD265B" w:rsidRDefault="00315D11" w:rsidP="00861B03">
      <w:pPr>
        <w:spacing w:line="480" w:lineRule="auto"/>
        <w:outlineLvl w:val="0"/>
        <w:rPr>
          <w:b/>
        </w:rPr>
      </w:pPr>
      <w:r>
        <w:rPr>
          <w:b/>
        </w:rPr>
        <w:t>2</w:t>
      </w:r>
      <w:r w:rsidR="004E002F" w:rsidRPr="00CD265B">
        <w:rPr>
          <w:b/>
        </w:rPr>
        <w:t xml:space="preserve">. </w:t>
      </w:r>
      <w:r w:rsidR="001B10CB" w:rsidRPr="00CD265B">
        <w:rPr>
          <w:b/>
        </w:rPr>
        <w:t>RESEARCH METHODOLOGY</w:t>
      </w:r>
    </w:p>
    <w:p w14:paraId="128A7AAA" w14:textId="64862C45" w:rsidR="009D4DB8" w:rsidRPr="00CD265B" w:rsidRDefault="009D4DB8" w:rsidP="00BE174D">
      <w:pPr>
        <w:spacing w:line="480" w:lineRule="auto"/>
        <w:jc w:val="both"/>
      </w:pPr>
      <w:r w:rsidRPr="00CD265B">
        <w:t xml:space="preserve">This research undertakes 20 qualitative case studies within construction and electronics manufacturing </w:t>
      </w:r>
      <w:r w:rsidR="00BF7A64" w:rsidRPr="00AF27DB">
        <w:t>companies</w:t>
      </w:r>
      <w:r w:rsidRPr="00AF27DB">
        <w:t xml:space="preserve"> in Germany and the </w:t>
      </w:r>
      <w:r w:rsidR="00BC62B2">
        <w:t>UK</w:t>
      </w:r>
      <w:r w:rsidR="00316CF7" w:rsidRPr="00AF27DB">
        <w:t xml:space="preserve">. </w:t>
      </w:r>
      <w:r w:rsidR="00BF7A64" w:rsidRPr="00AF27DB">
        <w:t xml:space="preserve">We have followed the </w:t>
      </w:r>
      <w:r w:rsidR="00D61EDD" w:rsidRPr="00AF27DB">
        <w:t xml:space="preserve">case protocol based on </w:t>
      </w:r>
      <w:r w:rsidR="00BE174D" w:rsidRPr="00AF27DB">
        <w:t>Eisenhardt</w:t>
      </w:r>
      <w:r w:rsidR="00D61EDD" w:rsidRPr="00AF27DB">
        <w:t xml:space="preserve"> (</w:t>
      </w:r>
      <w:r w:rsidR="00BE174D" w:rsidRPr="00AF27DB">
        <w:t>1989</w:t>
      </w:r>
      <w:r w:rsidR="00D61EDD" w:rsidRPr="00AF27DB">
        <w:t xml:space="preserve">) and </w:t>
      </w:r>
      <w:r w:rsidR="00BE174D" w:rsidRPr="00AF27DB">
        <w:t>Yin</w:t>
      </w:r>
      <w:r w:rsidR="00D61EDD" w:rsidRPr="00AF27DB">
        <w:t xml:space="preserve"> (</w:t>
      </w:r>
      <w:r w:rsidR="00BE174D" w:rsidRPr="00AF27DB">
        <w:t>2009). The company</w:t>
      </w:r>
      <w:r w:rsidR="00BE174D" w:rsidRPr="00CD265B">
        <w:t xml:space="preserve"> selection was based on a stratified sampling approach. </w:t>
      </w:r>
      <w:r w:rsidR="00DB3518" w:rsidRPr="00CD265B">
        <w:t xml:space="preserve">The </w:t>
      </w:r>
      <w:r w:rsidR="005E0CAB" w:rsidRPr="00CD265B">
        <w:t>brief description of the companies</w:t>
      </w:r>
      <w:r w:rsidR="00DB3518" w:rsidRPr="00CD265B">
        <w:t xml:space="preserve"> is enclosed in </w:t>
      </w:r>
      <w:r w:rsidR="005E0CAB" w:rsidRPr="00CD265B">
        <w:t>A</w:t>
      </w:r>
      <w:r w:rsidR="00DB3518" w:rsidRPr="00CD265B">
        <w:t xml:space="preserve">ppendix 1. </w:t>
      </w:r>
      <w:r w:rsidR="006677AE" w:rsidRPr="00CD265B">
        <w:t>Companies’</w:t>
      </w:r>
      <w:r w:rsidRPr="00CD265B">
        <w:t xml:space="preserve"> revenues</w:t>
      </w:r>
      <w:r w:rsidR="006677AE" w:rsidRPr="00CD265B">
        <w:t xml:space="preserve"> range</w:t>
      </w:r>
      <w:r w:rsidRPr="00CD265B">
        <w:t xml:space="preserve"> </w:t>
      </w:r>
      <w:r w:rsidR="00380605" w:rsidRPr="00CD265B">
        <w:t xml:space="preserve">from 37 </w:t>
      </w:r>
      <w:r w:rsidR="00B5470A" w:rsidRPr="00CD265B">
        <w:t>m</w:t>
      </w:r>
      <w:r w:rsidR="00380605" w:rsidRPr="00CD265B">
        <w:t xml:space="preserve">illion </w:t>
      </w:r>
      <w:r w:rsidRPr="00CD265B">
        <w:t xml:space="preserve">to 8 billion Euros and </w:t>
      </w:r>
      <w:r w:rsidR="006677AE" w:rsidRPr="00CD265B">
        <w:t>reflect</w:t>
      </w:r>
      <w:r w:rsidRPr="00CD265B">
        <w:t xml:space="preserve"> professionals with 17 years</w:t>
      </w:r>
      <w:r w:rsidR="00D61EDD">
        <w:t xml:space="preserve"> of</w:t>
      </w:r>
      <w:r w:rsidRPr="00CD265B">
        <w:t xml:space="preserve"> experience in the sourcing </w:t>
      </w:r>
      <w:r w:rsidR="00380605" w:rsidRPr="00CD265B">
        <w:t>doma</w:t>
      </w:r>
      <w:r w:rsidR="00332FEB" w:rsidRPr="00CD265B">
        <w:t>in on average (see Table 1). Small organi</w:t>
      </w:r>
      <w:r w:rsidR="003F14AB" w:rsidRPr="00CD265B">
        <w:t>z</w:t>
      </w:r>
      <w:r w:rsidR="00332FEB" w:rsidRPr="00CD265B">
        <w:t xml:space="preserve">ations were not considered due to </w:t>
      </w:r>
      <w:r w:rsidR="00D61EDD">
        <w:t xml:space="preserve">their </w:t>
      </w:r>
      <w:r w:rsidR="00332FEB" w:rsidRPr="00CD265B">
        <w:t>revenues, spend, organi</w:t>
      </w:r>
      <w:r w:rsidR="003F14AB" w:rsidRPr="00CD265B">
        <w:t>z</w:t>
      </w:r>
      <w:r w:rsidR="008F26B5" w:rsidRPr="00CD265B">
        <w:t>a</w:t>
      </w:r>
      <w:r w:rsidR="00332FEB" w:rsidRPr="00CD265B">
        <w:t>tional capabilities and fewer supplier relationships, which may have limited the num</w:t>
      </w:r>
      <w:r w:rsidR="00B5470A" w:rsidRPr="00CD265B">
        <w:t>ber of potential risk</w:t>
      </w:r>
      <w:r w:rsidR="00D61EDD">
        <w:t>s</w:t>
      </w:r>
      <w:r w:rsidR="00B5470A" w:rsidRPr="00CD265B">
        <w:t>.</w:t>
      </w:r>
    </w:p>
    <w:p w14:paraId="659082FA" w14:textId="6B64DF54" w:rsidR="009D4DB8" w:rsidRPr="00CD265B" w:rsidRDefault="009D4DB8" w:rsidP="00861B03">
      <w:pPr>
        <w:spacing w:line="480" w:lineRule="auto"/>
        <w:ind w:firstLine="567"/>
        <w:jc w:val="both"/>
      </w:pPr>
      <w:r w:rsidRPr="00CD265B">
        <w:t xml:space="preserve">The country selection is primarily </w:t>
      </w:r>
      <w:r w:rsidR="00BC62B2">
        <w:t xml:space="preserve">based on </w:t>
      </w:r>
      <w:r w:rsidRPr="00CD265B">
        <w:t>the fact that there is limited research in qualitative cross-country evaluation of strategic sourcing risk management practices in Germany and the</w:t>
      </w:r>
      <w:r w:rsidR="00BC62B2">
        <w:t xml:space="preserve"> UK</w:t>
      </w:r>
      <w:r w:rsidRPr="00CD265B">
        <w:t xml:space="preserve">. Also, Germany (No. 4) and the UK (No. 5) are within the world largest </w:t>
      </w:r>
      <w:r w:rsidR="00FA04E3" w:rsidRPr="00CD265B">
        <w:t>economies</w:t>
      </w:r>
      <w:r w:rsidRPr="00CD265B">
        <w:t xml:space="preserve"> and dominant in Europe (World-Bank</w:t>
      </w:r>
      <w:r w:rsidR="0029061C" w:rsidRPr="00CD265B">
        <w:t>,</w:t>
      </w:r>
      <w:r w:rsidRPr="00CD265B">
        <w:t xml:space="preserve"> 2015), therefore the expected findings should be significant and generali</w:t>
      </w:r>
      <w:r w:rsidR="000B4FEF" w:rsidRPr="00CD265B">
        <w:t>z</w:t>
      </w:r>
      <w:r w:rsidRPr="00CD265B">
        <w:t xml:space="preserve">able. Furthermore, Germany is in central Europe, known as </w:t>
      </w:r>
      <w:r w:rsidRPr="00CD265B">
        <w:lastRenderedPageBreak/>
        <w:t>transit country, and has strong export quota, whereas the UK is on an island and is therefore exposed to supply chain risks.</w:t>
      </w:r>
    </w:p>
    <w:p w14:paraId="73FDAC00" w14:textId="5DDF340B" w:rsidR="009D4DB8" w:rsidRPr="00CD265B" w:rsidRDefault="009D4DB8" w:rsidP="00861B03">
      <w:pPr>
        <w:spacing w:line="480" w:lineRule="auto"/>
        <w:ind w:firstLine="567"/>
        <w:jc w:val="both"/>
      </w:pPr>
      <w:r w:rsidRPr="00CD265B">
        <w:t>The construction and electronics manufacturing sectors were selected</w:t>
      </w:r>
      <w:r w:rsidR="00AA4864" w:rsidRPr="00CD265B">
        <w:t xml:space="preserve"> for this research</w:t>
      </w:r>
      <w:r w:rsidRPr="00CD265B">
        <w:t xml:space="preserve">. </w:t>
      </w:r>
      <w:r w:rsidR="00AA4864" w:rsidRPr="00CD265B">
        <w:t>T</w:t>
      </w:r>
      <w:r w:rsidRPr="00CD265B">
        <w:t xml:space="preserve">he construction sector is highly dependent on tight scheduling and </w:t>
      </w:r>
      <w:r w:rsidR="00AA4864" w:rsidRPr="00CD265B">
        <w:t xml:space="preserve">budget, and </w:t>
      </w:r>
      <w:r w:rsidRPr="00CD265B">
        <w:t>it utili</w:t>
      </w:r>
      <w:r w:rsidR="004668E0" w:rsidRPr="00CD265B">
        <w:t>z</w:t>
      </w:r>
      <w:r w:rsidRPr="00CD265B">
        <w:t xml:space="preserve">es a network planning structure instead of an assembly line approach. Typically, the spend distribution is high and often reaches millions of Euros, which leads to a higher bargain power of buyers. </w:t>
      </w:r>
      <w:r w:rsidR="00AA4864" w:rsidRPr="00CD265B">
        <w:t>T</w:t>
      </w:r>
      <w:r w:rsidRPr="00CD265B">
        <w:t xml:space="preserve">he electronics manufacturing sector is highly exposed to </w:t>
      </w:r>
      <w:r w:rsidR="00AA4864" w:rsidRPr="00CD265B">
        <w:t>global business environment</w:t>
      </w:r>
      <w:r w:rsidR="00B53C8B">
        <w:t>,</w:t>
      </w:r>
      <w:r w:rsidR="00AA4864" w:rsidRPr="00CD265B">
        <w:t xml:space="preserve"> including </w:t>
      </w:r>
      <w:r w:rsidRPr="00CD265B">
        <w:t>Asian markets</w:t>
      </w:r>
      <w:r w:rsidR="00B53C8B">
        <w:t>,</w:t>
      </w:r>
      <w:r w:rsidRPr="00CD265B">
        <w:t xml:space="preserve"> and has to cope with global sourcing, cultural </w:t>
      </w:r>
      <w:r w:rsidR="00AA4864" w:rsidRPr="00CD265B">
        <w:t>varieties</w:t>
      </w:r>
      <w:r w:rsidR="00985906" w:rsidRPr="00CD265B">
        <w:t>,</w:t>
      </w:r>
      <w:r w:rsidRPr="00CD265B">
        <w:t xml:space="preserve"> and lean supply chains. The electronic component crisis led to significant risks for organi</w:t>
      </w:r>
      <w:r w:rsidR="003F14AB" w:rsidRPr="00CD265B">
        <w:t>z</w:t>
      </w:r>
      <w:r w:rsidRPr="00CD265B">
        <w:t>ations</w:t>
      </w:r>
      <w:r w:rsidR="00AA4864" w:rsidRPr="00CD265B">
        <w:t xml:space="preserve"> in this sector</w:t>
      </w:r>
      <w:r w:rsidRPr="00CD265B">
        <w:t>, whereby the lead times for certain parts increased from a few days to months. In addition, the product life cycles became shorter and the electronic components changed frequently, which led to an additional risk exposure in single sourcing strategies and product design.</w:t>
      </w:r>
      <w:r w:rsidR="00AA4864" w:rsidRPr="00CD265B">
        <w:t xml:space="preserve"> Therefore, due to the </w:t>
      </w:r>
      <w:r w:rsidR="00B53C8B" w:rsidRPr="00CD265B">
        <w:t xml:space="preserve">varied </w:t>
      </w:r>
      <w:r w:rsidR="00AA4864" w:rsidRPr="00CD265B">
        <w:t>characteristics of both sectors</w:t>
      </w:r>
      <w:r w:rsidR="00B53C8B">
        <w:t>,</w:t>
      </w:r>
      <w:r w:rsidR="00AA4864" w:rsidRPr="00CD265B">
        <w:t xml:space="preserve"> we need to adopt different strategies to manage strategic sourcing in </w:t>
      </w:r>
      <w:r w:rsidR="008F26B5" w:rsidRPr="00CD265B">
        <w:t xml:space="preserve">construction and electronics </w:t>
      </w:r>
      <w:r w:rsidR="00AA4864" w:rsidRPr="00CD265B">
        <w:t xml:space="preserve">industries. Additionally, different countries have unique </w:t>
      </w:r>
      <w:r w:rsidR="00105D37" w:rsidRPr="00CD265B">
        <w:t>socio-economic and political landscape which calls for unique approach to managi</w:t>
      </w:r>
      <w:r w:rsidR="00EE0366" w:rsidRPr="00CD265B">
        <w:t>ng risks in strategic sourcing.</w:t>
      </w:r>
    </w:p>
    <w:p w14:paraId="5CFD1B1E" w14:textId="77777777" w:rsidR="001B10CB" w:rsidRPr="00CD265B" w:rsidRDefault="001B10CB" w:rsidP="001B10CB">
      <w:pPr>
        <w:spacing w:line="480" w:lineRule="auto"/>
        <w:jc w:val="both"/>
      </w:pPr>
    </w:p>
    <w:p w14:paraId="4C791A91" w14:textId="7506440F" w:rsidR="001B10CB" w:rsidRPr="00CD265B" w:rsidRDefault="001B10CB" w:rsidP="001B10CB">
      <w:pPr>
        <w:pStyle w:val="Caption"/>
      </w:pPr>
      <w:r w:rsidRPr="00CD265B">
        <w:t>Table 1: Company and interviewee characteristics</w:t>
      </w:r>
    </w:p>
    <w:tbl>
      <w:tblPr>
        <w:tblStyle w:val="HelleSchattierung24"/>
        <w:tblW w:w="0" w:type="auto"/>
        <w:tblLook w:val="04A0" w:firstRow="1" w:lastRow="0" w:firstColumn="1" w:lastColumn="0" w:noHBand="0" w:noVBand="1"/>
      </w:tblPr>
      <w:tblGrid>
        <w:gridCol w:w="2694"/>
        <w:gridCol w:w="800"/>
        <w:gridCol w:w="1801"/>
        <w:gridCol w:w="1801"/>
        <w:gridCol w:w="1693"/>
      </w:tblGrid>
      <w:tr w:rsidR="009D4DB8" w:rsidRPr="00CD265B" w14:paraId="43AC8E08" w14:textId="77777777" w:rsidTr="001B10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14:paraId="08C241FD" w14:textId="77777777" w:rsidR="009D4DB8" w:rsidRPr="00CD265B" w:rsidRDefault="009D4DB8" w:rsidP="00CF64A7">
            <w:pPr>
              <w:rPr>
                <w:sz w:val="20"/>
                <w:szCs w:val="20"/>
                <w:lang w:val="en-GB"/>
              </w:rPr>
            </w:pPr>
          </w:p>
        </w:tc>
        <w:tc>
          <w:tcPr>
            <w:tcW w:w="800" w:type="dxa"/>
            <w:shd w:val="clear" w:color="auto" w:fill="auto"/>
          </w:tcPr>
          <w:p w14:paraId="1F6A4301" w14:textId="77777777" w:rsidR="009D4DB8" w:rsidRPr="00CD265B" w:rsidRDefault="009D4DB8" w:rsidP="00CF64A7">
            <w:pPr>
              <w:jc w:val="center"/>
              <w:cnfStyle w:val="100000000000" w:firstRow="1" w:lastRow="0" w:firstColumn="0" w:lastColumn="0" w:oddVBand="0" w:evenVBand="0" w:oddHBand="0" w:evenHBand="0" w:firstRowFirstColumn="0" w:firstRowLastColumn="0" w:lastRowFirstColumn="0" w:lastRowLastColumn="0"/>
              <w:rPr>
                <w:sz w:val="20"/>
                <w:szCs w:val="20"/>
                <w:lang w:val="en-GB"/>
              </w:rPr>
            </w:pPr>
            <w:r w:rsidRPr="00CD265B">
              <w:rPr>
                <w:sz w:val="20"/>
                <w:szCs w:val="20"/>
                <w:lang w:val="en-GB"/>
              </w:rPr>
              <w:t>n</w:t>
            </w:r>
          </w:p>
        </w:tc>
        <w:tc>
          <w:tcPr>
            <w:tcW w:w="1801" w:type="dxa"/>
            <w:shd w:val="clear" w:color="auto" w:fill="auto"/>
          </w:tcPr>
          <w:p w14:paraId="4A994AC4" w14:textId="77777777" w:rsidR="009D4DB8" w:rsidRPr="00CD265B" w:rsidRDefault="009D4DB8" w:rsidP="00CF64A7">
            <w:pPr>
              <w:jc w:val="center"/>
              <w:cnfStyle w:val="100000000000" w:firstRow="1" w:lastRow="0" w:firstColumn="0" w:lastColumn="0" w:oddVBand="0" w:evenVBand="0" w:oddHBand="0" w:evenHBand="0" w:firstRowFirstColumn="0" w:firstRowLastColumn="0" w:lastRowFirstColumn="0" w:lastRowLastColumn="0"/>
              <w:rPr>
                <w:sz w:val="20"/>
                <w:szCs w:val="20"/>
                <w:lang w:val="en-GB"/>
              </w:rPr>
            </w:pPr>
            <w:r w:rsidRPr="00CD265B">
              <w:rPr>
                <w:sz w:val="20"/>
                <w:szCs w:val="20"/>
                <w:lang w:val="en-GB"/>
              </w:rPr>
              <w:t>Minimum</w:t>
            </w:r>
          </w:p>
        </w:tc>
        <w:tc>
          <w:tcPr>
            <w:tcW w:w="1801" w:type="dxa"/>
            <w:shd w:val="clear" w:color="auto" w:fill="auto"/>
          </w:tcPr>
          <w:p w14:paraId="75D60D07" w14:textId="77777777" w:rsidR="009D4DB8" w:rsidRPr="00CD265B" w:rsidRDefault="009D4DB8" w:rsidP="00CF64A7">
            <w:pPr>
              <w:jc w:val="center"/>
              <w:cnfStyle w:val="100000000000" w:firstRow="1" w:lastRow="0" w:firstColumn="0" w:lastColumn="0" w:oddVBand="0" w:evenVBand="0" w:oddHBand="0" w:evenHBand="0" w:firstRowFirstColumn="0" w:firstRowLastColumn="0" w:lastRowFirstColumn="0" w:lastRowLastColumn="0"/>
              <w:rPr>
                <w:sz w:val="20"/>
                <w:szCs w:val="20"/>
                <w:lang w:val="en-GB"/>
              </w:rPr>
            </w:pPr>
            <w:r w:rsidRPr="00CD265B">
              <w:rPr>
                <w:sz w:val="20"/>
                <w:szCs w:val="20"/>
                <w:lang w:val="en-GB"/>
              </w:rPr>
              <w:t>Maximum</w:t>
            </w:r>
          </w:p>
        </w:tc>
        <w:tc>
          <w:tcPr>
            <w:tcW w:w="1693" w:type="dxa"/>
            <w:shd w:val="clear" w:color="auto" w:fill="auto"/>
          </w:tcPr>
          <w:p w14:paraId="2FBEBEDA" w14:textId="77777777" w:rsidR="009D4DB8" w:rsidRPr="00CD265B" w:rsidRDefault="009D4DB8" w:rsidP="00CF64A7">
            <w:pPr>
              <w:jc w:val="center"/>
              <w:cnfStyle w:val="100000000000" w:firstRow="1" w:lastRow="0" w:firstColumn="0" w:lastColumn="0" w:oddVBand="0" w:evenVBand="0" w:oddHBand="0" w:evenHBand="0" w:firstRowFirstColumn="0" w:firstRowLastColumn="0" w:lastRowFirstColumn="0" w:lastRowLastColumn="0"/>
              <w:rPr>
                <w:sz w:val="20"/>
                <w:szCs w:val="20"/>
                <w:lang w:val="en-GB"/>
              </w:rPr>
            </w:pPr>
            <w:r w:rsidRPr="00CD265B">
              <w:rPr>
                <w:sz w:val="20"/>
                <w:szCs w:val="20"/>
                <w:lang w:val="en-GB"/>
              </w:rPr>
              <w:t>Average</w:t>
            </w:r>
          </w:p>
        </w:tc>
      </w:tr>
      <w:tr w:rsidR="009D4DB8" w:rsidRPr="00CD265B" w14:paraId="1B91D22D" w14:textId="77777777" w:rsidTr="001B10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14:paraId="4DD1A4C5" w14:textId="77777777" w:rsidR="009D4DB8" w:rsidRPr="00CD265B" w:rsidRDefault="009D4DB8" w:rsidP="00CF64A7">
            <w:pPr>
              <w:rPr>
                <w:sz w:val="20"/>
                <w:szCs w:val="20"/>
                <w:lang w:val="en-GB"/>
              </w:rPr>
            </w:pPr>
            <w:r w:rsidRPr="00CD265B">
              <w:rPr>
                <w:sz w:val="20"/>
                <w:szCs w:val="20"/>
                <w:lang w:val="en-GB"/>
              </w:rPr>
              <w:t>Revenue</w:t>
            </w:r>
          </w:p>
        </w:tc>
        <w:tc>
          <w:tcPr>
            <w:tcW w:w="800" w:type="dxa"/>
            <w:shd w:val="clear" w:color="auto" w:fill="auto"/>
          </w:tcPr>
          <w:p w14:paraId="7EAAE790" w14:textId="77777777" w:rsidR="009D4DB8" w:rsidRPr="00CD265B" w:rsidRDefault="009D4DB8" w:rsidP="00CF64A7">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CD265B">
              <w:rPr>
                <w:sz w:val="20"/>
                <w:szCs w:val="20"/>
                <w:lang w:val="en-GB"/>
              </w:rPr>
              <w:t>19</w:t>
            </w:r>
          </w:p>
        </w:tc>
        <w:tc>
          <w:tcPr>
            <w:tcW w:w="1801" w:type="dxa"/>
            <w:shd w:val="clear" w:color="auto" w:fill="auto"/>
          </w:tcPr>
          <w:p w14:paraId="7D8282E2" w14:textId="77777777" w:rsidR="009D4DB8" w:rsidRPr="00CD265B" w:rsidRDefault="009D4DB8" w:rsidP="00CF64A7">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CD265B">
              <w:rPr>
                <w:sz w:val="20"/>
                <w:szCs w:val="20"/>
                <w:lang w:val="en-GB"/>
              </w:rPr>
              <w:t>37 Mil. €</w:t>
            </w:r>
          </w:p>
        </w:tc>
        <w:tc>
          <w:tcPr>
            <w:tcW w:w="1801" w:type="dxa"/>
            <w:shd w:val="clear" w:color="auto" w:fill="auto"/>
          </w:tcPr>
          <w:p w14:paraId="12E416CF" w14:textId="77777777" w:rsidR="009D4DB8" w:rsidRPr="00CD265B" w:rsidRDefault="009D4DB8" w:rsidP="00CF64A7">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CD265B">
              <w:rPr>
                <w:sz w:val="20"/>
                <w:szCs w:val="20"/>
                <w:lang w:val="en-GB"/>
              </w:rPr>
              <w:t>8,123 Mil. €</w:t>
            </w:r>
          </w:p>
        </w:tc>
        <w:tc>
          <w:tcPr>
            <w:tcW w:w="1693" w:type="dxa"/>
            <w:shd w:val="clear" w:color="auto" w:fill="auto"/>
          </w:tcPr>
          <w:p w14:paraId="534BBCAB" w14:textId="77777777" w:rsidR="009D4DB8" w:rsidRPr="00CD265B" w:rsidRDefault="009D4DB8" w:rsidP="00CF64A7">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CD265B">
              <w:rPr>
                <w:sz w:val="20"/>
                <w:szCs w:val="20"/>
                <w:lang w:val="en-GB"/>
              </w:rPr>
              <w:t>1,594 Mil. €</w:t>
            </w:r>
          </w:p>
        </w:tc>
      </w:tr>
      <w:tr w:rsidR="009D4DB8" w:rsidRPr="00CD265B" w14:paraId="0CEB9673" w14:textId="77777777" w:rsidTr="001B10CB">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14:paraId="4438CAF5" w14:textId="77777777" w:rsidR="009D4DB8" w:rsidRPr="00CD265B" w:rsidRDefault="009D4DB8" w:rsidP="00CF64A7">
            <w:pPr>
              <w:rPr>
                <w:sz w:val="20"/>
                <w:szCs w:val="20"/>
                <w:lang w:val="en-GB"/>
              </w:rPr>
            </w:pPr>
          </w:p>
        </w:tc>
        <w:tc>
          <w:tcPr>
            <w:tcW w:w="800" w:type="dxa"/>
            <w:shd w:val="clear" w:color="auto" w:fill="auto"/>
          </w:tcPr>
          <w:p w14:paraId="51CF0533" w14:textId="77777777" w:rsidR="009D4DB8" w:rsidRPr="00CD265B" w:rsidRDefault="009D4DB8" w:rsidP="00CF64A7">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801" w:type="dxa"/>
            <w:shd w:val="clear" w:color="auto" w:fill="auto"/>
          </w:tcPr>
          <w:p w14:paraId="0E075A76" w14:textId="77777777" w:rsidR="009D4DB8" w:rsidRPr="00CD265B" w:rsidRDefault="009D4DB8" w:rsidP="00CF64A7">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801" w:type="dxa"/>
            <w:shd w:val="clear" w:color="auto" w:fill="auto"/>
          </w:tcPr>
          <w:p w14:paraId="4B2607AE" w14:textId="77777777" w:rsidR="009D4DB8" w:rsidRPr="00CD265B" w:rsidRDefault="009D4DB8" w:rsidP="00CF64A7">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693" w:type="dxa"/>
            <w:shd w:val="clear" w:color="auto" w:fill="auto"/>
          </w:tcPr>
          <w:p w14:paraId="0D017B80" w14:textId="77777777" w:rsidR="009D4DB8" w:rsidRPr="00CD265B" w:rsidRDefault="009D4DB8" w:rsidP="00CF64A7">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9D4DB8" w:rsidRPr="00CD265B" w14:paraId="776C1BEF" w14:textId="77777777" w:rsidTr="001B10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14:paraId="44F76F0D" w14:textId="77777777" w:rsidR="009D4DB8" w:rsidRPr="00CD265B" w:rsidRDefault="009D4DB8" w:rsidP="00CF64A7">
            <w:pPr>
              <w:rPr>
                <w:sz w:val="20"/>
                <w:szCs w:val="20"/>
                <w:lang w:val="en-GB"/>
              </w:rPr>
            </w:pPr>
            <w:r w:rsidRPr="00CD265B">
              <w:rPr>
                <w:sz w:val="20"/>
                <w:szCs w:val="20"/>
                <w:lang w:val="en-GB"/>
              </w:rPr>
              <w:t>Employees</w:t>
            </w:r>
          </w:p>
        </w:tc>
        <w:tc>
          <w:tcPr>
            <w:tcW w:w="800" w:type="dxa"/>
            <w:shd w:val="clear" w:color="auto" w:fill="auto"/>
          </w:tcPr>
          <w:p w14:paraId="636C252E" w14:textId="77777777" w:rsidR="009D4DB8" w:rsidRPr="00CD265B" w:rsidRDefault="009D4DB8" w:rsidP="00CF64A7">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CD265B">
              <w:rPr>
                <w:sz w:val="20"/>
                <w:szCs w:val="20"/>
                <w:lang w:val="en-GB"/>
              </w:rPr>
              <w:t>16</w:t>
            </w:r>
          </w:p>
        </w:tc>
        <w:tc>
          <w:tcPr>
            <w:tcW w:w="1801" w:type="dxa"/>
            <w:shd w:val="clear" w:color="auto" w:fill="auto"/>
          </w:tcPr>
          <w:p w14:paraId="46DB3F49" w14:textId="77777777" w:rsidR="009D4DB8" w:rsidRPr="00CD265B" w:rsidRDefault="009D4DB8" w:rsidP="00CF64A7">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CD265B">
              <w:rPr>
                <w:sz w:val="20"/>
                <w:szCs w:val="20"/>
                <w:lang w:val="en-GB"/>
              </w:rPr>
              <w:t>265</w:t>
            </w:r>
          </w:p>
        </w:tc>
        <w:tc>
          <w:tcPr>
            <w:tcW w:w="1801" w:type="dxa"/>
            <w:shd w:val="clear" w:color="auto" w:fill="auto"/>
          </w:tcPr>
          <w:p w14:paraId="6417AABC" w14:textId="77777777" w:rsidR="009D4DB8" w:rsidRPr="00CD265B" w:rsidRDefault="009D4DB8" w:rsidP="00CF64A7">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CD265B">
              <w:rPr>
                <w:sz w:val="20"/>
                <w:szCs w:val="20"/>
                <w:lang w:val="en-GB"/>
              </w:rPr>
              <w:t>58,312</w:t>
            </w:r>
          </w:p>
        </w:tc>
        <w:tc>
          <w:tcPr>
            <w:tcW w:w="1693" w:type="dxa"/>
            <w:shd w:val="clear" w:color="auto" w:fill="auto"/>
          </w:tcPr>
          <w:p w14:paraId="7AFDD89E" w14:textId="77777777" w:rsidR="009D4DB8" w:rsidRPr="00CD265B" w:rsidRDefault="009D4DB8" w:rsidP="00CF64A7">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CD265B">
              <w:rPr>
                <w:sz w:val="20"/>
                <w:szCs w:val="20"/>
                <w:lang w:val="en-GB"/>
              </w:rPr>
              <w:t>6,595</w:t>
            </w:r>
          </w:p>
        </w:tc>
      </w:tr>
      <w:tr w:rsidR="009D4DB8" w:rsidRPr="00CD265B" w14:paraId="63773152" w14:textId="77777777" w:rsidTr="001B10CB">
        <w:tc>
          <w:tcPr>
            <w:cnfStyle w:val="001000000000" w:firstRow="0" w:lastRow="0" w:firstColumn="1" w:lastColumn="0" w:oddVBand="0" w:evenVBand="0" w:oddHBand="0" w:evenHBand="0" w:firstRowFirstColumn="0" w:firstRowLastColumn="0" w:lastRowFirstColumn="0" w:lastRowLastColumn="0"/>
            <w:tcW w:w="2694" w:type="dxa"/>
            <w:tcBorders>
              <w:bottom w:val="nil"/>
            </w:tcBorders>
            <w:shd w:val="clear" w:color="auto" w:fill="auto"/>
          </w:tcPr>
          <w:p w14:paraId="09788774" w14:textId="77777777" w:rsidR="009D4DB8" w:rsidRPr="00CD265B" w:rsidRDefault="009D4DB8" w:rsidP="00CF64A7">
            <w:pPr>
              <w:rPr>
                <w:sz w:val="20"/>
                <w:szCs w:val="20"/>
                <w:lang w:val="en-GB"/>
              </w:rPr>
            </w:pPr>
          </w:p>
        </w:tc>
        <w:tc>
          <w:tcPr>
            <w:tcW w:w="800" w:type="dxa"/>
            <w:tcBorders>
              <w:bottom w:val="nil"/>
            </w:tcBorders>
            <w:shd w:val="clear" w:color="auto" w:fill="auto"/>
          </w:tcPr>
          <w:p w14:paraId="6FF128B5" w14:textId="77777777" w:rsidR="009D4DB8" w:rsidRPr="00CD265B" w:rsidRDefault="009D4DB8" w:rsidP="00CF64A7">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801" w:type="dxa"/>
            <w:tcBorders>
              <w:bottom w:val="nil"/>
            </w:tcBorders>
            <w:shd w:val="clear" w:color="auto" w:fill="auto"/>
          </w:tcPr>
          <w:p w14:paraId="11B3911B" w14:textId="77777777" w:rsidR="009D4DB8" w:rsidRPr="00CD265B" w:rsidRDefault="009D4DB8" w:rsidP="00CF64A7">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801" w:type="dxa"/>
            <w:tcBorders>
              <w:bottom w:val="nil"/>
            </w:tcBorders>
            <w:shd w:val="clear" w:color="auto" w:fill="auto"/>
          </w:tcPr>
          <w:p w14:paraId="30D27B45" w14:textId="77777777" w:rsidR="009D4DB8" w:rsidRPr="00CD265B" w:rsidRDefault="009D4DB8" w:rsidP="00CF64A7">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693" w:type="dxa"/>
            <w:tcBorders>
              <w:bottom w:val="nil"/>
            </w:tcBorders>
            <w:shd w:val="clear" w:color="auto" w:fill="auto"/>
          </w:tcPr>
          <w:p w14:paraId="15CFE454" w14:textId="77777777" w:rsidR="009D4DB8" w:rsidRPr="00CD265B" w:rsidRDefault="009D4DB8" w:rsidP="00CF64A7">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9D4DB8" w:rsidRPr="00CD265B" w14:paraId="35FF4E2E" w14:textId="77777777" w:rsidTr="001B10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top w:val="nil"/>
              <w:bottom w:val="single" w:sz="4" w:space="0" w:color="auto"/>
            </w:tcBorders>
            <w:shd w:val="clear" w:color="auto" w:fill="auto"/>
          </w:tcPr>
          <w:p w14:paraId="6EAC0994" w14:textId="77777777" w:rsidR="009D4DB8" w:rsidRPr="00CD265B" w:rsidRDefault="009D4DB8" w:rsidP="00CF64A7">
            <w:pPr>
              <w:rPr>
                <w:sz w:val="20"/>
                <w:szCs w:val="20"/>
                <w:lang w:val="en-GB"/>
              </w:rPr>
            </w:pPr>
            <w:r w:rsidRPr="00CD265B">
              <w:rPr>
                <w:sz w:val="20"/>
                <w:szCs w:val="20"/>
                <w:lang w:val="en-GB"/>
              </w:rPr>
              <w:t>Interviewees</w:t>
            </w:r>
          </w:p>
        </w:tc>
        <w:tc>
          <w:tcPr>
            <w:tcW w:w="800" w:type="dxa"/>
            <w:tcBorders>
              <w:top w:val="nil"/>
              <w:bottom w:val="single" w:sz="4" w:space="0" w:color="auto"/>
            </w:tcBorders>
            <w:shd w:val="clear" w:color="auto" w:fill="auto"/>
          </w:tcPr>
          <w:p w14:paraId="58F85718" w14:textId="77777777" w:rsidR="009D4DB8" w:rsidRPr="00CD265B" w:rsidRDefault="009D4DB8" w:rsidP="00CF64A7">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1801" w:type="dxa"/>
            <w:tcBorders>
              <w:top w:val="nil"/>
              <w:bottom w:val="single" w:sz="4" w:space="0" w:color="auto"/>
            </w:tcBorders>
            <w:shd w:val="clear" w:color="auto" w:fill="auto"/>
          </w:tcPr>
          <w:p w14:paraId="4A3215F3" w14:textId="77777777" w:rsidR="009D4DB8" w:rsidRPr="00CD265B" w:rsidRDefault="009D4DB8" w:rsidP="00CF64A7">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1801" w:type="dxa"/>
            <w:tcBorders>
              <w:top w:val="nil"/>
              <w:bottom w:val="single" w:sz="4" w:space="0" w:color="auto"/>
            </w:tcBorders>
            <w:shd w:val="clear" w:color="auto" w:fill="auto"/>
          </w:tcPr>
          <w:p w14:paraId="7E80EA22" w14:textId="77777777" w:rsidR="009D4DB8" w:rsidRPr="00CD265B" w:rsidRDefault="009D4DB8" w:rsidP="00CF64A7">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1693" w:type="dxa"/>
            <w:tcBorders>
              <w:top w:val="nil"/>
              <w:bottom w:val="single" w:sz="4" w:space="0" w:color="auto"/>
            </w:tcBorders>
            <w:shd w:val="clear" w:color="auto" w:fill="auto"/>
          </w:tcPr>
          <w:p w14:paraId="32A318E8" w14:textId="77777777" w:rsidR="009D4DB8" w:rsidRPr="00CD265B" w:rsidRDefault="009D4DB8" w:rsidP="00CF64A7">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p>
        </w:tc>
      </w:tr>
      <w:tr w:rsidR="009D4DB8" w:rsidRPr="00CD265B" w14:paraId="3FCEC4A1" w14:textId="77777777" w:rsidTr="001B10CB">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auto"/>
            </w:tcBorders>
            <w:shd w:val="clear" w:color="auto" w:fill="auto"/>
          </w:tcPr>
          <w:p w14:paraId="1E6702A5" w14:textId="77777777" w:rsidR="009D4DB8" w:rsidRPr="00CD265B" w:rsidRDefault="009D4DB8" w:rsidP="00CF64A7">
            <w:pPr>
              <w:rPr>
                <w:sz w:val="20"/>
                <w:szCs w:val="20"/>
                <w:lang w:val="en-GB"/>
              </w:rPr>
            </w:pPr>
            <w:r w:rsidRPr="00CD265B">
              <w:rPr>
                <w:sz w:val="20"/>
                <w:szCs w:val="20"/>
                <w:lang w:val="en-GB"/>
              </w:rPr>
              <w:t xml:space="preserve">Experience in current </w:t>
            </w:r>
            <w:r w:rsidRPr="00CD265B">
              <w:rPr>
                <w:sz w:val="20"/>
                <w:szCs w:val="20"/>
                <w:lang w:val="en-GB"/>
              </w:rPr>
              <w:br/>
              <w:t>position (years)</w:t>
            </w:r>
          </w:p>
        </w:tc>
        <w:tc>
          <w:tcPr>
            <w:tcW w:w="800" w:type="dxa"/>
            <w:tcBorders>
              <w:top w:val="single" w:sz="4" w:space="0" w:color="auto"/>
            </w:tcBorders>
            <w:shd w:val="clear" w:color="auto" w:fill="auto"/>
          </w:tcPr>
          <w:p w14:paraId="70DD35CD" w14:textId="77777777" w:rsidR="009D4DB8" w:rsidRPr="00CD265B" w:rsidRDefault="009D4DB8" w:rsidP="00CF64A7">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CD265B">
              <w:rPr>
                <w:sz w:val="20"/>
                <w:szCs w:val="20"/>
                <w:lang w:val="en-GB"/>
              </w:rPr>
              <w:t>16</w:t>
            </w:r>
          </w:p>
        </w:tc>
        <w:tc>
          <w:tcPr>
            <w:tcW w:w="1801" w:type="dxa"/>
            <w:tcBorders>
              <w:top w:val="single" w:sz="4" w:space="0" w:color="auto"/>
            </w:tcBorders>
            <w:shd w:val="clear" w:color="auto" w:fill="auto"/>
          </w:tcPr>
          <w:p w14:paraId="7165ECB6" w14:textId="77777777" w:rsidR="009D4DB8" w:rsidRPr="00CD265B" w:rsidRDefault="009D4DB8" w:rsidP="00CF64A7">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CD265B">
              <w:rPr>
                <w:sz w:val="20"/>
                <w:szCs w:val="20"/>
                <w:lang w:val="en-GB"/>
              </w:rPr>
              <w:t>2 years</w:t>
            </w:r>
          </w:p>
        </w:tc>
        <w:tc>
          <w:tcPr>
            <w:tcW w:w="1801" w:type="dxa"/>
            <w:tcBorders>
              <w:top w:val="single" w:sz="4" w:space="0" w:color="auto"/>
            </w:tcBorders>
            <w:shd w:val="clear" w:color="auto" w:fill="auto"/>
          </w:tcPr>
          <w:p w14:paraId="6E36EA0A" w14:textId="77777777" w:rsidR="009D4DB8" w:rsidRPr="00CD265B" w:rsidRDefault="009D4DB8" w:rsidP="00CF64A7">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CD265B">
              <w:rPr>
                <w:sz w:val="20"/>
                <w:szCs w:val="20"/>
                <w:lang w:val="en-GB"/>
              </w:rPr>
              <w:t>29 years</w:t>
            </w:r>
          </w:p>
        </w:tc>
        <w:tc>
          <w:tcPr>
            <w:tcW w:w="1693" w:type="dxa"/>
            <w:tcBorders>
              <w:top w:val="single" w:sz="4" w:space="0" w:color="auto"/>
            </w:tcBorders>
            <w:shd w:val="clear" w:color="auto" w:fill="auto"/>
          </w:tcPr>
          <w:p w14:paraId="4BBD7F70" w14:textId="77777777" w:rsidR="009D4DB8" w:rsidRPr="00CD265B" w:rsidRDefault="009D4DB8" w:rsidP="00CF64A7">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CD265B">
              <w:rPr>
                <w:sz w:val="20"/>
                <w:szCs w:val="20"/>
                <w:lang w:val="en-GB"/>
              </w:rPr>
              <w:t>8.5 years</w:t>
            </w:r>
          </w:p>
        </w:tc>
      </w:tr>
      <w:tr w:rsidR="009D4DB8" w:rsidRPr="00CD265B" w14:paraId="473EBAAB" w14:textId="77777777" w:rsidTr="001B10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14:paraId="7A5A1F43" w14:textId="77777777" w:rsidR="009D4DB8" w:rsidRPr="00CD265B" w:rsidRDefault="009D4DB8" w:rsidP="00CF64A7">
            <w:pPr>
              <w:rPr>
                <w:sz w:val="20"/>
                <w:szCs w:val="20"/>
                <w:lang w:val="en-GB"/>
              </w:rPr>
            </w:pPr>
            <w:r w:rsidRPr="00CD265B">
              <w:rPr>
                <w:sz w:val="20"/>
                <w:szCs w:val="20"/>
                <w:lang w:val="en-GB"/>
              </w:rPr>
              <w:t>Experience in sourcing in sum (years)</w:t>
            </w:r>
          </w:p>
        </w:tc>
        <w:tc>
          <w:tcPr>
            <w:tcW w:w="800" w:type="dxa"/>
            <w:shd w:val="clear" w:color="auto" w:fill="auto"/>
          </w:tcPr>
          <w:p w14:paraId="6E6E582E" w14:textId="77777777" w:rsidR="009D4DB8" w:rsidRPr="00CD265B" w:rsidRDefault="009D4DB8" w:rsidP="00CF64A7">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CD265B">
              <w:rPr>
                <w:sz w:val="20"/>
                <w:szCs w:val="20"/>
                <w:lang w:val="en-GB"/>
              </w:rPr>
              <w:t>13</w:t>
            </w:r>
          </w:p>
        </w:tc>
        <w:tc>
          <w:tcPr>
            <w:tcW w:w="1801" w:type="dxa"/>
            <w:shd w:val="clear" w:color="auto" w:fill="auto"/>
          </w:tcPr>
          <w:p w14:paraId="1A39CCE2" w14:textId="77777777" w:rsidR="009D4DB8" w:rsidRPr="00CD265B" w:rsidRDefault="009D4DB8" w:rsidP="00CF64A7">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CD265B">
              <w:rPr>
                <w:sz w:val="20"/>
                <w:szCs w:val="20"/>
                <w:lang w:val="en-GB"/>
              </w:rPr>
              <w:t>3 years</w:t>
            </w:r>
          </w:p>
        </w:tc>
        <w:tc>
          <w:tcPr>
            <w:tcW w:w="1801" w:type="dxa"/>
            <w:shd w:val="clear" w:color="auto" w:fill="auto"/>
          </w:tcPr>
          <w:p w14:paraId="3675AA6E" w14:textId="77777777" w:rsidR="009D4DB8" w:rsidRPr="00CD265B" w:rsidRDefault="009D4DB8" w:rsidP="00CF64A7">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CD265B">
              <w:rPr>
                <w:sz w:val="20"/>
                <w:szCs w:val="20"/>
                <w:lang w:val="en-GB"/>
              </w:rPr>
              <w:t>36 years</w:t>
            </w:r>
          </w:p>
        </w:tc>
        <w:tc>
          <w:tcPr>
            <w:tcW w:w="1693" w:type="dxa"/>
            <w:shd w:val="clear" w:color="auto" w:fill="auto"/>
          </w:tcPr>
          <w:p w14:paraId="5B181DDE" w14:textId="77777777" w:rsidR="009D4DB8" w:rsidRPr="00CD265B" w:rsidRDefault="009D4DB8" w:rsidP="00CF64A7">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CD265B">
              <w:rPr>
                <w:sz w:val="20"/>
                <w:szCs w:val="20"/>
                <w:lang w:val="en-GB"/>
              </w:rPr>
              <w:t>17.7 years</w:t>
            </w:r>
          </w:p>
        </w:tc>
      </w:tr>
    </w:tbl>
    <w:p w14:paraId="19841745" w14:textId="77777777" w:rsidR="00985906" w:rsidRPr="00CD265B" w:rsidRDefault="00985906" w:rsidP="00985906"/>
    <w:p w14:paraId="7B7D7559" w14:textId="70D0B5CC" w:rsidR="00985906" w:rsidRPr="00CD265B" w:rsidRDefault="00985906" w:rsidP="00985906">
      <w:pPr>
        <w:spacing w:line="480" w:lineRule="auto"/>
        <w:ind w:firstLine="567"/>
        <w:jc w:val="both"/>
      </w:pPr>
      <w:r w:rsidRPr="00CD265B">
        <w:t xml:space="preserve">The research reveals the answers to research questions on importance of risk management in strategic sourcing, specific risk factors that affect strategic sourcing, and methods that could </w:t>
      </w:r>
      <w:r w:rsidRPr="00CD265B">
        <w:lastRenderedPageBreak/>
        <w:t>be adopted to manage risks in strategic sourcing for industry sectors and countries (see Figure 1). Through case studies using interview protocol and document reviews within 20 organi</w:t>
      </w:r>
      <w:r w:rsidR="003F14AB" w:rsidRPr="00CD265B">
        <w:t>z</w:t>
      </w:r>
      <w:r w:rsidRPr="00CD265B">
        <w:t>ations in two countries (Germany and the UK) and two sectors (construction and electronics) data was collected and analy</w:t>
      </w:r>
      <w:r w:rsidR="004668E0" w:rsidRPr="00CD265B">
        <w:t>z</w:t>
      </w:r>
      <w:r w:rsidRPr="00CD265B">
        <w:t>ed.</w:t>
      </w:r>
    </w:p>
    <w:p w14:paraId="0603083C" w14:textId="77777777" w:rsidR="001B10CB" w:rsidRPr="00CD265B" w:rsidRDefault="001B10CB" w:rsidP="001B10CB">
      <w:pPr>
        <w:spacing w:line="480" w:lineRule="auto"/>
        <w:jc w:val="both"/>
      </w:pPr>
    </w:p>
    <w:p w14:paraId="6DFBA3F0" w14:textId="27ED2DED" w:rsidR="001B10CB" w:rsidRPr="00CD265B" w:rsidRDefault="001B10CB" w:rsidP="001B10CB">
      <w:pPr>
        <w:pStyle w:val="Caption"/>
      </w:pPr>
      <w:r w:rsidRPr="00CD265B">
        <w:rPr>
          <w:noProof/>
          <w:lang w:eastAsia="en-GB"/>
        </w:rPr>
        <w:drawing>
          <wp:anchor distT="0" distB="0" distL="114300" distR="114300" simplePos="0" relativeHeight="251658240" behindDoc="1" locked="0" layoutInCell="1" allowOverlap="1" wp14:anchorId="692DFB07" wp14:editId="723B1E7F">
            <wp:simplePos x="0" y="0"/>
            <wp:positionH relativeFrom="column">
              <wp:posOffset>5384</wp:posOffset>
            </wp:positionH>
            <wp:positionV relativeFrom="paragraph">
              <wp:posOffset>348615</wp:posOffset>
            </wp:positionV>
            <wp:extent cx="3011805" cy="2755900"/>
            <wp:effectExtent l="0" t="0" r="0" b="635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1805" cy="2755900"/>
                    </a:xfrm>
                    <a:prstGeom prst="rect">
                      <a:avLst/>
                    </a:prstGeom>
                    <a:noFill/>
                  </pic:spPr>
                </pic:pic>
              </a:graphicData>
            </a:graphic>
            <wp14:sizeRelH relativeFrom="margin">
              <wp14:pctWidth>0</wp14:pctWidth>
            </wp14:sizeRelH>
            <wp14:sizeRelV relativeFrom="margin">
              <wp14:pctHeight>0</wp14:pctHeight>
            </wp14:sizeRelV>
          </wp:anchor>
        </w:drawing>
      </w:r>
      <w:r w:rsidRPr="00CD265B">
        <w:t xml:space="preserve">Figure </w:t>
      </w:r>
      <w:r w:rsidR="00BC2048">
        <w:fldChar w:fldCharType="begin"/>
      </w:r>
      <w:r w:rsidR="00BC2048">
        <w:instrText xml:space="preserve"> SEQ Figure \* ARABIC </w:instrText>
      </w:r>
      <w:r w:rsidR="00BC2048">
        <w:fldChar w:fldCharType="separate"/>
      </w:r>
      <w:r w:rsidR="008E24D6">
        <w:rPr>
          <w:noProof/>
        </w:rPr>
        <w:t>1</w:t>
      </w:r>
      <w:r w:rsidR="00BC2048">
        <w:rPr>
          <w:noProof/>
        </w:rPr>
        <w:fldChar w:fldCharType="end"/>
      </w:r>
      <w:r w:rsidR="00E9584B" w:rsidRPr="00CD265B">
        <w:rPr>
          <w:noProof/>
        </w:rPr>
        <w:t>:</w:t>
      </w:r>
      <w:r w:rsidRPr="00CD265B">
        <w:t xml:space="preserve"> </w:t>
      </w:r>
      <w:r w:rsidRPr="00CD265B">
        <w:rPr>
          <w:b w:val="0"/>
        </w:rPr>
        <w:t>Research framework</w:t>
      </w:r>
      <w:r w:rsidR="00E9584B" w:rsidRPr="00CD265B">
        <w:rPr>
          <w:b w:val="0"/>
        </w:rPr>
        <w:t>.</w:t>
      </w:r>
    </w:p>
    <w:p w14:paraId="5AF069F9" w14:textId="12460156" w:rsidR="00E8576B" w:rsidRPr="00CD265B" w:rsidRDefault="00E8576B" w:rsidP="00BC1A7E">
      <w:pPr>
        <w:spacing w:line="480" w:lineRule="auto"/>
        <w:jc w:val="both"/>
      </w:pPr>
    </w:p>
    <w:p w14:paraId="2C13CE6B" w14:textId="6D9532EC" w:rsidR="009D4DB8" w:rsidRPr="00CD265B" w:rsidRDefault="00315D11" w:rsidP="009D4DB8">
      <w:pPr>
        <w:spacing w:line="480" w:lineRule="auto"/>
        <w:outlineLvl w:val="0"/>
        <w:rPr>
          <w:b/>
        </w:rPr>
      </w:pPr>
      <w:r>
        <w:rPr>
          <w:b/>
        </w:rPr>
        <w:t>2</w:t>
      </w:r>
      <w:r w:rsidR="006D0307" w:rsidRPr="00CD265B">
        <w:rPr>
          <w:b/>
        </w:rPr>
        <w:t xml:space="preserve">.1. </w:t>
      </w:r>
      <w:r w:rsidR="00BC1A7E" w:rsidRPr="00CD265B">
        <w:rPr>
          <w:b/>
        </w:rPr>
        <w:t xml:space="preserve">Data </w:t>
      </w:r>
      <w:r w:rsidR="00D826E4" w:rsidRPr="00CD265B">
        <w:rPr>
          <w:b/>
        </w:rPr>
        <w:t>c</w:t>
      </w:r>
      <w:r w:rsidR="00BC1A7E" w:rsidRPr="00CD265B">
        <w:rPr>
          <w:b/>
        </w:rPr>
        <w:t>ollection</w:t>
      </w:r>
    </w:p>
    <w:p w14:paraId="0EE2A5AF" w14:textId="610DF0E3" w:rsidR="009D4DB8" w:rsidRPr="00CD265B" w:rsidRDefault="009D4DB8" w:rsidP="001B10CB">
      <w:pPr>
        <w:spacing w:line="480" w:lineRule="auto"/>
        <w:jc w:val="both"/>
      </w:pPr>
      <w:r w:rsidRPr="00CD265B">
        <w:t xml:space="preserve">This research is </w:t>
      </w:r>
      <w:r w:rsidR="00D826E4" w:rsidRPr="00CD265B">
        <w:t>bas</w:t>
      </w:r>
      <w:r w:rsidRPr="00CD265B">
        <w:t>ed on in-depth semi-structured interviews, which is an adequate process to address the research questions (Yin</w:t>
      </w:r>
      <w:r w:rsidR="00A50B1D" w:rsidRPr="00CD265B">
        <w:t>,</w:t>
      </w:r>
      <w:r w:rsidRPr="00CD265B">
        <w:t xml:space="preserve"> 2003). An interview protocol was developed in line with the research questions</w:t>
      </w:r>
      <w:r w:rsidR="00DB3518" w:rsidRPr="00CD265B">
        <w:t xml:space="preserve"> (</w:t>
      </w:r>
      <w:r w:rsidR="00D826E4" w:rsidRPr="00CD265B">
        <w:t xml:space="preserve">see </w:t>
      </w:r>
      <w:r w:rsidR="00DB3518" w:rsidRPr="00CD265B">
        <w:t>Appendix 2)</w:t>
      </w:r>
      <w:r w:rsidRPr="00CD265B">
        <w:t>. Furthermore, to increase validity</w:t>
      </w:r>
      <w:r w:rsidR="00B53C8B">
        <w:t>,</w:t>
      </w:r>
      <w:r w:rsidRPr="00CD265B">
        <w:t xml:space="preserve"> a structured questionnaire was used at the end of the interview to collect information on relevant criteria and </w:t>
      </w:r>
      <w:r w:rsidR="00F32981" w:rsidRPr="00CD265B">
        <w:t>their</w:t>
      </w:r>
      <w:r w:rsidRPr="00CD265B">
        <w:t xml:space="preserve"> prioriti</w:t>
      </w:r>
      <w:r w:rsidR="000B4FEF" w:rsidRPr="00CD265B">
        <w:t>z</w:t>
      </w:r>
      <w:r w:rsidRPr="00CD265B">
        <w:t>ation. The interview protocol and the quest</w:t>
      </w:r>
      <w:r w:rsidR="00D826E4" w:rsidRPr="00CD265B">
        <w:t>ionnaire were</w:t>
      </w:r>
      <w:r w:rsidRPr="00CD265B">
        <w:t xml:space="preserve"> pre-tested and peer-reviewed by three researchers and one practitioner within the sourcing and procurement discipline. The feedback was incorporated into the final protocol and questionnaire. The main interview</w:t>
      </w:r>
      <w:r w:rsidR="00F32981" w:rsidRPr="00CD265B">
        <w:t>ee</w:t>
      </w:r>
      <w:r w:rsidRPr="00CD265B">
        <w:t xml:space="preserve">s were from the sourcing functions or in some cases with additional experts based on availability. Only in few construction companies, a function for sourcing and procurement </w:t>
      </w:r>
      <w:r w:rsidRPr="00CD265B">
        <w:lastRenderedPageBreak/>
        <w:t xml:space="preserve">was non-existing; though the commercial department took the interview responsible for the spending. Surprisingly, </w:t>
      </w:r>
      <w:r w:rsidR="006677AE" w:rsidRPr="00CD265B">
        <w:t xml:space="preserve">we noticed different reporting lines by industry of the interviewed persons. </w:t>
      </w:r>
      <w:r w:rsidRPr="00CD265B">
        <w:t xml:space="preserve">In construction industries, the sourcing function is likely reporting to the chief executive officer (CEO) domain, whereas the electronics industries mainly report to the chief financial officer (CFO) (see Figure </w:t>
      </w:r>
      <w:r w:rsidR="0053408F" w:rsidRPr="00CD265B">
        <w:t>2</w:t>
      </w:r>
      <w:r w:rsidRPr="00CD265B">
        <w:t>).</w:t>
      </w:r>
    </w:p>
    <w:p w14:paraId="27FAD0A4" w14:textId="77777777" w:rsidR="009D4DB8" w:rsidRPr="00CD265B" w:rsidRDefault="009D4DB8" w:rsidP="00E9584B">
      <w:pPr>
        <w:spacing w:line="480" w:lineRule="auto"/>
        <w:jc w:val="both"/>
      </w:pPr>
    </w:p>
    <w:p w14:paraId="13F93BCF" w14:textId="4394DBFC" w:rsidR="00E9584B" w:rsidRPr="00CD265B" w:rsidRDefault="00E9584B" w:rsidP="00E9584B">
      <w:pPr>
        <w:pStyle w:val="Caption"/>
        <w:rPr>
          <w:b w:val="0"/>
        </w:rPr>
      </w:pPr>
      <w:r w:rsidRPr="00CD265B">
        <w:t xml:space="preserve">Figure </w:t>
      </w:r>
      <w:r w:rsidR="00BC2048">
        <w:fldChar w:fldCharType="begin"/>
      </w:r>
      <w:r w:rsidR="00BC2048">
        <w:instrText xml:space="preserve"> SEQ Figure \* ARABIC </w:instrText>
      </w:r>
      <w:r w:rsidR="00BC2048">
        <w:fldChar w:fldCharType="separate"/>
      </w:r>
      <w:r w:rsidR="008E24D6">
        <w:rPr>
          <w:noProof/>
        </w:rPr>
        <w:t>2</w:t>
      </w:r>
      <w:r w:rsidR="00BC2048">
        <w:rPr>
          <w:noProof/>
        </w:rPr>
        <w:fldChar w:fldCharType="end"/>
      </w:r>
      <w:r w:rsidRPr="00CD265B">
        <w:rPr>
          <w:noProof/>
        </w:rPr>
        <w:t>:</w:t>
      </w:r>
      <w:r w:rsidRPr="00CD265B">
        <w:t xml:space="preserve"> </w:t>
      </w:r>
      <w:r w:rsidRPr="00CD265B">
        <w:rPr>
          <w:b w:val="0"/>
        </w:rPr>
        <w:t>Reporting hierarchies.</w:t>
      </w:r>
    </w:p>
    <w:p w14:paraId="5C22E18B" w14:textId="77777777" w:rsidR="009D4DB8" w:rsidRPr="00CD265B" w:rsidRDefault="009D4DB8" w:rsidP="00E9584B">
      <w:pPr>
        <w:spacing w:line="480" w:lineRule="auto"/>
      </w:pPr>
      <w:r w:rsidRPr="00CD265B">
        <w:rPr>
          <w:noProof/>
          <w:lang w:eastAsia="en-GB"/>
        </w:rPr>
        <w:drawing>
          <wp:inline distT="0" distB="0" distL="0" distR="0" wp14:anchorId="28BB645E" wp14:editId="3806245E">
            <wp:extent cx="3960000" cy="2151118"/>
            <wp:effectExtent l="19050" t="0" r="2400" b="0"/>
            <wp:docPr id="3"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0" cy="2151118"/>
                    </a:xfrm>
                    <a:prstGeom prst="rect">
                      <a:avLst/>
                    </a:prstGeom>
                    <a:noFill/>
                  </pic:spPr>
                </pic:pic>
              </a:graphicData>
            </a:graphic>
          </wp:inline>
        </w:drawing>
      </w:r>
    </w:p>
    <w:p w14:paraId="6DE8A58E" w14:textId="77777777" w:rsidR="009D4DB8" w:rsidRPr="00CD265B" w:rsidRDefault="009D4DB8" w:rsidP="00BC1A7E">
      <w:pPr>
        <w:spacing w:line="480" w:lineRule="auto"/>
        <w:jc w:val="both"/>
      </w:pPr>
    </w:p>
    <w:p w14:paraId="11243B44" w14:textId="58AED5B2" w:rsidR="009D4DB8" w:rsidRPr="00CD265B" w:rsidRDefault="009D4DB8" w:rsidP="009D4DB8">
      <w:pPr>
        <w:spacing w:line="480" w:lineRule="auto"/>
        <w:ind w:firstLine="567"/>
        <w:jc w:val="both"/>
      </w:pPr>
      <w:r w:rsidRPr="00CD265B">
        <w:t xml:space="preserve">All the interviews were conducted face-to-face between September 2011 and November 2012. With one exception, nineteen interviews were audio recorded with direct documentation of the spoken words with special agreements on confidentiality. The interviewees’ entire answers were used for analysis purposes and coding in NVivo 9 ©. </w:t>
      </w:r>
      <w:r w:rsidR="006677AE" w:rsidRPr="00CD265B">
        <w:t>Despite the pure interview</w:t>
      </w:r>
      <w:r w:rsidR="00F32981" w:rsidRPr="00CD265B">
        <w:t>s</w:t>
      </w:r>
      <w:r w:rsidR="006677AE" w:rsidRPr="00CD265B">
        <w:t xml:space="preserve">, companies </w:t>
      </w:r>
      <w:r w:rsidR="00D826E4" w:rsidRPr="00CD265B">
        <w:t xml:space="preserve">also </w:t>
      </w:r>
      <w:r w:rsidR="006677AE" w:rsidRPr="00CD265B">
        <w:t>showed their applied tools and methods to provide evidence. Corporate strategies and revenue data were derived from public available data. Further</w:t>
      </w:r>
      <w:r w:rsidR="00F50358" w:rsidRPr="00CD265B">
        <w:t>more</w:t>
      </w:r>
      <w:r w:rsidR="006677AE" w:rsidRPr="00CD265B">
        <w:t xml:space="preserve">, other public available data such as brochures or through the internet </w:t>
      </w:r>
      <w:r w:rsidRPr="00CD265B">
        <w:t xml:space="preserve">available information </w:t>
      </w:r>
      <w:r w:rsidR="00356FA0" w:rsidRPr="00CD265B">
        <w:t>was used.</w:t>
      </w:r>
    </w:p>
    <w:p w14:paraId="36024ACA" w14:textId="77777777" w:rsidR="009D4DB8" w:rsidRPr="00CD265B" w:rsidRDefault="009D4DB8" w:rsidP="009D4DB8">
      <w:pPr>
        <w:spacing w:line="480" w:lineRule="auto"/>
      </w:pPr>
    </w:p>
    <w:p w14:paraId="10FBEBDF" w14:textId="271D79D5" w:rsidR="009D4DB8" w:rsidRPr="00CD265B" w:rsidRDefault="00315D11" w:rsidP="009D4DB8">
      <w:pPr>
        <w:spacing w:line="480" w:lineRule="auto"/>
        <w:outlineLvl w:val="0"/>
        <w:rPr>
          <w:b/>
        </w:rPr>
      </w:pPr>
      <w:r>
        <w:rPr>
          <w:b/>
        </w:rPr>
        <w:t>2</w:t>
      </w:r>
      <w:r w:rsidR="006D0307" w:rsidRPr="00CD265B">
        <w:rPr>
          <w:b/>
        </w:rPr>
        <w:t xml:space="preserve">.2. </w:t>
      </w:r>
      <w:r w:rsidR="009D4DB8" w:rsidRPr="00CD265B">
        <w:rPr>
          <w:b/>
        </w:rPr>
        <w:t xml:space="preserve">Data </w:t>
      </w:r>
      <w:r w:rsidR="00D826E4" w:rsidRPr="00CD265B">
        <w:rPr>
          <w:b/>
        </w:rPr>
        <w:t>a</w:t>
      </w:r>
      <w:r w:rsidR="009D4DB8" w:rsidRPr="00CD265B">
        <w:rPr>
          <w:b/>
        </w:rPr>
        <w:t>nalysis</w:t>
      </w:r>
    </w:p>
    <w:p w14:paraId="7ABBB4C9" w14:textId="397C836A" w:rsidR="009D4DB8" w:rsidRPr="00CD265B" w:rsidRDefault="009D4DB8" w:rsidP="003259D7">
      <w:pPr>
        <w:spacing w:line="480" w:lineRule="auto"/>
        <w:jc w:val="both"/>
      </w:pPr>
      <w:r w:rsidRPr="00CD265B">
        <w:t xml:space="preserve">The empirical analysis is mainly based on an iterative and inductive process of reading, coding, </w:t>
      </w:r>
      <w:r w:rsidRPr="00AF27DB">
        <w:t xml:space="preserve">and interpretation as well as re-evaluation of the transcribed interview notes of </w:t>
      </w:r>
      <w:r w:rsidR="005E6302" w:rsidRPr="00AF27DB">
        <w:t>20</w:t>
      </w:r>
      <w:r w:rsidRPr="00AF27DB">
        <w:t xml:space="preserve"> case studies </w:t>
      </w:r>
      <w:r w:rsidRPr="00AF27DB">
        <w:lastRenderedPageBreak/>
        <w:t>(</w:t>
      </w:r>
      <w:r w:rsidR="00BC5CA6" w:rsidRPr="00AF27DB">
        <w:t>Miles and Huberman</w:t>
      </w:r>
      <w:r w:rsidR="009327F5" w:rsidRPr="00AF27DB">
        <w:t>,</w:t>
      </w:r>
      <w:r w:rsidR="00BC5CA6" w:rsidRPr="00AF27DB">
        <w:t xml:space="preserve"> 1994; </w:t>
      </w:r>
      <w:r w:rsidRPr="00AF27DB">
        <w:t>Yin</w:t>
      </w:r>
      <w:r w:rsidR="009327F5" w:rsidRPr="00AF27DB">
        <w:t>,</w:t>
      </w:r>
      <w:r w:rsidRPr="00AF27DB">
        <w:t xml:space="preserve"> 2009). Each case</w:t>
      </w:r>
      <w:r w:rsidRPr="00CD265B">
        <w:t xml:space="preserve"> study was analy</w:t>
      </w:r>
      <w:r w:rsidR="004668E0" w:rsidRPr="00CD265B">
        <w:t>z</w:t>
      </w:r>
      <w:r w:rsidRPr="00CD265B">
        <w:t>ed by the leading researcher using open and axial coding. In this step, the leading researcher manually assigned codes, categories or clusters for each of the interviews. For organi</w:t>
      </w:r>
      <w:r w:rsidR="003F14AB" w:rsidRPr="00CD265B">
        <w:t>z</w:t>
      </w:r>
      <w:r w:rsidRPr="00CD265B">
        <w:t>ational codes, attribute fields were used in NVivo</w:t>
      </w:r>
      <w:r w:rsidR="00BC5CA6" w:rsidRPr="00CD265B">
        <w:t>.</w:t>
      </w:r>
      <w:r w:rsidRPr="00CD265B">
        <w:t xml:space="preserve"> </w:t>
      </w:r>
      <w:r w:rsidR="00BC5CA6" w:rsidRPr="00CD265B">
        <w:t>I</w:t>
      </w:r>
      <w:r w:rsidRPr="00CD265B">
        <w:t>n addition</w:t>
      </w:r>
      <w:r w:rsidR="00BC5CA6" w:rsidRPr="00CD265B">
        <w:t>,</w:t>
      </w:r>
      <w:r w:rsidRPr="00CD265B">
        <w:t xml:space="preserve"> categories were used in accordance to the research framework. Each case study coding was reviewed by one independent researcher, where the coding and the transcript w</w:t>
      </w:r>
      <w:r w:rsidR="00BC5CA6" w:rsidRPr="00CD265B">
        <w:t>ere</w:t>
      </w:r>
      <w:r w:rsidRPr="00CD265B">
        <w:t xml:space="preserve"> peer reviewed. In addition, to further justify qualitative answers, the questionnaire w</w:t>
      </w:r>
      <w:r w:rsidR="00BC5CA6" w:rsidRPr="00CD265B">
        <w:t>as</w:t>
      </w:r>
      <w:r w:rsidRPr="00CD265B">
        <w:t xml:space="preserve"> used to verify the spoken word</w:t>
      </w:r>
      <w:r w:rsidR="00BC5CA6" w:rsidRPr="00CD265B">
        <w:t>s</w:t>
      </w:r>
      <w:r w:rsidRPr="00CD265B">
        <w:t xml:space="preserve"> with a written selection of criteria (e.g., criteria/factors to be selected). Finally, the data were used for cross-case analysis and pattern matching as well as grouping and frequency analysis. Overall, there was high confidence of the spoken word</w:t>
      </w:r>
      <w:r w:rsidR="00BC5CA6" w:rsidRPr="00CD265B">
        <w:t>s</w:t>
      </w:r>
      <w:r w:rsidRPr="00CD265B">
        <w:t xml:space="preserve"> during the interview</w:t>
      </w:r>
      <w:r w:rsidR="00BC5CA6" w:rsidRPr="00CD265B">
        <w:t>s</w:t>
      </w:r>
      <w:r w:rsidRPr="00CD265B">
        <w:t xml:space="preserve"> and the written questionnaire answer</w:t>
      </w:r>
      <w:r w:rsidR="00BC5CA6" w:rsidRPr="00CD265B">
        <w:t>s.</w:t>
      </w:r>
    </w:p>
    <w:p w14:paraId="0E137FEE" w14:textId="697FA072" w:rsidR="009D4DB8" w:rsidRPr="00CD265B" w:rsidRDefault="009D4DB8" w:rsidP="009D4DB8">
      <w:pPr>
        <w:spacing w:line="480" w:lineRule="auto"/>
        <w:ind w:firstLine="567"/>
        <w:jc w:val="both"/>
      </w:pPr>
      <w:r w:rsidRPr="00CD265B">
        <w:t>To ensure high level of reliability, we differentiate in construct, internal, external validity (Yin</w:t>
      </w:r>
      <w:r w:rsidR="003259D7" w:rsidRPr="00CD265B">
        <w:t>,</w:t>
      </w:r>
      <w:r w:rsidRPr="00CD265B">
        <w:t xml:space="preserve"> 2009). The construct validity is ensured by having multiple sources for cross-case analysis and a chain of evidence by transcripts as well as shown data and documents during the interview</w:t>
      </w:r>
      <w:r w:rsidR="00546B74" w:rsidRPr="00CD265B">
        <w:t>s</w:t>
      </w:r>
      <w:r w:rsidRPr="00CD265B">
        <w:t>. Further</w:t>
      </w:r>
      <w:r w:rsidR="00A31BC9" w:rsidRPr="00CD265B">
        <w:t>more</w:t>
      </w:r>
      <w:r w:rsidRPr="00CD265B">
        <w:t>, the interview protocol has open-ended and closed questions as well as a questionnaire to verify validity and evidence of answers. Internal validity is ensured through pattern matching as well as explanation building fr</w:t>
      </w:r>
      <w:r w:rsidR="00546B74" w:rsidRPr="00CD265B">
        <w:t>o</w:t>
      </w:r>
      <w:r w:rsidRPr="00CD265B">
        <w:t xml:space="preserve">m each of the cases. </w:t>
      </w:r>
      <w:r w:rsidR="00B178F6" w:rsidRPr="00CD265B">
        <w:t>To ensure</w:t>
      </w:r>
      <w:r w:rsidRPr="00CD265B">
        <w:t xml:space="preserve"> external validity</w:t>
      </w:r>
      <w:r w:rsidR="00B178F6" w:rsidRPr="00CD265B">
        <w:t>,</w:t>
      </w:r>
      <w:r w:rsidRPr="00CD265B">
        <w:t xml:space="preserve"> we used multiple cases</w:t>
      </w:r>
      <w:r w:rsidR="00B178F6" w:rsidRPr="00CD265B">
        <w:t xml:space="preserve"> in</w:t>
      </w:r>
      <w:r w:rsidRPr="00CD265B">
        <w:t xml:space="preserve"> two industries and two countries as well as replication logic in each of the cases. For reliability, we used a database of all interviews, interview protocols as well as audio taping. The inter-coder reliability was </w:t>
      </w:r>
      <w:r w:rsidR="00B178F6" w:rsidRPr="00CD265B">
        <w:t>conducted</w:t>
      </w:r>
      <w:r w:rsidRPr="00CD265B">
        <w:t xml:space="preserve"> through code review by the research team</w:t>
      </w:r>
      <w:r w:rsidR="00B178F6" w:rsidRPr="00CD265B">
        <w:t xml:space="preserve"> rather than </w:t>
      </w:r>
      <w:r w:rsidRPr="00CD265B">
        <w:t>ind</w:t>
      </w:r>
      <w:r w:rsidR="00B178F6" w:rsidRPr="00CD265B">
        <w:t>ividual</w:t>
      </w:r>
      <w:r w:rsidRPr="00CD265B">
        <w:t>ly</w:t>
      </w:r>
      <w:r w:rsidR="001F5A39" w:rsidRPr="00CD265B">
        <w:t xml:space="preserve"> to avoid bias</w:t>
      </w:r>
      <w:r w:rsidR="00B178F6" w:rsidRPr="00CD265B">
        <w:t>. Note that</w:t>
      </w:r>
      <w:r w:rsidRPr="00CD265B">
        <w:t xml:space="preserve"> </w:t>
      </w:r>
      <w:r w:rsidR="00B178F6" w:rsidRPr="00CD265B">
        <w:t xml:space="preserve">it was not </w:t>
      </w:r>
      <w:r w:rsidRPr="00CD265B">
        <w:t>system supported</w:t>
      </w:r>
      <w:r w:rsidR="00B178F6" w:rsidRPr="00CD265B">
        <w:t xml:space="preserve"> nor conducted sta</w:t>
      </w:r>
      <w:r w:rsidRPr="00CD265B">
        <w:t>tistic</w:t>
      </w:r>
      <w:r w:rsidR="00B178F6" w:rsidRPr="00CD265B">
        <w:t>ally because</w:t>
      </w:r>
      <w:r w:rsidRPr="00CD265B">
        <w:t xml:space="preserve"> there is no consensus in </w:t>
      </w:r>
      <w:r w:rsidR="00B178F6" w:rsidRPr="00CD265B">
        <w:t>the academic</w:t>
      </w:r>
      <w:r w:rsidRPr="00CD265B">
        <w:t xml:space="preserve"> literature on its evaluation and impact.</w:t>
      </w:r>
      <w:r w:rsidR="006D31AD" w:rsidRPr="00CD265B">
        <w:t xml:space="preserve"> Appendix 3 shows </w:t>
      </w:r>
      <w:r w:rsidR="00AD7254" w:rsidRPr="00CD265B">
        <w:t>th</w:t>
      </w:r>
      <w:r w:rsidR="00371EE2" w:rsidRPr="00CD265B">
        <w:t>e code structure and hierarchy.</w:t>
      </w:r>
    </w:p>
    <w:p w14:paraId="1D1F7926" w14:textId="77777777" w:rsidR="009D4DB8" w:rsidRPr="00CD265B" w:rsidRDefault="009D4DB8" w:rsidP="00BC1A7E">
      <w:pPr>
        <w:spacing w:line="480" w:lineRule="auto"/>
        <w:jc w:val="both"/>
      </w:pPr>
    </w:p>
    <w:p w14:paraId="5B77564F" w14:textId="5A611DF1" w:rsidR="00D25791" w:rsidRPr="00CD265B" w:rsidRDefault="00315D11" w:rsidP="00ED11E0">
      <w:pPr>
        <w:spacing w:line="480" w:lineRule="auto"/>
        <w:outlineLvl w:val="0"/>
        <w:rPr>
          <w:b/>
        </w:rPr>
      </w:pPr>
      <w:r>
        <w:rPr>
          <w:b/>
        </w:rPr>
        <w:t>3</w:t>
      </w:r>
      <w:r w:rsidR="006D0307" w:rsidRPr="00CD265B">
        <w:rPr>
          <w:b/>
        </w:rPr>
        <w:t xml:space="preserve">. </w:t>
      </w:r>
      <w:r w:rsidR="00E9584B" w:rsidRPr="00CD265B">
        <w:rPr>
          <w:b/>
        </w:rPr>
        <w:t>RESEARCH FINDINGS</w:t>
      </w:r>
    </w:p>
    <w:p w14:paraId="0C36F4B0" w14:textId="52E9F640" w:rsidR="00D25791" w:rsidRPr="00CD265B" w:rsidRDefault="00D25791" w:rsidP="00E9584B">
      <w:pPr>
        <w:spacing w:line="480" w:lineRule="auto"/>
        <w:jc w:val="both"/>
      </w:pPr>
      <w:r w:rsidRPr="00CD265B">
        <w:lastRenderedPageBreak/>
        <w:t>This section address</w:t>
      </w:r>
      <w:r w:rsidR="00AD7254" w:rsidRPr="00CD265B">
        <w:t>es</w:t>
      </w:r>
      <w:r w:rsidRPr="00CD265B">
        <w:t xml:space="preserve"> </w:t>
      </w:r>
      <w:r w:rsidR="007D23C7" w:rsidRPr="00CD265B">
        <w:t xml:space="preserve">the </w:t>
      </w:r>
      <w:r w:rsidR="008A6255" w:rsidRPr="00CD265B">
        <w:t>three</w:t>
      </w:r>
      <w:r w:rsidRPr="00CD265B">
        <w:t xml:space="preserve"> research questions based on the qualitative evaluation of </w:t>
      </w:r>
      <w:r w:rsidR="005E6302" w:rsidRPr="00CD265B">
        <w:t>20</w:t>
      </w:r>
      <w:r w:rsidRPr="00CD265B">
        <w:t xml:space="preserve"> case studies </w:t>
      </w:r>
      <w:r w:rsidR="00C34A05" w:rsidRPr="00CD265B">
        <w:t>in</w:t>
      </w:r>
      <w:r w:rsidRPr="00CD265B">
        <w:t xml:space="preserve"> Germany and </w:t>
      </w:r>
      <w:r w:rsidR="002D0CF1" w:rsidRPr="00CD265B">
        <w:t>the UK</w:t>
      </w:r>
      <w:r w:rsidR="00D42143" w:rsidRPr="00CD265B">
        <w:t>.</w:t>
      </w:r>
      <w:r w:rsidR="00F47AF1" w:rsidRPr="00CD265B">
        <w:t xml:space="preserve"> Appendix 4 summari</w:t>
      </w:r>
      <w:r w:rsidR="004668E0" w:rsidRPr="00CD265B">
        <w:t>z</w:t>
      </w:r>
      <w:r w:rsidR="00F47AF1" w:rsidRPr="00CD265B">
        <w:t xml:space="preserve">es the </w:t>
      </w:r>
      <w:r w:rsidR="00EE0366" w:rsidRPr="00CD265B">
        <w:t xml:space="preserve">findings </w:t>
      </w:r>
      <w:r w:rsidR="00AC7FB4" w:rsidRPr="00CD265B">
        <w:t>of</w:t>
      </w:r>
      <w:r w:rsidR="00EE0366" w:rsidRPr="00CD265B">
        <w:t xml:space="preserve"> the case studies.</w:t>
      </w:r>
    </w:p>
    <w:p w14:paraId="3355AB33" w14:textId="77777777" w:rsidR="00D25791" w:rsidRPr="00CD265B" w:rsidRDefault="00D25791" w:rsidP="00ED11E0">
      <w:pPr>
        <w:spacing w:line="480" w:lineRule="auto"/>
      </w:pPr>
    </w:p>
    <w:p w14:paraId="0B7D7AA6" w14:textId="10B8FA25" w:rsidR="00E91014" w:rsidRPr="00CD265B" w:rsidRDefault="00315D11" w:rsidP="00E9584B">
      <w:pPr>
        <w:spacing w:line="480" w:lineRule="auto"/>
        <w:jc w:val="both"/>
        <w:outlineLvl w:val="0"/>
        <w:rPr>
          <w:b/>
        </w:rPr>
      </w:pPr>
      <w:r>
        <w:rPr>
          <w:b/>
        </w:rPr>
        <w:t>3</w:t>
      </w:r>
      <w:r w:rsidR="00B11123" w:rsidRPr="00CD265B">
        <w:rPr>
          <w:b/>
        </w:rPr>
        <w:t xml:space="preserve">.1. </w:t>
      </w:r>
      <w:r w:rsidR="002D0CF1" w:rsidRPr="00CD265B">
        <w:rPr>
          <w:b/>
        </w:rPr>
        <w:t xml:space="preserve">To what extent the case companies faced </w:t>
      </w:r>
      <w:r w:rsidR="00B219E8" w:rsidRPr="00CD265B">
        <w:rPr>
          <w:b/>
        </w:rPr>
        <w:t>strategic sourcing</w:t>
      </w:r>
      <w:r w:rsidR="00E91014" w:rsidRPr="00CD265B">
        <w:rPr>
          <w:b/>
        </w:rPr>
        <w:t xml:space="preserve"> risks and how the strategic sourcing risks impact business performance?</w:t>
      </w:r>
    </w:p>
    <w:p w14:paraId="1FCB64ED" w14:textId="57BCDC67" w:rsidR="00047ED4" w:rsidRPr="00CD265B" w:rsidRDefault="001D4467" w:rsidP="00E9584B">
      <w:pPr>
        <w:spacing w:line="480" w:lineRule="auto"/>
        <w:jc w:val="both"/>
      </w:pPr>
      <w:r w:rsidRPr="00CD265B">
        <w:t>Nine o</w:t>
      </w:r>
      <w:r w:rsidR="00D25791" w:rsidRPr="00CD265B">
        <w:t xml:space="preserve">ut of twenty </w:t>
      </w:r>
      <w:r w:rsidR="00C34A05" w:rsidRPr="00CD265B">
        <w:t xml:space="preserve">companies </w:t>
      </w:r>
      <w:r w:rsidR="009640BA" w:rsidRPr="00CD265B">
        <w:t>stated that they faced significant risks by having a notable disturbance to the operational business in 2010/2011. Therefore, almost every second company was affected by a significant risk. The focus on these occurred risks, which had a significant impact to the company. In this context, there was no big difference from the country perspective nor from the industrial perspective. However, th</w:t>
      </w:r>
      <w:r w:rsidR="00AC7FB4" w:rsidRPr="00CD265B">
        <w:t>e key finding and difference is</w:t>
      </w:r>
      <w:r w:rsidR="009640BA" w:rsidRPr="00CD265B">
        <w:t xml:space="preserve"> that companies are affected by different risks within an industry.</w:t>
      </w:r>
      <w:r w:rsidR="00137944" w:rsidRPr="00CD265B">
        <w:t xml:space="preserve"> We did not </w:t>
      </w:r>
      <w:r w:rsidR="00AC7FB4" w:rsidRPr="00CD265B">
        <w:t>notice</w:t>
      </w:r>
      <w:r w:rsidR="00137944" w:rsidRPr="00CD265B">
        <w:t xml:space="preserve"> any country difference</w:t>
      </w:r>
      <w:r w:rsidR="00AC7FB4" w:rsidRPr="00CD265B">
        <w:t>,</w:t>
      </w:r>
      <w:r w:rsidR="00137944" w:rsidRPr="00CD265B">
        <w:t xml:space="preserve"> and </w:t>
      </w:r>
      <w:r w:rsidR="00CA4B50" w:rsidRPr="00CD265B">
        <w:t>risks do not stop at a border.</w:t>
      </w:r>
      <w:r w:rsidR="009640BA" w:rsidRPr="00CD265B">
        <w:t xml:space="preserve"> For </w:t>
      </w:r>
      <w:r w:rsidR="00CB24E3" w:rsidRPr="00CD265B">
        <w:t>example,</w:t>
      </w:r>
      <w:r w:rsidR="009640BA" w:rsidRPr="00CD265B">
        <w:t xml:space="preserve"> there seems to be a higher likelihood that companies in construction are more exposed to supplier insolvency and companies in the electronics sector by supply security</w:t>
      </w:r>
      <w:r w:rsidR="00CB24E3" w:rsidRPr="00CD265B">
        <w:t xml:space="preserve"> (see Figure </w:t>
      </w:r>
      <w:r w:rsidR="008457AC" w:rsidRPr="00CD265B">
        <w:t>3</w:t>
      </w:r>
      <w:r w:rsidR="00CB24E3" w:rsidRPr="00CD265B">
        <w:t>)</w:t>
      </w:r>
      <w:r w:rsidR="009640BA" w:rsidRPr="00CD265B">
        <w:t xml:space="preserve">. This can be of course argued, but to some degree it is obvious </w:t>
      </w:r>
      <w:r w:rsidR="00AC7FB4" w:rsidRPr="00CD265B">
        <w:t>because</w:t>
      </w:r>
      <w:r w:rsidR="00A370F2" w:rsidRPr="00CD265B">
        <w:t xml:space="preserve"> construction projects are </w:t>
      </w:r>
      <w:r w:rsidR="009640BA" w:rsidRPr="00CD265B">
        <w:t>capital intensive</w:t>
      </w:r>
      <w:r w:rsidR="00AC7FB4" w:rsidRPr="00CD265B">
        <w:t>,</w:t>
      </w:r>
      <w:r w:rsidR="009640BA" w:rsidRPr="00CD265B">
        <w:t xml:space="preserve"> </w:t>
      </w:r>
      <w:r w:rsidR="00AC7FB4" w:rsidRPr="00CD265B">
        <w:t>while</w:t>
      </w:r>
      <w:r w:rsidR="009640BA" w:rsidRPr="00CD265B">
        <w:t xml:space="preserve"> electronics industries normally focus on just-in-time </w:t>
      </w:r>
      <w:r w:rsidR="00AC7FB4" w:rsidRPr="00CD265B">
        <w:t>such that</w:t>
      </w:r>
      <w:r w:rsidR="009640BA" w:rsidRPr="00CD265B">
        <w:t xml:space="preserve"> even a missing </w:t>
      </w:r>
      <w:r w:rsidR="00AC7FB4" w:rsidRPr="00CD265B">
        <w:t xml:space="preserve">of </w:t>
      </w:r>
      <w:r w:rsidR="00C77E01" w:rsidRPr="00CD265B">
        <w:t>low-cost</w:t>
      </w:r>
      <w:r w:rsidR="009640BA" w:rsidRPr="00CD265B">
        <w:t xml:space="preserve"> part</w:t>
      </w:r>
      <w:r w:rsidR="00AC7FB4" w:rsidRPr="00CD265B">
        <w:t>s</w:t>
      </w:r>
      <w:r w:rsidR="009640BA" w:rsidRPr="00CD265B">
        <w:t xml:space="preserve"> can stop production. </w:t>
      </w:r>
      <w:r w:rsidR="00AC7FB4" w:rsidRPr="00CD265B">
        <w:t>It could also be argued</w:t>
      </w:r>
      <w:r w:rsidR="00CA4B50" w:rsidRPr="00CD265B">
        <w:t xml:space="preserve"> that UK faced a stronger economic downturn at this point in time, which could have led to higher bankruptcies. </w:t>
      </w:r>
      <w:r w:rsidR="00C75AFD" w:rsidRPr="00CD265B">
        <w:t>Nevertheless, supplier</w:t>
      </w:r>
      <w:r w:rsidR="00B60AE1" w:rsidRPr="00CD265B">
        <w:t>s’</w:t>
      </w:r>
      <w:r w:rsidR="00C75AFD" w:rsidRPr="00CD265B">
        <w:t xml:space="preserve"> bankruptcy is noted in every industry</w:t>
      </w:r>
      <w:r w:rsidR="00AC7FB4" w:rsidRPr="00CD265B">
        <w:t xml:space="preserve"> and</w:t>
      </w:r>
      <w:r w:rsidR="00C75AFD" w:rsidRPr="00CD265B">
        <w:t xml:space="preserve"> in every country</w:t>
      </w:r>
      <w:r w:rsidR="00AC7FB4" w:rsidRPr="00CD265B">
        <w:t xml:space="preserve">. </w:t>
      </w:r>
      <w:r w:rsidR="000576EE">
        <w:t>In practice</w:t>
      </w:r>
      <w:r w:rsidR="00AC7FB4" w:rsidRPr="00CD265B">
        <w:t>, it is</w:t>
      </w:r>
      <w:r w:rsidR="00C75AFD" w:rsidRPr="00CD265B">
        <w:t xml:space="preserve"> </w:t>
      </w:r>
      <w:r w:rsidR="000576EE">
        <w:t>relatively</w:t>
      </w:r>
      <w:r w:rsidR="00C75AFD" w:rsidRPr="00CD265B">
        <w:t xml:space="preserve"> hard to measure </w:t>
      </w:r>
      <w:r w:rsidR="006D63B0" w:rsidRPr="00CD265B">
        <w:t xml:space="preserve">because the </w:t>
      </w:r>
      <w:r w:rsidR="00C75AFD" w:rsidRPr="00CD265B">
        <w:t>creditworthiness score</w:t>
      </w:r>
      <w:r w:rsidR="006D63B0" w:rsidRPr="00CD265B">
        <w:t>s a</w:t>
      </w:r>
      <w:r w:rsidR="00C75AFD" w:rsidRPr="00CD265B">
        <w:t>re based on ex-post financial data.</w:t>
      </w:r>
      <w:r w:rsidR="00107B7D" w:rsidRPr="00CD265B">
        <w:t xml:space="preserve"> It is obvious that such risk is the most important factor in the framework nowadays.</w:t>
      </w:r>
    </w:p>
    <w:p w14:paraId="7BE8DEE6" w14:textId="77777777" w:rsidR="00E9584B" w:rsidRPr="00CD265B" w:rsidRDefault="00E9584B" w:rsidP="00737EA1">
      <w:pPr>
        <w:spacing w:line="480" w:lineRule="auto"/>
        <w:jc w:val="both"/>
      </w:pPr>
    </w:p>
    <w:p w14:paraId="2FBC0EC6" w14:textId="6B4CAD70" w:rsidR="00E9584B" w:rsidRPr="00CD265B" w:rsidRDefault="00E9584B" w:rsidP="00E9584B">
      <w:pPr>
        <w:pStyle w:val="Caption"/>
      </w:pPr>
      <w:r w:rsidRPr="00CD265B">
        <w:rPr>
          <w:noProof/>
          <w:lang w:eastAsia="en-GB"/>
        </w:rPr>
        <w:lastRenderedPageBreak/>
        <w:drawing>
          <wp:anchor distT="0" distB="0" distL="114300" distR="114300" simplePos="0" relativeHeight="251659264" behindDoc="0" locked="0" layoutInCell="1" allowOverlap="1" wp14:anchorId="31E2AFBB" wp14:editId="3E8534E7">
            <wp:simplePos x="0" y="0"/>
            <wp:positionH relativeFrom="column">
              <wp:posOffset>22860</wp:posOffset>
            </wp:positionH>
            <wp:positionV relativeFrom="paragraph">
              <wp:posOffset>322911</wp:posOffset>
            </wp:positionV>
            <wp:extent cx="5316220" cy="2212975"/>
            <wp:effectExtent l="0" t="0" r="0" b="0"/>
            <wp:wrapTopAndBottom/>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16220" cy="2212975"/>
                    </a:xfrm>
                    <a:prstGeom prst="rect">
                      <a:avLst/>
                    </a:prstGeom>
                    <a:noFill/>
                  </pic:spPr>
                </pic:pic>
              </a:graphicData>
            </a:graphic>
          </wp:anchor>
        </w:drawing>
      </w:r>
      <w:r w:rsidRPr="00CD265B">
        <w:t xml:space="preserve">Figure </w:t>
      </w:r>
      <w:r w:rsidR="00BC2048">
        <w:fldChar w:fldCharType="begin"/>
      </w:r>
      <w:r w:rsidR="00BC2048">
        <w:instrText xml:space="preserve"> SEQ Figure \* ARABIC </w:instrText>
      </w:r>
      <w:r w:rsidR="00BC2048">
        <w:fldChar w:fldCharType="separate"/>
      </w:r>
      <w:r w:rsidR="008E24D6">
        <w:rPr>
          <w:noProof/>
        </w:rPr>
        <w:t>3</w:t>
      </w:r>
      <w:r w:rsidR="00BC2048">
        <w:rPr>
          <w:noProof/>
        </w:rPr>
        <w:fldChar w:fldCharType="end"/>
      </w:r>
      <w:r w:rsidRPr="00CD265B">
        <w:rPr>
          <w:noProof/>
        </w:rPr>
        <w:t>:</w:t>
      </w:r>
      <w:r w:rsidRPr="00CD265B">
        <w:t xml:space="preserve"> </w:t>
      </w:r>
      <w:r w:rsidRPr="00CD265B">
        <w:rPr>
          <w:b w:val="0"/>
        </w:rPr>
        <w:t>Strategic sourcing risks faced.</w:t>
      </w:r>
    </w:p>
    <w:p w14:paraId="01A47AAF" w14:textId="77777777" w:rsidR="00737EA1" w:rsidRPr="00CD265B" w:rsidRDefault="00737EA1" w:rsidP="00737EA1">
      <w:pPr>
        <w:spacing w:line="480" w:lineRule="auto"/>
        <w:jc w:val="both"/>
      </w:pPr>
    </w:p>
    <w:p w14:paraId="2DE4D42C" w14:textId="2919B7E0" w:rsidR="009D4929" w:rsidRPr="00CD265B" w:rsidRDefault="00A370F2" w:rsidP="00A370F2">
      <w:pPr>
        <w:spacing w:line="480" w:lineRule="auto"/>
        <w:ind w:firstLine="567"/>
        <w:jc w:val="both"/>
      </w:pPr>
      <w:r w:rsidRPr="00CD265B">
        <w:t xml:space="preserve">Several companies claimed to be locked-in with a supplier due to technical specifications or single sourcing strategies. Those companies clearly indicated to move towards a dual supplier strategy for the critical </w:t>
      </w:r>
      <w:r w:rsidRPr="00AF27DB">
        <w:t>parts because of the significant disturbance, which is in line with the findings from the literature (</w:t>
      </w:r>
      <w:r w:rsidRPr="00AF27DB">
        <w:rPr>
          <w:color w:val="000000"/>
          <w:lang w:eastAsia="zh-CN"/>
        </w:rPr>
        <w:t>Yu et al.</w:t>
      </w:r>
      <w:r w:rsidR="009327F5" w:rsidRPr="00AF27DB">
        <w:rPr>
          <w:color w:val="000000"/>
          <w:lang w:eastAsia="zh-CN"/>
        </w:rPr>
        <w:t>,</w:t>
      </w:r>
      <w:r w:rsidRPr="00AF27DB">
        <w:rPr>
          <w:color w:val="000000"/>
          <w:lang w:eastAsia="zh-CN"/>
        </w:rPr>
        <w:t xml:space="preserve"> 2009</w:t>
      </w:r>
      <w:r w:rsidRPr="00AF27DB">
        <w:t>).</w:t>
      </w:r>
      <w:r w:rsidRPr="00CD265B">
        <w:t xml:space="preserve"> </w:t>
      </w:r>
      <w:r w:rsidR="009D4929" w:rsidRPr="00CD265B">
        <w:t>There is a risk expo</w:t>
      </w:r>
      <w:r w:rsidR="00C77E01" w:rsidRPr="00CD265B">
        <w:t>sure on supply security if single sourcing is applied (Yu et al.</w:t>
      </w:r>
      <w:r w:rsidR="009327F5" w:rsidRPr="00CD265B">
        <w:t>,</w:t>
      </w:r>
      <w:r w:rsidR="00107B7D" w:rsidRPr="00CD265B">
        <w:t xml:space="preserve"> 2009).</w:t>
      </w:r>
    </w:p>
    <w:p w14:paraId="196E2C14" w14:textId="77777777" w:rsidR="00107B7D" w:rsidRPr="00CD265B" w:rsidRDefault="00107B7D" w:rsidP="00107B7D">
      <w:pPr>
        <w:spacing w:line="480" w:lineRule="auto"/>
        <w:ind w:firstLine="567"/>
        <w:jc w:val="both"/>
        <w:rPr>
          <w:i/>
        </w:rPr>
      </w:pPr>
      <w:r w:rsidRPr="00CD265B">
        <w:t xml:space="preserve">UKEL5 underlines the need for changing specification and moving out of lock-in situations: </w:t>
      </w:r>
      <w:r w:rsidRPr="00CD265B">
        <w:rPr>
          <w:i/>
        </w:rPr>
        <w:t>"So, in the long run, I think it’s going to have to come down to us holding higher stock levels on certain critical products. Alternatively, in long-term development we should consider these issues in looking at the design of our equipment at the top end at the concept stage, so we bring in a few options that allow us to get the product operating at the specification we want it while offering us a spectrum of critical components that could fill into it. So, we are de-risking it from a design stage; however, that will take a number of months and years."</w:t>
      </w:r>
    </w:p>
    <w:p w14:paraId="20982565" w14:textId="77777777" w:rsidR="00107B7D" w:rsidRPr="00CD265B" w:rsidRDefault="00107B7D" w:rsidP="00107B7D">
      <w:pPr>
        <w:spacing w:line="480" w:lineRule="auto"/>
        <w:ind w:firstLine="567"/>
        <w:jc w:val="both"/>
      </w:pPr>
      <w:r w:rsidRPr="00CD265B">
        <w:t>Another surprise in the analysis is the impact of natural disasters. UKEL5 was hit by a supplier in Thailand:</w:t>
      </w:r>
      <w:r w:rsidRPr="00CD265B">
        <w:rPr>
          <w:i/>
        </w:rPr>
        <w:t xml:space="preserve"> "Yes. We had a situation because of the Thai flooding where a large proportion of hard drive manufacturing is based in Thailand, Seagate, and this affected us in that we buy standard set specification PCs from Hewlett-Packard and they manufacture this in Bulgaria and that then is shipped into the UK to a reseller that final configures and ships into </w:t>
      </w:r>
      <w:r w:rsidRPr="00CD265B">
        <w:rPr>
          <w:i/>
        </w:rPr>
        <w:lastRenderedPageBreak/>
        <w:t xml:space="preserve">our division." </w:t>
      </w:r>
      <w:r w:rsidRPr="00CD265B">
        <w:t>DEEL3 had similar flooding issue in Germany:</w:t>
      </w:r>
      <w:r w:rsidRPr="00CD265B">
        <w:rPr>
          <w:i/>
        </w:rPr>
        <w:t xml:space="preserve"> "The whole production site of our supplier was flooded and could not deliver."</w:t>
      </w:r>
    </w:p>
    <w:p w14:paraId="3EAC58D4" w14:textId="77777777" w:rsidR="00A370F2" w:rsidRPr="00CD265B" w:rsidRDefault="00A370F2" w:rsidP="00A370F2">
      <w:pPr>
        <w:spacing w:line="480" w:lineRule="auto"/>
        <w:ind w:firstLine="567"/>
        <w:jc w:val="both"/>
        <w:rPr>
          <w:i/>
        </w:rPr>
      </w:pPr>
      <w:r w:rsidRPr="00CD265B">
        <w:t xml:space="preserve">UKEL4 underlines the criticality: </w:t>
      </w:r>
      <w:r w:rsidRPr="00CD265B">
        <w:rPr>
          <w:i/>
        </w:rPr>
        <w:t>"Again, the balance of power was moving towards the buyer and then the tsunami affected everybody in electronics and it affected in a number of ways and the companies those lots of – there was a lot of companies bought up very early, so created a false demand in the market… the knock on effect those factors that were affected, often the companies had alternative factories, but because people loaded the order book it filled up capacity very quickly, so prices went up, lead times extended. And we just, in the last month, started to see that now reduced."</w:t>
      </w:r>
    </w:p>
    <w:p w14:paraId="1BEBAC56" w14:textId="56CA7DAA" w:rsidR="00D25791" w:rsidRPr="00CD265B" w:rsidRDefault="00C77E01" w:rsidP="00527BE0">
      <w:pPr>
        <w:spacing w:line="480" w:lineRule="auto"/>
        <w:ind w:firstLine="567"/>
        <w:jc w:val="both"/>
        <w:rPr>
          <w:i/>
        </w:rPr>
      </w:pPr>
      <w:r w:rsidRPr="00CD265B">
        <w:t>This research shows that there are only few materiali</w:t>
      </w:r>
      <w:r w:rsidR="004668E0" w:rsidRPr="00CD265B">
        <w:t>z</w:t>
      </w:r>
      <w:r w:rsidRPr="00CD265B">
        <w:t>ed risks and those vary across country and industry</w:t>
      </w:r>
      <w:r w:rsidR="00415896" w:rsidRPr="00CD265B">
        <w:t>. The findings are quite contrary to some literature proposing multi-criteria risks management tools</w:t>
      </w:r>
      <w:r w:rsidR="001C773B" w:rsidRPr="00CD265B">
        <w:t xml:space="preserve"> (Ho et al., 2015)</w:t>
      </w:r>
      <w:r w:rsidR="00751D13" w:rsidRPr="00CD265B">
        <w:t xml:space="preserve">, because basically the dominating risks were only two, which had significant impact. We also see that companies identify and try to manage multiple risks (see Figure 4), but </w:t>
      </w:r>
      <w:r w:rsidR="00390E55" w:rsidRPr="00CD265B">
        <w:t>at</w:t>
      </w:r>
      <w:r w:rsidR="00751D13" w:rsidRPr="00CD265B">
        <w:t xml:space="preserve"> a company level the number of criteria is a dozen or less. Of course, there could be more risks managed and proposed, but in this research only </w:t>
      </w:r>
      <w:r w:rsidR="00B60AE1" w:rsidRPr="00CD265B">
        <w:t xml:space="preserve">a </w:t>
      </w:r>
      <w:r w:rsidR="00751D13" w:rsidRPr="00CD265B">
        <w:t>few risks materiali</w:t>
      </w:r>
      <w:r w:rsidR="004668E0" w:rsidRPr="00CD265B">
        <w:t>z</w:t>
      </w:r>
      <w:r w:rsidR="00751D13" w:rsidRPr="00CD265B">
        <w:t>ed.</w:t>
      </w:r>
      <w:r w:rsidR="00EE0366" w:rsidRPr="00CD265B">
        <w:t xml:space="preserve"> </w:t>
      </w:r>
      <w:r w:rsidR="003938B2" w:rsidRPr="00CD265B">
        <w:t>W</w:t>
      </w:r>
      <w:r w:rsidRPr="00CD265B">
        <w:t xml:space="preserve">hen we consider the different strategies companies apply, it can be said that single </w:t>
      </w:r>
      <w:r w:rsidR="00D6398D" w:rsidRPr="00CD265B">
        <w:t>sourcing</w:t>
      </w:r>
      <w:r w:rsidRPr="00CD265B">
        <w:t xml:space="preserve"> leads to higher </w:t>
      </w:r>
      <w:r w:rsidR="003938B2" w:rsidRPr="00CD265B">
        <w:t xml:space="preserve">risk </w:t>
      </w:r>
      <w:r w:rsidRPr="00CD265B">
        <w:t>exposure, if a supplier does not deliver anymore. Albeit, supplier cred</w:t>
      </w:r>
      <w:r w:rsidR="00390E55" w:rsidRPr="00CD265B">
        <w:t>itworthiness is a kind of a traditional</w:t>
      </w:r>
      <w:r w:rsidRPr="00CD265B">
        <w:t xml:space="preserve"> criteri</w:t>
      </w:r>
      <w:r w:rsidR="00390E55" w:rsidRPr="00CD265B">
        <w:t>on</w:t>
      </w:r>
      <w:r w:rsidRPr="00CD265B">
        <w:t>, we may see that it can be a constant risk. Some of the companies are using agencies such as Dun &amp; Br</w:t>
      </w:r>
      <w:r w:rsidR="006F16FA" w:rsidRPr="00CD265B">
        <w:t>a</w:t>
      </w:r>
      <w:r w:rsidRPr="00CD265B">
        <w:t xml:space="preserve">dstreet for supplier creditworthiness rank, but the issue of these financial data is always ex-post based. The question is </w:t>
      </w:r>
      <w:r w:rsidR="00390E55" w:rsidRPr="00CD265B">
        <w:t>whether</w:t>
      </w:r>
      <w:r w:rsidRPr="00CD265B">
        <w:t xml:space="preserve"> </w:t>
      </w:r>
      <w:r w:rsidR="00390E55" w:rsidRPr="00CD265B">
        <w:t xml:space="preserve">a </w:t>
      </w:r>
      <w:r w:rsidRPr="00CD265B">
        <w:t xml:space="preserve">sufficient algorithm can be used to forecast supplier bankruptcy in the future. </w:t>
      </w:r>
      <w:r w:rsidR="00390E55" w:rsidRPr="00CD265B">
        <w:t>Besides</w:t>
      </w:r>
      <w:r w:rsidR="00D6398D" w:rsidRPr="00CD265B">
        <w:t>, we see supply continuity as one of the key risks in the electronics sector, which is more impactful to a just-in-time production th</w:t>
      </w:r>
      <w:r w:rsidR="00390E55" w:rsidRPr="00CD265B">
        <w:t>a</w:t>
      </w:r>
      <w:r w:rsidR="00D6398D" w:rsidRPr="00CD265B">
        <w:t>n in a large constructi</w:t>
      </w:r>
      <w:r w:rsidR="00390E55" w:rsidRPr="00CD265B">
        <w:t>on project. Nevertheless, we notice</w:t>
      </w:r>
      <w:r w:rsidR="00D6398D" w:rsidRPr="00CD265B">
        <w:t xml:space="preserve"> that </w:t>
      </w:r>
      <w:r w:rsidR="00390E55" w:rsidRPr="00CD265B">
        <w:t xml:space="preserve">such </w:t>
      </w:r>
      <w:r w:rsidR="00D6398D" w:rsidRPr="00CD265B">
        <w:t xml:space="preserve">risk also </w:t>
      </w:r>
      <w:r w:rsidR="00390E55" w:rsidRPr="00CD265B">
        <w:t>appears in the construction sector.</w:t>
      </w:r>
    </w:p>
    <w:p w14:paraId="7F813A35" w14:textId="74D2D35D" w:rsidR="00CA285A" w:rsidRPr="00CD265B" w:rsidRDefault="00D25791" w:rsidP="00ED11E0">
      <w:pPr>
        <w:spacing w:line="480" w:lineRule="auto"/>
        <w:ind w:firstLine="567"/>
        <w:jc w:val="both"/>
      </w:pPr>
      <w:r w:rsidRPr="00CD265B">
        <w:lastRenderedPageBreak/>
        <w:t>Risk events can have a significant impact on companies</w:t>
      </w:r>
      <w:r w:rsidR="002D0CF1" w:rsidRPr="00CD265B">
        <w:t>’</w:t>
      </w:r>
      <w:r w:rsidRPr="00CD265B">
        <w:t xml:space="preserve"> </w:t>
      </w:r>
      <w:r w:rsidR="009F36B1" w:rsidRPr="00CD265B">
        <w:t>business performance</w:t>
      </w:r>
      <w:r w:rsidRPr="00CD265B">
        <w:t xml:space="preserve">, if a manufacturing process is </w:t>
      </w:r>
      <w:r w:rsidR="00A370F2" w:rsidRPr="00CD265B">
        <w:t xml:space="preserve">disrupted </w:t>
      </w:r>
      <w:r w:rsidRPr="00CD265B">
        <w:t>or if the ordered goods are not delivered due to supply risks.</w:t>
      </w:r>
      <w:r w:rsidR="00527BE0" w:rsidRPr="00CD265B">
        <w:t xml:space="preserve"> The impacts vary across the industries and geographical location.</w:t>
      </w:r>
      <w:r w:rsidR="00132FDA" w:rsidRPr="00CD265B">
        <w:t xml:space="preserve"> </w:t>
      </w:r>
      <w:r w:rsidRPr="00CD265B">
        <w:t xml:space="preserve">From the case studies, seven </w:t>
      </w:r>
      <w:r w:rsidR="009F36B1" w:rsidRPr="00CD265B">
        <w:t xml:space="preserve">out of twenty </w:t>
      </w:r>
      <w:r w:rsidRPr="00CD265B">
        <w:t>companies confirmed</w:t>
      </w:r>
      <w:r w:rsidR="00F168C8" w:rsidRPr="00CD265B">
        <w:t xml:space="preserve"> </w:t>
      </w:r>
      <w:r w:rsidR="00851E8B" w:rsidRPr="00CD265B">
        <w:t xml:space="preserve">that an appropriate risk management in case a risk </w:t>
      </w:r>
      <w:r w:rsidR="00D6398D" w:rsidRPr="00CD265B">
        <w:t>materiali</w:t>
      </w:r>
      <w:r w:rsidR="004668E0" w:rsidRPr="00CD265B">
        <w:t>z</w:t>
      </w:r>
      <w:r w:rsidR="00D6398D" w:rsidRPr="00CD265B">
        <w:t>es</w:t>
      </w:r>
      <w:r w:rsidR="00851E8B" w:rsidRPr="00CD265B">
        <w:t>, will influence business performance and can even allow the company to win new customers or market share</w:t>
      </w:r>
      <w:r w:rsidR="00D6398D" w:rsidRPr="00CD265B">
        <w:t>; though to outperform against peers (see Figure 4).</w:t>
      </w:r>
      <w:r w:rsidRPr="00CD265B">
        <w:t xml:space="preserve"> </w:t>
      </w:r>
      <w:r w:rsidR="00851E8B" w:rsidRPr="00CD265B">
        <w:t>Two companies said, it has no impact. The remaining eleven compa</w:t>
      </w:r>
      <w:r w:rsidR="00390E55" w:rsidRPr="00CD265B">
        <w:t>nies had no serious risk event.</w:t>
      </w:r>
    </w:p>
    <w:p w14:paraId="5F3008EE" w14:textId="77777777" w:rsidR="00BC1894" w:rsidRPr="00CD265B" w:rsidRDefault="00BC1894" w:rsidP="00202DBC">
      <w:pPr>
        <w:spacing w:line="480" w:lineRule="auto"/>
        <w:jc w:val="both"/>
      </w:pPr>
    </w:p>
    <w:p w14:paraId="50D38660" w14:textId="1997A7E3" w:rsidR="00BC1894" w:rsidRPr="00CD265B" w:rsidRDefault="00BC1894" w:rsidP="00BC1894">
      <w:pPr>
        <w:pStyle w:val="Caption"/>
        <w:rPr>
          <w:b w:val="0"/>
        </w:rPr>
      </w:pPr>
      <w:r w:rsidRPr="00CD265B">
        <w:rPr>
          <w:noProof/>
          <w:lang w:eastAsia="en-GB"/>
        </w:rPr>
        <w:drawing>
          <wp:anchor distT="0" distB="0" distL="114300" distR="114300" simplePos="0" relativeHeight="251660288" behindDoc="0" locked="0" layoutInCell="1" allowOverlap="1" wp14:anchorId="4DAD84D4" wp14:editId="317BD6D7">
            <wp:simplePos x="0" y="0"/>
            <wp:positionH relativeFrom="margin">
              <wp:posOffset>33986</wp:posOffset>
            </wp:positionH>
            <wp:positionV relativeFrom="paragraph">
              <wp:posOffset>365760</wp:posOffset>
            </wp:positionV>
            <wp:extent cx="5562600" cy="3014345"/>
            <wp:effectExtent l="0" t="0" r="0" b="0"/>
            <wp:wrapTopAndBottom/>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62600" cy="3014345"/>
                    </a:xfrm>
                    <a:prstGeom prst="rect">
                      <a:avLst/>
                    </a:prstGeom>
                    <a:noFill/>
                  </pic:spPr>
                </pic:pic>
              </a:graphicData>
            </a:graphic>
          </wp:anchor>
        </w:drawing>
      </w:r>
      <w:r w:rsidRPr="00CD265B">
        <w:t xml:space="preserve">Figure 4: </w:t>
      </w:r>
      <w:r w:rsidRPr="00CD265B">
        <w:rPr>
          <w:b w:val="0"/>
        </w:rPr>
        <w:t>Impact of risks on business performance.</w:t>
      </w:r>
    </w:p>
    <w:p w14:paraId="1BA3082E" w14:textId="2C8E543B" w:rsidR="00851E8B" w:rsidRPr="00CD265B" w:rsidRDefault="00851E8B" w:rsidP="00202DBC">
      <w:pPr>
        <w:spacing w:line="480" w:lineRule="auto"/>
        <w:jc w:val="both"/>
      </w:pPr>
    </w:p>
    <w:p w14:paraId="16C23A2B" w14:textId="7C3D1448" w:rsidR="00D25791" w:rsidRPr="00CD265B" w:rsidRDefault="00D25791" w:rsidP="006F4816">
      <w:pPr>
        <w:spacing w:line="480" w:lineRule="auto"/>
        <w:ind w:firstLine="567"/>
        <w:jc w:val="both"/>
      </w:pPr>
      <w:r w:rsidRPr="00CD265B">
        <w:t xml:space="preserve">Our research shows that an appropriate risk management </w:t>
      </w:r>
      <w:r w:rsidR="00D6398D" w:rsidRPr="00CD265B">
        <w:t>can have an impact on business performance</w:t>
      </w:r>
      <w:r w:rsidR="006F4816" w:rsidRPr="00CD265B">
        <w:t xml:space="preserve">. </w:t>
      </w:r>
      <w:r w:rsidRPr="00CD265B">
        <w:t xml:space="preserve">Generally, companies confirmed to gain additional market share if a competitor was unable to deliver due to supply security </w:t>
      </w:r>
      <w:r w:rsidR="006F4816" w:rsidRPr="00CD265B">
        <w:t xml:space="preserve">or bankruptcy </w:t>
      </w:r>
      <w:r w:rsidRPr="00CD265B">
        <w:t>risks. The impact of supply capabilities, especially in a kind of a market shock situation</w:t>
      </w:r>
      <w:r w:rsidR="002D0CF1" w:rsidRPr="00CD265B">
        <w:t>,</w:t>
      </w:r>
      <w:r w:rsidRPr="00CD265B">
        <w:t xml:space="preserve"> such as the allocation of electronic parts, leads to a competitive advantage and increases the revenue of the company. </w:t>
      </w:r>
      <w:r w:rsidR="006F4816" w:rsidRPr="00CD265B">
        <w:t xml:space="preserve">On the other hand, we </w:t>
      </w:r>
      <w:r w:rsidR="00202DBC" w:rsidRPr="00CD265B">
        <w:t xml:space="preserve">also </w:t>
      </w:r>
      <w:r w:rsidR="006F4816" w:rsidRPr="00CD265B">
        <w:t xml:space="preserve">identified cases which faced similar risks such as bankruptcy or supply security, but did not </w:t>
      </w:r>
      <w:r w:rsidR="00202DBC" w:rsidRPr="00CD265B">
        <w:t>face</w:t>
      </w:r>
      <w:r w:rsidR="006F4816" w:rsidRPr="00CD265B">
        <w:t xml:space="preserve"> a significant disruption of their business. In this context, some had an </w:t>
      </w:r>
      <w:r w:rsidR="006F4816" w:rsidRPr="00CD265B">
        <w:lastRenderedPageBreak/>
        <w:t>established risk management, which may have prevented them but there have also been companies without appropriate practices without major disturbance.</w:t>
      </w:r>
    </w:p>
    <w:p w14:paraId="343E3E37" w14:textId="77777777" w:rsidR="009037DB" w:rsidRPr="00CD265B" w:rsidRDefault="009037DB" w:rsidP="00BC1A7E">
      <w:pPr>
        <w:spacing w:line="480" w:lineRule="auto"/>
        <w:jc w:val="both"/>
      </w:pPr>
    </w:p>
    <w:p w14:paraId="52E59F78" w14:textId="5D517EDC" w:rsidR="00D25791" w:rsidRPr="00CD265B" w:rsidRDefault="00315D11" w:rsidP="00ED11E0">
      <w:pPr>
        <w:spacing w:line="480" w:lineRule="auto"/>
        <w:outlineLvl w:val="0"/>
        <w:rPr>
          <w:b/>
        </w:rPr>
      </w:pPr>
      <w:r>
        <w:rPr>
          <w:b/>
        </w:rPr>
        <w:t>3</w:t>
      </w:r>
      <w:r w:rsidR="00B11123" w:rsidRPr="00CD265B">
        <w:rPr>
          <w:b/>
        </w:rPr>
        <w:t xml:space="preserve">.2. </w:t>
      </w:r>
      <w:r w:rsidR="00CB2804" w:rsidRPr="00CD265B">
        <w:rPr>
          <w:b/>
        </w:rPr>
        <w:t>What are the critical strategic sourcing risk factors?</w:t>
      </w:r>
    </w:p>
    <w:p w14:paraId="4E23901D" w14:textId="70D76052" w:rsidR="00D25791" w:rsidRPr="00CD265B" w:rsidRDefault="00D25791" w:rsidP="00BC1894">
      <w:pPr>
        <w:spacing w:line="480" w:lineRule="auto"/>
        <w:jc w:val="both"/>
      </w:pPr>
      <w:r w:rsidRPr="00CD265B">
        <w:t>Although companies considered several risk</w:t>
      </w:r>
      <w:r w:rsidR="00312D6D" w:rsidRPr="00CD265B">
        <w:t xml:space="preserve"> criteria</w:t>
      </w:r>
      <w:r w:rsidRPr="00CD265B">
        <w:t xml:space="preserve"> in their </w:t>
      </w:r>
      <w:r w:rsidR="00312D6D" w:rsidRPr="00CD265B">
        <w:t xml:space="preserve">supplier </w:t>
      </w:r>
      <w:r w:rsidRPr="00CD265B">
        <w:t>evaluation process, it became very clear that the key focus was suppliers</w:t>
      </w:r>
      <w:r w:rsidR="00CB2804" w:rsidRPr="00CD265B">
        <w:t>’</w:t>
      </w:r>
      <w:r w:rsidRPr="00CD265B">
        <w:t xml:space="preserve"> creditworthiness, followed by quality, supplier capabilities</w:t>
      </w:r>
      <w:r w:rsidR="00312D6D" w:rsidRPr="00CD265B">
        <w:t>,</w:t>
      </w:r>
      <w:r w:rsidRPr="00CD265B">
        <w:t xml:space="preserve"> and supply continuity</w:t>
      </w:r>
      <w:r w:rsidR="00312D6D" w:rsidRPr="00CD265B">
        <w:t xml:space="preserve">, as shown in </w:t>
      </w:r>
      <w:r w:rsidR="00147314" w:rsidRPr="00CD265B">
        <w:t>F</w:t>
      </w:r>
      <w:r w:rsidR="00312D6D" w:rsidRPr="00CD265B">
        <w:t xml:space="preserve">igure </w:t>
      </w:r>
      <w:r w:rsidR="008457AC" w:rsidRPr="00CD265B">
        <w:t>5</w:t>
      </w:r>
      <w:r w:rsidRPr="00CD265B">
        <w:t xml:space="preserve">. In some selective cases, the companies focus on price (commodity), country risks, or the </w:t>
      </w:r>
      <w:r w:rsidR="00CB2804" w:rsidRPr="00CD265B">
        <w:t>“</w:t>
      </w:r>
      <w:r w:rsidRPr="00CD265B">
        <w:t>end of product lifecycle</w:t>
      </w:r>
      <w:r w:rsidR="00CB2804" w:rsidRPr="00CD265B">
        <w:t>”</w:t>
      </w:r>
      <w:r w:rsidRPr="00CD265B">
        <w:t xml:space="preserve"> risks, when a supplier changes technology more frequently and the manufacturers cannot keep up with the speed of technological change, as well as t</w:t>
      </w:r>
      <w:r w:rsidR="00312D6D" w:rsidRPr="00CD265B">
        <w:t>he risk for know-how spying</w:t>
      </w:r>
      <w:r w:rsidR="006B29FB" w:rsidRPr="00CD265B">
        <w:t>.</w:t>
      </w:r>
    </w:p>
    <w:p w14:paraId="4A59D9F9" w14:textId="77777777" w:rsidR="00BC1894" w:rsidRPr="00CD265B" w:rsidRDefault="00BC1894" w:rsidP="00BC1894">
      <w:pPr>
        <w:spacing w:line="480" w:lineRule="auto"/>
        <w:jc w:val="both"/>
      </w:pPr>
    </w:p>
    <w:p w14:paraId="091D5181" w14:textId="3C4A2FAB" w:rsidR="00BC1894" w:rsidRPr="00CD265B" w:rsidRDefault="00BC1894" w:rsidP="00BC1894">
      <w:pPr>
        <w:pStyle w:val="Caption"/>
        <w:rPr>
          <w:b w:val="0"/>
        </w:rPr>
      </w:pPr>
      <w:bookmarkStart w:id="4" w:name="_Ref419529033"/>
      <w:bookmarkStart w:id="5" w:name="_Toc445628412"/>
      <w:r w:rsidRPr="00CD265B">
        <w:rPr>
          <w:noProof/>
          <w:lang w:eastAsia="en-GB"/>
        </w:rPr>
        <w:drawing>
          <wp:anchor distT="0" distB="0" distL="114300" distR="114300" simplePos="0" relativeHeight="251661312" behindDoc="0" locked="0" layoutInCell="1" allowOverlap="1" wp14:anchorId="2213AB40" wp14:editId="64BD5B47">
            <wp:simplePos x="0" y="0"/>
            <wp:positionH relativeFrom="margin">
              <wp:align>left</wp:align>
            </wp:positionH>
            <wp:positionV relativeFrom="paragraph">
              <wp:posOffset>392099</wp:posOffset>
            </wp:positionV>
            <wp:extent cx="5309870" cy="2761615"/>
            <wp:effectExtent l="0" t="0" r="5080" b="0"/>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09870" cy="2761615"/>
                    </a:xfrm>
                    <a:prstGeom prst="rect">
                      <a:avLst/>
                    </a:prstGeom>
                    <a:noFill/>
                  </pic:spPr>
                </pic:pic>
              </a:graphicData>
            </a:graphic>
          </wp:anchor>
        </w:drawing>
      </w:r>
      <w:r w:rsidRPr="00CD265B">
        <w:t xml:space="preserve">Figure </w:t>
      </w:r>
      <w:bookmarkEnd w:id="4"/>
      <w:r w:rsidRPr="00CD265B">
        <w:t xml:space="preserve">5: </w:t>
      </w:r>
      <w:r w:rsidRPr="00CD265B">
        <w:rPr>
          <w:b w:val="0"/>
        </w:rPr>
        <w:t>Critical risk factors</w:t>
      </w:r>
      <w:bookmarkEnd w:id="5"/>
      <w:r w:rsidRPr="00CD265B">
        <w:rPr>
          <w:b w:val="0"/>
        </w:rPr>
        <w:t xml:space="preserve"> considered in the strategic supplier selection.</w:t>
      </w:r>
    </w:p>
    <w:p w14:paraId="5107C106" w14:textId="426ABB35" w:rsidR="00737EA1" w:rsidRPr="00CD265B" w:rsidRDefault="00737EA1" w:rsidP="00737EA1">
      <w:pPr>
        <w:spacing w:line="480" w:lineRule="auto"/>
        <w:jc w:val="both"/>
      </w:pPr>
    </w:p>
    <w:p w14:paraId="0B5B085D" w14:textId="4BD09D9F" w:rsidR="006B29FB" w:rsidRPr="00CD265B" w:rsidRDefault="00D25791" w:rsidP="00ED11E0">
      <w:pPr>
        <w:spacing w:line="480" w:lineRule="auto"/>
        <w:ind w:firstLine="567"/>
        <w:jc w:val="both"/>
      </w:pPr>
      <w:r w:rsidRPr="00CD265B">
        <w:t>This qualitative evaluation from interviews shows that applied risk management practices in strategic sourcing primarily focus on suppliers</w:t>
      </w:r>
      <w:r w:rsidR="00CB2804" w:rsidRPr="00CD265B">
        <w:t>’</w:t>
      </w:r>
      <w:r w:rsidRPr="00CD265B">
        <w:t xml:space="preserve"> creditworthiness. Although the factor is important and companies want to make sure the</w:t>
      </w:r>
      <w:r w:rsidR="00147314" w:rsidRPr="00CD265B">
        <w:t>ir</w:t>
      </w:r>
      <w:r w:rsidRPr="00CD265B">
        <w:t xml:space="preserve"> supplier has a solid financial performance before being selected, the measurement and controlling </w:t>
      </w:r>
      <w:r w:rsidR="00CB2804" w:rsidRPr="00CD265B">
        <w:t>are</w:t>
      </w:r>
      <w:r w:rsidRPr="00CD265B">
        <w:t xml:space="preserve"> challenging. The reason is the </w:t>
      </w:r>
      <w:r w:rsidRPr="00CD265B">
        <w:lastRenderedPageBreak/>
        <w:t>momentum picture of financial information in a balance sheet or cash-flow statement. Although companies use external service providers</w:t>
      </w:r>
      <w:r w:rsidR="006B29FB" w:rsidRPr="00CD265B">
        <w:t>,</w:t>
      </w:r>
      <w:r w:rsidRPr="00CD265B">
        <w:t xml:space="preserve"> such as Dun &amp; Br</w:t>
      </w:r>
      <w:r w:rsidR="006F16FA" w:rsidRPr="00CD265B">
        <w:t>a</w:t>
      </w:r>
      <w:r w:rsidRPr="00CD265B">
        <w:t>dstreet</w:t>
      </w:r>
      <w:r w:rsidR="006B29FB" w:rsidRPr="00CD265B">
        <w:t>,</w:t>
      </w:r>
      <w:r w:rsidRPr="00CD265B">
        <w:t xml:space="preserve"> for providing financial metrics or credit-worthines</w:t>
      </w:r>
      <w:r w:rsidR="006B29FB" w:rsidRPr="00CD265B">
        <w:t>s, the provided information is not real-time.</w:t>
      </w:r>
    </w:p>
    <w:p w14:paraId="3E5C9527" w14:textId="6B997912" w:rsidR="00D25791" w:rsidRPr="00CD265B" w:rsidRDefault="00D25791" w:rsidP="00ED11E0">
      <w:pPr>
        <w:spacing w:line="480" w:lineRule="auto"/>
        <w:ind w:firstLine="567"/>
        <w:jc w:val="both"/>
      </w:pPr>
      <w:r w:rsidRPr="00CD265B">
        <w:t>If we reflect what companies tend to consider as important risk management criteria (see</w:t>
      </w:r>
      <w:r w:rsidR="006B29FB" w:rsidRPr="00CD265B">
        <w:t xml:space="preserve"> </w:t>
      </w:r>
      <w:r w:rsidR="006D7114">
        <w:t>3</w:t>
      </w:r>
      <w:r w:rsidR="005A430A" w:rsidRPr="00CD265B">
        <w:t>.</w:t>
      </w:r>
      <w:r w:rsidR="004F0379" w:rsidRPr="00CD265B">
        <w:t>2</w:t>
      </w:r>
      <w:r w:rsidRPr="00CD265B">
        <w:t>) and compare these to the real materiali</w:t>
      </w:r>
      <w:r w:rsidR="004668E0" w:rsidRPr="00CD265B">
        <w:t>z</w:t>
      </w:r>
      <w:r w:rsidRPr="00CD265B">
        <w:t>ed risks</w:t>
      </w:r>
      <w:r w:rsidR="006B29FB" w:rsidRPr="00CD265B">
        <w:t xml:space="preserve"> (see </w:t>
      </w:r>
      <w:r w:rsidR="006D7114">
        <w:t>3</w:t>
      </w:r>
      <w:r w:rsidR="005A430A" w:rsidRPr="00CD265B">
        <w:t>.1</w:t>
      </w:r>
      <w:r w:rsidR="006B29FB" w:rsidRPr="00CD265B">
        <w:t>)</w:t>
      </w:r>
      <w:r w:rsidRPr="00CD265B">
        <w:t xml:space="preserve">, </w:t>
      </w:r>
      <w:r w:rsidR="006B29FB" w:rsidRPr="00CD265B">
        <w:t>there is a</w:t>
      </w:r>
      <w:r w:rsidR="005A430A" w:rsidRPr="00CD265B">
        <w:t xml:space="preserve"> clear</w:t>
      </w:r>
      <w:r w:rsidR="006B29FB" w:rsidRPr="00CD265B">
        <w:t xml:space="preserve"> misalignment. </w:t>
      </w:r>
      <w:r w:rsidR="00C75AFD" w:rsidRPr="00CD265B">
        <w:t>Although supplier bankruptcy, natural disaster</w:t>
      </w:r>
      <w:r w:rsidR="00147314" w:rsidRPr="00CD265B">
        <w:t>,</w:t>
      </w:r>
      <w:r w:rsidR="00C75AFD" w:rsidRPr="00CD265B">
        <w:t xml:space="preserve"> and supply security have been dominating </w:t>
      </w:r>
      <w:r w:rsidR="006F4816" w:rsidRPr="00CD265B">
        <w:t xml:space="preserve">any companies in this research, </w:t>
      </w:r>
      <w:r w:rsidR="00147314" w:rsidRPr="00CD265B">
        <w:t>they are</w:t>
      </w:r>
      <w:r w:rsidR="006F4816" w:rsidRPr="00CD265B">
        <w:t xml:space="preserve"> not the main factor</w:t>
      </w:r>
      <w:r w:rsidR="00147314" w:rsidRPr="00CD265B">
        <w:t>s</w:t>
      </w:r>
      <w:r w:rsidR="006F4816" w:rsidRPr="00CD265B">
        <w:t xml:space="preserve"> in their eyes. For </w:t>
      </w:r>
      <w:r w:rsidR="00791765" w:rsidRPr="00CD265B">
        <w:t>example,</w:t>
      </w:r>
      <w:r w:rsidR="006F4816" w:rsidRPr="00CD265B">
        <w:t xml:space="preserve"> supplier bankruptcy (Figure 3) hit every UK </w:t>
      </w:r>
      <w:r w:rsidR="00791765" w:rsidRPr="00CD265B">
        <w:t xml:space="preserve">construction </w:t>
      </w:r>
      <w:r w:rsidR="006F4816" w:rsidRPr="00CD265B">
        <w:t xml:space="preserve">company </w:t>
      </w:r>
      <w:r w:rsidR="00791765" w:rsidRPr="00CD265B">
        <w:t xml:space="preserve">and supply security </w:t>
      </w:r>
      <w:r w:rsidR="00147314" w:rsidRPr="00CD265B">
        <w:t xml:space="preserve">affected </w:t>
      </w:r>
      <w:r w:rsidR="00791765" w:rsidRPr="00CD265B">
        <w:t>four UK electronics companies</w:t>
      </w:r>
      <w:r w:rsidR="000A316F" w:rsidRPr="00CD265B">
        <w:t>,</w:t>
      </w:r>
      <w:r w:rsidR="00791765" w:rsidRPr="00CD265B">
        <w:t xml:space="preserve"> but only two see this in construction as a critical factor as well as one in the UK electronics sector. The same applies for Germany, where in electronics the dominating risk was supply security, only o</w:t>
      </w:r>
      <w:r w:rsidR="00147314" w:rsidRPr="00CD265B">
        <w:t>ne company believe</w:t>
      </w:r>
      <w:r w:rsidR="00791765" w:rsidRPr="00CD265B">
        <w:t xml:space="preserve">s this is a critical factor. </w:t>
      </w:r>
      <w:r w:rsidR="00C75AFD" w:rsidRPr="00CD265B">
        <w:t>Therefore, companies should align and adjust their risk framework with materiali</w:t>
      </w:r>
      <w:r w:rsidR="004668E0" w:rsidRPr="00CD265B">
        <w:t>z</w:t>
      </w:r>
      <w:r w:rsidR="00C75AFD" w:rsidRPr="00CD265B">
        <w:t xml:space="preserve">ed risks. </w:t>
      </w:r>
      <w:r w:rsidR="009037DB" w:rsidRPr="00CD265B">
        <w:t xml:space="preserve">We may conclude that the risk management practices and criteria are still emerging. In this context, we see that emerging risks are only partially covered in a risk framework and more importantly are not part of the </w:t>
      </w:r>
      <w:r w:rsidR="004F0379" w:rsidRPr="00CD265B">
        <w:t>interviewees’</w:t>
      </w:r>
      <w:r w:rsidR="009037DB" w:rsidRPr="00CD265B">
        <w:t xml:space="preserve"> beliefs to be important. Although risks should be minimi</w:t>
      </w:r>
      <w:r w:rsidR="004668E0" w:rsidRPr="00CD265B">
        <w:t>z</w:t>
      </w:r>
      <w:r w:rsidR="009037DB" w:rsidRPr="00CD265B">
        <w:t>ed by selecting a strategic supplier, we see that there is no guarantee</w:t>
      </w:r>
      <w:r w:rsidR="000A316F" w:rsidRPr="00CD265B">
        <w:t xml:space="preserve"> in practice</w:t>
      </w:r>
      <w:r w:rsidR="009037DB" w:rsidRPr="00CD265B">
        <w:t xml:space="preserve">. </w:t>
      </w:r>
      <w:r w:rsidR="000A316F" w:rsidRPr="00CD265B">
        <w:t>It may be due to the fact that</w:t>
      </w:r>
      <w:r w:rsidR="009037DB" w:rsidRPr="00CD265B">
        <w:t xml:space="preserve"> supplier bankruptcy or supply security are really hard to predict. Therefore, and more importantly, we argue to have appropriate mitigation pl</w:t>
      </w:r>
      <w:r w:rsidR="000A316F" w:rsidRPr="00CD265B">
        <w:t>ans for all critical suppliers.</w:t>
      </w:r>
    </w:p>
    <w:p w14:paraId="204A8667" w14:textId="0ACCB358" w:rsidR="004F0379" w:rsidRPr="00CD265B" w:rsidRDefault="000A316F" w:rsidP="004F0379">
      <w:pPr>
        <w:spacing w:line="480" w:lineRule="auto"/>
        <w:ind w:firstLine="567"/>
        <w:jc w:val="both"/>
      </w:pPr>
      <w:r w:rsidRPr="00CD265B">
        <w:t>T</w:t>
      </w:r>
      <w:r w:rsidR="004F0379" w:rsidRPr="00CD265B">
        <w:t xml:space="preserve">here are slight variations of risk factors that are being considered in </w:t>
      </w:r>
      <w:r w:rsidR="008F26B5" w:rsidRPr="00CD265B">
        <w:t xml:space="preserve">construction and electronics </w:t>
      </w:r>
      <w:r w:rsidR="004F0379" w:rsidRPr="00CD265B">
        <w:t>industries</w:t>
      </w:r>
      <w:r w:rsidR="00E309E7" w:rsidRPr="00CD265B">
        <w:t xml:space="preserve"> in Germany and the UK</w:t>
      </w:r>
      <w:r w:rsidR="004F0379" w:rsidRPr="00CD265B">
        <w:t>. Construction companies emphasi</w:t>
      </w:r>
      <w:r w:rsidR="004668E0" w:rsidRPr="00CD265B">
        <w:t>z</w:t>
      </w:r>
      <w:r w:rsidR="004F0379" w:rsidRPr="00CD265B">
        <w:t>e on specifications compliance and lead time, whereas electronic</w:t>
      </w:r>
      <w:r w:rsidR="008F26B5" w:rsidRPr="00CD265B">
        <w:t>s</w:t>
      </w:r>
      <w:r w:rsidR="004F0379" w:rsidRPr="00CD265B">
        <w:t xml:space="preserve"> companies concern </w:t>
      </w:r>
      <w:r w:rsidRPr="00CD265B">
        <w:t>with</w:t>
      </w:r>
      <w:r w:rsidR="004F0379" w:rsidRPr="00CD265B">
        <w:t xml:space="preserve"> country specific risk (e.g.</w:t>
      </w:r>
      <w:r w:rsidR="00737EA1" w:rsidRPr="00CD265B">
        <w:t>,</w:t>
      </w:r>
      <w:r w:rsidR="004F0379" w:rsidRPr="00CD265B">
        <w:t xml:space="preserve"> political and environmental) and product end of life related issues. German companies </w:t>
      </w:r>
      <w:r w:rsidR="00E309E7" w:rsidRPr="00CD265B">
        <w:t>are</w:t>
      </w:r>
      <w:r w:rsidR="004F0379" w:rsidRPr="00CD265B">
        <w:t xml:space="preserve"> more concerned</w:t>
      </w:r>
      <w:r w:rsidR="00E309E7" w:rsidRPr="00CD265B">
        <w:t xml:space="preserve"> with</w:t>
      </w:r>
      <w:r w:rsidR="004F0379" w:rsidRPr="00CD265B">
        <w:t xml:space="preserve"> materials specification compared to the UK companies. </w:t>
      </w:r>
      <w:r w:rsidR="00F87F0E" w:rsidRPr="00CD265B">
        <w:t>O</w:t>
      </w:r>
      <w:r w:rsidR="004F0379" w:rsidRPr="00CD265B">
        <w:t>n the contrary, the UK companies emphasi</w:t>
      </w:r>
      <w:r w:rsidR="004668E0" w:rsidRPr="00CD265B">
        <w:t>z</w:t>
      </w:r>
      <w:r w:rsidR="004F0379" w:rsidRPr="00CD265B">
        <w:t>e on</w:t>
      </w:r>
      <w:r w:rsidR="00147314" w:rsidRPr="00CD265B">
        <w:t xml:space="preserve"> life cycle aspect of products.</w:t>
      </w:r>
    </w:p>
    <w:p w14:paraId="00D2C9F2" w14:textId="1A3F5925" w:rsidR="003040A9" w:rsidRPr="00CD265B" w:rsidRDefault="003040A9" w:rsidP="00EE0366">
      <w:pPr>
        <w:spacing w:line="480" w:lineRule="auto"/>
        <w:jc w:val="both"/>
      </w:pPr>
    </w:p>
    <w:p w14:paraId="3199F50C" w14:textId="3D910F11" w:rsidR="003959C1" w:rsidRPr="00CD265B" w:rsidRDefault="00315D11" w:rsidP="003959C1">
      <w:pPr>
        <w:spacing w:line="480" w:lineRule="auto"/>
        <w:outlineLvl w:val="0"/>
        <w:rPr>
          <w:b/>
        </w:rPr>
      </w:pPr>
      <w:r>
        <w:rPr>
          <w:b/>
        </w:rPr>
        <w:lastRenderedPageBreak/>
        <w:t>3</w:t>
      </w:r>
      <w:r w:rsidR="00B11123" w:rsidRPr="00CD265B">
        <w:rPr>
          <w:b/>
        </w:rPr>
        <w:t xml:space="preserve">.3. </w:t>
      </w:r>
      <w:r w:rsidR="003959C1" w:rsidRPr="00CD265B">
        <w:rPr>
          <w:b/>
        </w:rPr>
        <w:t>To what extent the case companies adopt risk management methods/tools?</w:t>
      </w:r>
    </w:p>
    <w:p w14:paraId="7A5AA6AC" w14:textId="1EC855F8" w:rsidR="002117F4" w:rsidRPr="00CD265B" w:rsidRDefault="003959C1" w:rsidP="00BC1894">
      <w:pPr>
        <w:spacing w:line="480" w:lineRule="auto"/>
        <w:jc w:val="both"/>
      </w:pPr>
      <w:r w:rsidRPr="00CD265B">
        <w:t>Out of twenty cases, only ten companies had a formali</w:t>
      </w:r>
      <w:r w:rsidR="004668E0" w:rsidRPr="00CD265B">
        <w:t>z</w:t>
      </w:r>
      <w:r w:rsidRPr="00CD265B">
        <w:t xml:space="preserve">ed risk management, which was either managed on a corporate level or, particularly, in sourcing. </w:t>
      </w:r>
      <w:r w:rsidR="002117F4" w:rsidRPr="00CD265B">
        <w:t xml:space="preserve">In an ideal world, this approach would be based on an IT system and established across different departments. The findings of the interviews uncover variations in how risk management programmes are established. Especially, there is a country specific difference in construction sector, where </w:t>
      </w:r>
      <w:r w:rsidR="00C52B69" w:rsidRPr="00CD265B">
        <w:t>no single company</w:t>
      </w:r>
      <w:r w:rsidR="002117F4" w:rsidRPr="00CD265B">
        <w:t xml:space="preserve"> in Germany does use risk management program</w:t>
      </w:r>
      <w:r w:rsidR="000F5E08" w:rsidRPr="00CD265B">
        <w:t>me</w:t>
      </w:r>
      <w:r w:rsidR="002117F4" w:rsidRPr="00CD265B">
        <w:t>s in strategic so</w:t>
      </w:r>
      <w:r w:rsidR="00B36548" w:rsidRPr="00CD265B">
        <w:t>urcing</w:t>
      </w:r>
      <w:r w:rsidR="002117F4" w:rsidRPr="00CD265B">
        <w:t xml:space="preserve"> compared with its UK peers</w:t>
      </w:r>
      <w:r w:rsidR="00B36548" w:rsidRPr="00CD265B">
        <w:t>, where almost every company have risk management established</w:t>
      </w:r>
      <w:r w:rsidR="002117F4" w:rsidRPr="00CD265B">
        <w:t xml:space="preserve"> (see Figure </w:t>
      </w:r>
      <w:r w:rsidR="008457AC" w:rsidRPr="00CD265B">
        <w:t>6</w:t>
      </w:r>
      <w:r w:rsidR="002117F4" w:rsidRPr="00CD265B">
        <w:t xml:space="preserve">). </w:t>
      </w:r>
      <w:r w:rsidR="00C52B69" w:rsidRPr="00CD265B">
        <w:t>Considering the materiali</w:t>
      </w:r>
      <w:r w:rsidR="004668E0" w:rsidRPr="00CD265B">
        <w:t>z</w:t>
      </w:r>
      <w:r w:rsidR="00C52B69" w:rsidRPr="00CD265B">
        <w:t xml:space="preserve">ed risk by only one company in Germany, the impact of risk management can be debatable. On the contrary, the impact and significance of risks faced in the electronics sector is an indicator for higher risks by industry, but if companies apply risk management in practice, it actually does not prevent them from risk occurrence. However, the adoption of risk </w:t>
      </w:r>
      <w:r w:rsidR="00F87F0E" w:rsidRPr="00CD265B">
        <w:t xml:space="preserve">management </w:t>
      </w:r>
      <w:r w:rsidR="00C52B69" w:rsidRPr="00CD265B">
        <w:t xml:space="preserve">practices in the electronics sector is more likely </w:t>
      </w:r>
      <w:r w:rsidR="00864ABA" w:rsidRPr="00CD265B">
        <w:t>than</w:t>
      </w:r>
      <w:r w:rsidR="00C52B69" w:rsidRPr="00CD265B">
        <w:t xml:space="preserve"> in construction and it is more </w:t>
      </w:r>
      <w:r w:rsidR="00864ABA" w:rsidRPr="00CD265B">
        <w:t>likely in German electronics tha</w:t>
      </w:r>
      <w:r w:rsidR="000F5E08" w:rsidRPr="00CD265B">
        <w:t>n in UK.</w:t>
      </w:r>
    </w:p>
    <w:p w14:paraId="49C09B51" w14:textId="77777777" w:rsidR="00BC1894" w:rsidRPr="00CD265B" w:rsidRDefault="00BC1894" w:rsidP="00BC1894">
      <w:pPr>
        <w:spacing w:line="480" w:lineRule="auto"/>
        <w:jc w:val="both"/>
      </w:pPr>
    </w:p>
    <w:p w14:paraId="02B90D9C" w14:textId="6306D26C" w:rsidR="002117F4" w:rsidRPr="00CD265B" w:rsidRDefault="00BC1894" w:rsidP="00BC1A7E">
      <w:pPr>
        <w:spacing w:line="480" w:lineRule="auto"/>
        <w:jc w:val="both"/>
      </w:pPr>
      <w:r w:rsidRPr="00CD265B">
        <w:rPr>
          <w:b/>
          <w:noProof/>
          <w:lang w:eastAsia="en-GB"/>
        </w:rPr>
        <w:drawing>
          <wp:anchor distT="0" distB="0" distL="114300" distR="114300" simplePos="0" relativeHeight="251662336" behindDoc="0" locked="0" layoutInCell="1" allowOverlap="1" wp14:anchorId="2EE3025E" wp14:editId="2E4204CA">
            <wp:simplePos x="0" y="0"/>
            <wp:positionH relativeFrom="column">
              <wp:posOffset>24186</wp:posOffset>
            </wp:positionH>
            <wp:positionV relativeFrom="paragraph">
              <wp:posOffset>374374</wp:posOffset>
            </wp:positionV>
            <wp:extent cx="4664075" cy="2164080"/>
            <wp:effectExtent l="0" t="0" r="3175" b="0"/>
            <wp:wrapTopAndBottom/>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64075" cy="2164080"/>
                    </a:xfrm>
                    <a:prstGeom prst="rect">
                      <a:avLst/>
                    </a:prstGeom>
                    <a:noFill/>
                  </pic:spPr>
                </pic:pic>
              </a:graphicData>
            </a:graphic>
          </wp:anchor>
        </w:drawing>
      </w:r>
      <w:r w:rsidRPr="00CD265B">
        <w:rPr>
          <w:b/>
        </w:rPr>
        <w:t xml:space="preserve">Figure 6: </w:t>
      </w:r>
      <w:r w:rsidRPr="00CD265B">
        <w:t>Companies with established risk management programmes.</w:t>
      </w:r>
    </w:p>
    <w:p w14:paraId="47C1F434" w14:textId="32899430" w:rsidR="002117F4" w:rsidRPr="00CD265B" w:rsidRDefault="002117F4" w:rsidP="00E31479">
      <w:pPr>
        <w:spacing w:line="480" w:lineRule="auto"/>
        <w:ind w:firstLine="567"/>
        <w:jc w:val="center"/>
        <w:rPr>
          <w:b/>
        </w:rPr>
      </w:pPr>
    </w:p>
    <w:p w14:paraId="1C27E8D9" w14:textId="455EA88F" w:rsidR="00147D4B" w:rsidRPr="00CD265B" w:rsidRDefault="00147D4B" w:rsidP="003959C1">
      <w:pPr>
        <w:spacing w:line="480" w:lineRule="auto"/>
        <w:ind w:firstLine="567"/>
        <w:jc w:val="both"/>
      </w:pPr>
      <w:r w:rsidRPr="00CD265B">
        <w:t xml:space="preserve">The </w:t>
      </w:r>
      <w:r w:rsidR="00587EA9" w:rsidRPr="00CD265B">
        <w:t>applied</w:t>
      </w:r>
      <w:r w:rsidRPr="00CD265B">
        <w:t xml:space="preserve"> risk management methods and tools vary across industries and countries.</w:t>
      </w:r>
      <w:r w:rsidR="00B36548" w:rsidRPr="00CD265B">
        <w:t xml:space="preserve"> Specifically, six UK companies and four German companies apply a risk management </w:t>
      </w:r>
      <w:r w:rsidR="00B36548" w:rsidRPr="00CD265B">
        <w:lastRenderedPageBreak/>
        <w:t xml:space="preserve">programme. </w:t>
      </w:r>
      <w:r w:rsidRPr="00CD265B">
        <w:t>Furthermore, we see a more holistic and more variety of tools being adopted in the UK based construction industry compared with only few companies in UK’s electronics sector</w:t>
      </w:r>
      <w:r w:rsidR="008457AC" w:rsidRPr="00CD265B">
        <w:t xml:space="preserve"> (see </w:t>
      </w:r>
      <w:r w:rsidR="00587EA9" w:rsidRPr="00CD265B">
        <w:t>F</w:t>
      </w:r>
      <w:r w:rsidR="008457AC" w:rsidRPr="00CD265B">
        <w:t>igure 7)</w:t>
      </w:r>
      <w:r w:rsidRPr="00CD265B">
        <w:t xml:space="preserve">. In addition, the electronics sector in Germany applies several risk management tools. The dominating tool is a risk matrix, which is unique to each of the company and mainly used in Microsoft Excel ®. </w:t>
      </w:r>
      <w:r w:rsidR="00874369" w:rsidRPr="00CD265B">
        <w:t>The second dominating tool is a</w:t>
      </w:r>
      <w:r w:rsidR="00887494" w:rsidRPr="00CD265B">
        <w:t>n</w:t>
      </w:r>
      <w:r w:rsidR="00874369" w:rsidRPr="00CD265B">
        <w:t xml:space="preserve"> IT syst</w:t>
      </w:r>
      <w:r w:rsidR="00F87F0E" w:rsidRPr="00CD265B">
        <w:t>em</w:t>
      </w:r>
      <w:r w:rsidR="00887494" w:rsidRPr="00CD265B">
        <w:t>/software, such as ERP</w:t>
      </w:r>
      <w:r w:rsidR="00F87F0E" w:rsidRPr="00CD265B">
        <w:t>.</w:t>
      </w:r>
    </w:p>
    <w:p w14:paraId="6F75763C" w14:textId="77777777" w:rsidR="00BC1894" w:rsidRPr="00CD265B" w:rsidRDefault="00BC1894" w:rsidP="0026769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480" w:lineRule="auto"/>
        <w:jc w:val="both"/>
      </w:pPr>
    </w:p>
    <w:p w14:paraId="0845D0FD" w14:textId="535D7709" w:rsidR="00BC1894" w:rsidRPr="00CD265B" w:rsidRDefault="00BC1894" w:rsidP="00BC1894">
      <w:pPr>
        <w:pStyle w:val="Caption"/>
      </w:pPr>
      <w:bookmarkStart w:id="6" w:name="_Ref440229408"/>
      <w:bookmarkStart w:id="7" w:name="_Ref440229405"/>
      <w:bookmarkStart w:id="8" w:name="_Toc445628411"/>
      <w:r w:rsidRPr="00CD265B">
        <w:rPr>
          <w:noProof/>
          <w:lang w:eastAsia="en-GB"/>
        </w:rPr>
        <w:drawing>
          <wp:anchor distT="0" distB="0" distL="114300" distR="114300" simplePos="0" relativeHeight="251664384" behindDoc="0" locked="0" layoutInCell="1" allowOverlap="1" wp14:anchorId="2C27CCE5" wp14:editId="0527DC46">
            <wp:simplePos x="0" y="0"/>
            <wp:positionH relativeFrom="margin">
              <wp:align>left</wp:align>
            </wp:positionH>
            <wp:positionV relativeFrom="paragraph">
              <wp:posOffset>342596</wp:posOffset>
            </wp:positionV>
            <wp:extent cx="5419725" cy="3091180"/>
            <wp:effectExtent l="0" t="0" r="9525" b="0"/>
            <wp:wrapTopAndBottom/>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19725" cy="3091180"/>
                    </a:xfrm>
                    <a:prstGeom prst="rect">
                      <a:avLst/>
                    </a:prstGeom>
                    <a:noFill/>
                  </pic:spPr>
                </pic:pic>
              </a:graphicData>
            </a:graphic>
          </wp:anchor>
        </w:drawing>
      </w:r>
      <w:r w:rsidRPr="00CD265B">
        <w:t xml:space="preserve">Figure 7: </w:t>
      </w:r>
      <w:r w:rsidRPr="00CD265B">
        <w:rPr>
          <w:b w:val="0"/>
        </w:rPr>
        <w:t>Applied risk management methods/tools.</w:t>
      </w:r>
    </w:p>
    <w:bookmarkEnd w:id="6"/>
    <w:bookmarkEnd w:id="7"/>
    <w:bookmarkEnd w:id="8"/>
    <w:p w14:paraId="06C3FB89" w14:textId="58D08A7B" w:rsidR="00267694" w:rsidRPr="00CD265B" w:rsidRDefault="00267694" w:rsidP="0026769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480" w:lineRule="auto"/>
        <w:jc w:val="both"/>
      </w:pPr>
    </w:p>
    <w:p w14:paraId="421C9151" w14:textId="7CA86DCC" w:rsidR="003959C1" w:rsidRPr="00CD265B" w:rsidRDefault="003959C1" w:rsidP="003959C1">
      <w:pPr>
        <w:spacing w:line="480" w:lineRule="auto"/>
        <w:ind w:firstLine="567"/>
        <w:jc w:val="both"/>
      </w:pPr>
      <w:r w:rsidRPr="00CD265B">
        <w:t xml:space="preserve">DEEL2 explains: </w:t>
      </w:r>
      <w:r w:rsidRPr="00CD265B">
        <w:rPr>
          <w:i/>
        </w:rPr>
        <w:t>"We manage our potential risks, such as supplier performance or quality in SAP (ERP)."</w:t>
      </w:r>
      <w:r w:rsidRPr="00CD265B">
        <w:t xml:space="preserve"> DEEL3 </w:t>
      </w:r>
      <w:r w:rsidR="009C6315" w:rsidRPr="00CD265B">
        <w:t xml:space="preserve">states: </w:t>
      </w:r>
      <w:r w:rsidRPr="00CD265B">
        <w:rPr>
          <w:i/>
        </w:rPr>
        <w:t>"For all our financial risks we are using a checklist, which we developed. There are about 20 criteria, ranging from financial credit-worthiness, Dun &amp; Br</w:t>
      </w:r>
      <w:r w:rsidR="00147D4B" w:rsidRPr="00CD265B">
        <w:rPr>
          <w:i/>
        </w:rPr>
        <w:t>a</w:t>
      </w:r>
      <w:r w:rsidRPr="00CD265B">
        <w:rPr>
          <w:i/>
        </w:rPr>
        <w:t xml:space="preserve">dstreet information, but also on-time deliveries, changes in delivery lead times, etc. This is fully recorded in SAP (ERP)." </w:t>
      </w:r>
      <w:r w:rsidRPr="00CD265B">
        <w:t>A different approach is applied at DEEL5, which uses a developed Microsoft Access database to capture and assess risks, where the company also collaborates with an insurance company to assess risks such as fires. More formali</w:t>
      </w:r>
      <w:r w:rsidR="004668E0" w:rsidRPr="00CD265B">
        <w:t>z</w:t>
      </w:r>
      <w:r w:rsidRPr="00CD265B">
        <w:t xml:space="preserve">ed and in </w:t>
      </w:r>
      <w:r w:rsidRPr="00CD265B">
        <w:lastRenderedPageBreak/>
        <w:t xml:space="preserve">different steps, UKEL3 executed a system-based risk management: </w:t>
      </w:r>
      <w:r w:rsidRPr="00CD265B">
        <w:rPr>
          <w:i/>
        </w:rPr>
        <w:t>"Well, quite simply, when we talk about supplier risk, you know, I'd kind of break that down into two segments that we have. Financial risk on a supplier level. At a company high level here, we have, you know, a monthly supplier risk analysis, which is done in cooperation with a D&amp;B (Dun &amp; Br</w:t>
      </w:r>
      <w:r w:rsidR="006F16FA" w:rsidRPr="00CD265B">
        <w:rPr>
          <w:i/>
        </w:rPr>
        <w:t>a</w:t>
      </w:r>
      <w:r w:rsidRPr="00CD265B">
        <w:rPr>
          <w:i/>
        </w:rPr>
        <w:t>dstreet) tool, and this influences directly in that any supplier above a certain risk is immediately analy</w:t>
      </w:r>
      <w:r w:rsidR="004668E0" w:rsidRPr="00CD265B">
        <w:rPr>
          <w:i/>
        </w:rPr>
        <w:t>z</w:t>
      </w:r>
      <w:r w:rsidRPr="00CD265B">
        <w:rPr>
          <w:i/>
        </w:rPr>
        <w:t xml:space="preserve">ed in detail to see how critical that supply is to our business, and what contingencies that we can put in place to mitigate against the risk. So anyone of high risk and beyond has a full, detailed risk analysis done on the supplier and looks to put in place some mitigation." </w:t>
      </w:r>
      <w:r w:rsidRPr="00CD265B">
        <w:t xml:space="preserve">Each construction project has its own risk characteristics, meaning UKCO4 tries to assess each package. Furthermore, the company tries to pass the risk through the supply base. </w:t>
      </w:r>
      <w:r w:rsidRPr="00CD265B">
        <w:rPr>
          <w:i/>
        </w:rPr>
        <w:t>“It’s when we look to procure the package, there will be […] when we tender a job there will be a risk analysis done, a risk register taken for that project which will transfer itself to a risk contingency within the contract. That is occasionally broken down onto a package-by-package basis, but not always. But it would not be […] so risk is – we try to identify the risk in relation to a certain package before placing that package and within the package it will either be placed on a lump-sum basis again to try and mitigate risk on that,”</w:t>
      </w:r>
      <w:r w:rsidR="00F87F0E" w:rsidRPr="00CD265B">
        <w:t xml:space="preserve"> states UKCO4.</w:t>
      </w:r>
    </w:p>
    <w:p w14:paraId="5CFFAB03" w14:textId="25DCA495" w:rsidR="003959C1" w:rsidRPr="00CD265B" w:rsidRDefault="003959C1" w:rsidP="003959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480" w:lineRule="auto"/>
        <w:ind w:firstLine="567"/>
        <w:jc w:val="both"/>
        <w:rPr>
          <w:i/>
        </w:rPr>
      </w:pPr>
      <w:r w:rsidRPr="00CD265B">
        <w:t>Furthermore, companies have established and central</w:t>
      </w:r>
      <w:r w:rsidR="00165475" w:rsidRPr="00CD265B">
        <w:t>i</w:t>
      </w:r>
      <w:r w:rsidR="004668E0" w:rsidRPr="00CD265B">
        <w:t>z</w:t>
      </w:r>
      <w:r w:rsidR="00165475" w:rsidRPr="00CD265B">
        <w:t>ed</w:t>
      </w:r>
      <w:r w:rsidRPr="00CD265B">
        <w:t xml:space="preserve"> risk management programmes, of which sourcing functions are a part. In many cases, these are central and corporate risks, such as currency, export, IT security</w:t>
      </w:r>
      <w:r w:rsidR="005A375C" w:rsidRPr="00CD265B">
        <w:t>,</w:t>
      </w:r>
      <w:r w:rsidRPr="00CD265B">
        <w:t xml:space="preserve"> or fire risks. Five companies use central</w:t>
      </w:r>
      <w:r w:rsidR="005A375C" w:rsidRPr="00CD265B">
        <w:t>i</w:t>
      </w:r>
      <w:r w:rsidR="004668E0" w:rsidRPr="00CD265B">
        <w:t>z</w:t>
      </w:r>
      <w:r w:rsidR="005A375C" w:rsidRPr="00CD265B">
        <w:t>ed</w:t>
      </w:r>
      <w:r w:rsidRPr="00CD265B">
        <w:t xml:space="preserve"> strategies to manage risks. DEEL2 has one central</w:t>
      </w:r>
      <w:r w:rsidR="005A375C" w:rsidRPr="00CD265B">
        <w:t>i</w:t>
      </w:r>
      <w:r w:rsidR="004668E0" w:rsidRPr="00CD265B">
        <w:t>z</w:t>
      </w:r>
      <w:r w:rsidR="005A375C" w:rsidRPr="00CD265B">
        <w:t>ed</w:t>
      </w:r>
      <w:r w:rsidRPr="00CD265B">
        <w:t xml:space="preserve"> reporting system, headed by the CFO, and to which each department autonomously reports risks. Equally, DEEL3 uses a group-wide system that also covers sales topics such as increasing competition or market downturns. In this context, the sourcing function has a sub-system (DEEL3). DEEL5 refers to the automotive certification ISO TS 16949: </w:t>
      </w:r>
      <w:r w:rsidRPr="00CD265B">
        <w:rPr>
          <w:i/>
        </w:rPr>
        <w:t>“It is a requirement by many OEM to comply with these standards and, therefore, the whole company acts accordingly.”</w:t>
      </w:r>
    </w:p>
    <w:p w14:paraId="57508315" w14:textId="2A7C7E54" w:rsidR="003959C1" w:rsidRPr="00CD265B" w:rsidRDefault="003959C1" w:rsidP="003959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480" w:lineRule="auto"/>
        <w:ind w:firstLine="567"/>
        <w:jc w:val="both"/>
        <w:rPr>
          <w:i/>
        </w:rPr>
      </w:pPr>
      <w:r w:rsidRPr="00CD265B">
        <w:rPr>
          <w:i/>
        </w:rPr>
        <w:lastRenderedPageBreak/>
        <w:t>“Therefore, risk strategies are project-specific and so, yes, we have a centrali</w:t>
      </w:r>
      <w:r w:rsidR="004668E0" w:rsidRPr="00CD265B">
        <w:rPr>
          <w:i/>
        </w:rPr>
        <w:t>z</w:t>
      </w:r>
      <w:r w:rsidRPr="00CD265B">
        <w:rPr>
          <w:i/>
        </w:rPr>
        <w:t>ed strategy, but they are project-specific,”</w:t>
      </w:r>
      <w:r w:rsidRPr="00CD265B">
        <w:t xml:space="preserve"> points out UKCO1. UKCO5 has an entire department established for managing risks: </w:t>
      </w:r>
      <w:r w:rsidRPr="00CD265B">
        <w:rPr>
          <w:i/>
        </w:rPr>
        <w:t>“There’s a whole risk department in the company, but what they’re doing is looking at project risk and financial risk from a company point of view.”</w:t>
      </w:r>
    </w:p>
    <w:p w14:paraId="46C1932C" w14:textId="7E7B4CB9" w:rsidR="003959C1" w:rsidRPr="00CD265B" w:rsidRDefault="003959C1" w:rsidP="003959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480" w:lineRule="auto"/>
        <w:ind w:firstLine="567"/>
        <w:jc w:val="both"/>
        <w:rPr>
          <w:i/>
        </w:rPr>
      </w:pPr>
      <w:r w:rsidRPr="00CD265B">
        <w:t>The remaining approaches include a supplier approval process, where companies specifically use a standardi</w:t>
      </w:r>
      <w:r w:rsidR="004668E0" w:rsidRPr="00CD265B">
        <w:t>z</w:t>
      </w:r>
      <w:r w:rsidRPr="00CD265B">
        <w:t>ed process to qualify and assess suppliers. Two companies use external auditing services for suppliers; the currency management is handled centrally by the treasury departments. Finally, one company has established a peer-review process within risk management from site to corporate level; this means that risks were assessed by two independent individuals.</w:t>
      </w:r>
    </w:p>
    <w:p w14:paraId="0B37D0F6" w14:textId="0583930F" w:rsidR="00630562" w:rsidRPr="00CD265B" w:rsidRDefault="003959C1" w:rsidP="00630562">
      <w:pPr>
        <w:spacing w:line="480" w:lineRule="auto"/>
        <w:ind w:firstLine="567"/>
        <w:jc w:val="both"/>
      </w:pPr>
      <w:r w:rsidRPr="00CD265B">
        <w:t>Although one company (DEEL4) has a formali</w:t>
      </w:r>
      <w:r w:rsidR="004668E0" w:rsidRPr="00CD265B">
        <w:t>z</w:t>
      </w:r>
      <w:r w:rsidRPr="00CD265B">
        <w:t xml:space="preserve">ed risk management practice and faced some risks, the CPO is very critical of the effort being taken to manage the programme and does not see risk management as a competitive advantage: </w:t>
      </w:r>
      <w:r w:rsidRPr="00CD265B">
        <w:rPr>
          <w:i/>
        </w:rPr>
        <w:t>“If no risks occur, risk management does not make sense and leads to higher costs. It may even lead to a competitive disadvantage if the costs are too high.”</w:t>
      </w:r>
      <w:r w:rsidRPr="00CD265B">
        <w:t xml:space="preserve"> Therefore, a clear trade-off must be taken in how to effect</w:t>
      </w:r>
      <w:r w:rsidR="005A375C" w:rsidRPr="00CD265B">
        <w:t>ively manage risks in sourcing.</w:t>
      </w:r>
      <w:r w:rsidR="00630562" w:rsidRPr="00CD265B">
        <w:t xml:space="preserve"> For the remaining companies, the reasons for not having a risk management programme are different. DECO1 does not use any kind of risk tools either in the group or sourcing, and DECO2 argues that the group heterogeneity does not allow for a standardi</w:t>
      </w:r>
      <w:r w:rsidR="004668E0" w:rsidRPr="00CD265B">
        <w:t>z</w:t>
      </w:r>
      <w:r w:rsidR="00630562" w:rsidRPr="00CD265B">
        <w:t xml:space="preserve">ed approach or tool. DECO5 is enjoying strong growth, and therefore the structures and capacity do not allow them to establish a structured approach. </w:t>
      </w:r>
      <w:r w:rsidR="00630562" w:rsidRPr="00CD265B">
        <w:rPr>
          <w:i/>
        </w:rPr>
        <w:t>“There is a very rough concept established, but not really a regular monitoring. It is a kind of business continuity, if we have a fire in the production,”</w:t>
      </w:r>
      <w:r w:rsidR="00630562" w:rsidRPr="00CD265B">
        <w:t xml:space="preserve"> states DECO4. Similarly, UKEL1 states it has business continuity plans - especially in the IT and server landscape, but </w:t>
      </w:r>
      <w:r w:rsidR="008B6686" w:rsidRPr="00CD265B">
        <w:t xml:space="preserve">has </w:t>
      </w:r>
      <w:r w:rsidR="00630562" w:rsidRPr="00CD265B">
        <w:t>no such a plan in sourcing. UKEL2 believes that risk management does not add significant value</w:t>
      </w:r>
      <w:r w:rsidR="008B6686" w:rsidRPr="00CD265B">
        <w:t>,</w:t>
      </w:r>
      <w:r w:rsidR="00630562" w:rsidRPr="00CD265B">
        <w:t xml:space="preserve"> and therefore</w:t>
      </w:r>
      <w:r w:rsidR="008B6686" w:rsidRPr="00CD265B">
        <w:t>,</w:t>
      </w:r>
      <w:r w:rsidR="00630562" w:rsidRPr="00CD265B">
        <w:t xml:space="preserve"> it is not established</w:t>
      </w:r>
      <w:r w:rsidR="008B6686" w:rsidRPr="00CD265B">
        <w:t>.</w:t>
      </w:r>
      <w:r w:rsidR="00630562" w:rsidRPr="00CD265B">
        <w:t xml:space="preserve"> UKEL4 has plans to implement a risk management programme next year, but this </w:t>
      </w:r>
      <w:r w:rsidR="00630562" w:rsidRPr="00CD265B">
        <w:lastRenderedPageBreak/>
        <w:t>has not started yet and the capacity is still lacking. Finally, UKEL5 was working on a concept but had not implemented a programme: “</w:t>
      </w:r>
      <w:r w:rsidR="00630562" w:rsidRPr="00CD265B">
        <w:rPr>
          <w:i/>
        </w:rPr>
        <w:t>But from a risk management, myself and my colleagues we are working on this at the moment and we are crafting a check list for a framework where we are taking all the supply base, grading them on what is the likely failure points, whether it’s geographically, whether it’s the market, whether it’s down to technology.”</w:t>
      </w:r>
    </w:p>
    <w:p w14:paraId="775815E6" w14:textId="4E81D232" w:rsidR="00630562" w:rsidRPr="00CD265B" w:rsidRDefault="00630562" w:rsidP="00630562">
      <w:pPr>
        <w:spacing w:line="480" w:lineRule="auto"/>
        <w:ind w:firstLine="567"/>
        <w:jc w:val="both"/>
      </w:pPr>
      <w:r w:rsidRPr="00CD265B">
        <w:t xml:space="preserve">DECO3 </w:t>
      </w:r>
      <w:r w:rsidR="00BE01E1" w:rsidRPr="00CD265B">
        <w:t>has</w:t>
      </w:r>
      <w:r w:rsidRPr="00CD265B">
        <w:t xml:space="preserve"> an informal approach on a project level, and DEEL1 looks at risks informally and occasionally, but with no tool or approach systemati</w:t>
      </w:r>
      <w:r w:rsidR="004668E0" w:rsidRPr="00CD265B">
        <w:t>z</w:t>
      </w:r>
      <w:r w:rsidRPr="00CD265B">
        <w:t xml:space="preserve">ed: </w:t>
      </w:r>
      <w:r w:rsidRPr="00CD265B">
        <w:rPr>
          <w:i/>
        </w:rPr>
        <w:t>“We look on business continuity, have two independent production sites for instance. When it comes to sourcing, we focus on dual sourcing and went through a programme where we had to qualify new suppliers.”</w:t>
      </w:r>
      <w:r w:rsidRPr="00CD265B">
        <w:t xml:space="preserve"> When asked if they have a risk management programme, UKCO2 states: </w:t>
      </w:r>
      <w:r w:rsidRPr="00CD265B">
        <w:rPr>
          <w:i/>
        </w:rPr>
        <w:t>“No, I guess we probably don’t. We do a lot of the risk analysis, it’s done at tender stage for individual projects.”</w:t>
      </w:r>
    </w:p>
    <w:p w14:paraId="094D2307" w14:textId="7DB2391D" w:rsidR="00630562" w:rsidRPr="00CD265B" w:rsidRDefault="00630562" w:rsidP="00630562">
      <w:pPr>
        <w:spacing w:line="480" w:lineRule="auto"/>
        <w:ind w:firstLine="567"/>
        <w:jc w:val="both"/>
      </w:pPr>
      <w:r w:rsidRPr="00CD265B">
        <w:t>Considering the research</w:t>
      </w:r>
      <w:r w:rsidR="00BE01E1" w:rsidRPr="00CD265B">
        <w:t xml:space="preserve"> findings from</w:t>
      </w:r>
      <w:r w:rsidRPr="00CD265B">
        <w:t xml:space="preserve"> Zsidisin et al. (2000), only three out of nine companies performed a risk management assessment, </w:t>
      </w:r>
      <w:r w:rsidR="00EA4E4E" w:rsidRPr="00CD265B">
        <w:t xml:space="preserve">while Blackhurst </w:t>
      </w:r>
      <w:r w:rsidR="00AF27DB">
        <w:t xml:space="preserve">et al. </w:t>
      </w:r>
      <w:r w:rsidR="00EA4E4E" w:rsidRPr="00CD265B">
        <w:t xml:space="preserve">(2005) identified that </w:t>
      </w:r>
      <w:r w:rsidR="00FD7009" w:rsidRPr="00CD265B">
        <w:t xml:space="preserve">only </w:t>
      </w:r>
      <w:r w:rsidR="00EA4E4E" w:rsidRPr="00CD265B">
        <w:t xml:space="preserve">5-25% of Fortune 500 companies </w:t>
      </w:r>
      <w:r w:rsidR="008B6686" w:rsidRPr="00CD265B">
        <w:t>we</w:t>
      </w:r>
      <w:r w:rsidR="00EA4E4E" w:rsidRPr="00CD265B">
        <w:t>re prepared to handle crisis or disruptions</w:t>
      </w:r>
      <w:r w:rsidRPr="00CD265B">
        <w:t>. The findings of this research project show a slight improvement, but this is still lagging behind what is expected, despite the possibility that companies are trading off between risks and benefit (Chopra and Sodhi</w:t>
      </w:r>
      <w:r w:rsidR="00C421AB" w:rsidRPr="00CD265B">
        <w:t>,</w:t>
      </w:r>
      <w:r w:rsidRPr="00CD265B">
        <w:t xml:space="preserve"> 2004). Although Khan and Burnes (2007) argue that the </w:t>
      </w:r>
      <w:r w:rsidR="001A6B81" w:rsidRPr="00CD265B">
        <w:t>SCRM</w:t>
      </w:r>
      <w:r w:rsidRPr="00CD265B">
        <w:t xml:space="preserve"> is not well perceived, Rossetti and Choi (2005) remind us of the risks of close collaborations and dependencies. </w:t>
      </w:r>
      <w:r w:rsidR="00BE01E1" w:rsidRPr="00CD265B">
        <w:t>As</w:t>
      </w:r>
      <w:r w:rsidRPr="00CD265B">
        <w:t xml:space="preserve"> global sourcing continues to increase and companies </w:t>
      </w:r>
      <w:r w:rsidR="00BE01E1" w:rsidRPr="00CD265B">
        <w:t>focus on</w:t>
      </w:r>
      <w:r w:rsidRPr="00CD265B">
        <w:t xml:space="preserve"> reduc</w:t>
      </w:r>
      <w:r w:rsidR="00BE01E1" w:rsidRPr="00CD265B">
        <w:t>ing</w:t>
      </w:r>
      <w:r w:rsidRPr="00CD265B">
        <w:t xml:space="preserve"> costs, the risk exposure increases (Wagner and Bode</w:t>
      </w:r>
      <w:r w:rsidR="00C421AB" w:rsidRPr="00CD265B">
        <w:t>,</w:t>
      </w:r>
      <w:r w:rsidRPr="00CD265B">
        <w:t xml:space="preserve"> </w:t>
      </w:r>
      <w:r w:rsidR="00F87F0E" w:rsidRPr="00CD265B">
        <w:t>2006).</w:t>
      </w:r>
    </w:p>
    <w:p w14:paraId="6F456A6E" w14:textId="4DBD064C" w:rsidR="00630562" w:rsidRPr="00CD265B" w:rsidRDefault="00CB650C" w:rsidP="00630562">
      <w:pPr>
        <w:spacing w:line="480" w:lineRule="auto"/>
        <w:ind w:firstLine="567"/>
        <w:jc w:val="both"/>
      </w:pPr>
      <w:r w:rsidRPr="00CD265B">
        <w:t>To increase the resilience of companies,</w:t>
      </w:r>
      <w:r w:rsidR="00630562" w:rsidRPr="00CD265B">
        <w:t xml:space="preserve"> an established risk management and continuity programme is recommended </w:t>
      </w:r>
      <w:r w:rsidRPr="00CD265B">
        <w:t>by the literature to manage</w:t>
      </w:r>
      <w:r w:rsidR="00630562" w:rsidRPr="00CD265B">
        <w:t xml:space="preserve"> risks in strategic sourcing. </w:t>
      </w:r>
      <w:r w:rsidRPr="00CD265B">
        <w:t>In practice, there are so few companies using</w:t>
      </w:r>
      <w:r w:rsidR="00630562" w:rsidRPr="00CD265B">
        <w:t xml:space="preserve"> strategic tools to manage risks</w:t>
      </w:r>
      <w:r w:rsidR="002D7924" w:rsidRPr="00CD265B">
        <w:t xml:space="preserve"> according to our research findings</w:t>
      </w:r>
      <w:r w:rsidR="00630562" w:rsidRPr="00CD265B">
        <w:t xml:space="preserve">. </w:t>
      </w:r>
      <w:r w:rsidR="002D7924" w:rsidRPr="00CD265B">
        <w:t>T</w:t>
      </w:r>
      <w:r w:rsidR="00630562" w:rsidRPr="00CD265B">
        <w:t>he companies apply the risk tools with a strong focus on financial metrics from Dun &amp; Bradstreet or operational risks</w:t>
      </w:r>
      <w:r w:rsidR="002D7924" w:rsidRPr="00CD265B">
        <w:t>.</w:t>
      </w:r>
    </w:p>
    <w:p w14:paraId="5510E237" w14:textId="7AE96854" w:rsidR="00630562" w:rsidRPr="00CD265B" w:rsidRDefault="00630562" w:rsidP="00630562">
      <w:pPr>
        <w:spacing w:line="480" w:lineRule="auto"/>
        <w:ind w:firstLine="567"/>
        <w:jc w:val="both"/>
      </w:pPr>
      <w:r w:rsidRPr="00CD265B">
        <w:lastRenderedPageBreak/>
        <w:t xml:space="preserve">In summary, the </w:t>
      </w:r>
      <w:r w:rsidR="005B627F" w:rsidRPr="00CD265B">
        <w:t>applied</w:t>
      </w:r>
      <w:r w:rsidRPr="00CD265B">
        <w:t xml:space="preserve"> approaches are extremely operational and do not reflect the strategic risks from long-term supply decisions. There are risks from single sourcing and single specification, but also from complex supply chains and lean management. Therefore, when managing risks in strategic sourcing, companies need to take a long-term perspective, assess the sourcing spend portfolio</w:t>
      </w:r>
      <w:r w:rsidR="005B627F" w:rsidRPr="00CD265B">
        <w:t>,</w:t>
      </w:r>
      <w:r w:rsidRPr="00CD265B">
        <w:t xml:space="preserve"> and identify the risks to</w:t>
      </w:r>
      <w:r w:rsidR="00EE0366" w:rsidRPr="00CD265B">
        <w:t xml:space="preserve"> cash-flow and revenue streams.</w:t>
      </w:r>
    </w:p>
    <w:p w14:paraId="3BB9EA21" w14:textId="77777777" w:rsidR="00640667" w:rsidRPr="00CD265B" w:rsidRDefault="00640667" w:rsidP="00ED11E0">
      <w:pPr>
        <w:spacing w:line="480" w:lineRule="auto"/>
        <w:jc w:val="both"/>
      </w:pPr>
    </w:p>
    <w:p w14:paraId="7D62D90B" w14:textId="57656FC6" w:rsidR="00F36994" w:rsidRPr="00CD265B" w:rsidRDefault="00315D11" w:rsidP="00F36994">
      <w:pPr>
        <w:spacing w:line="480" w:lineRule="auto"/>
        <w:outlineLvl w:val="0"/>
        <w:rPr>
          <w:b/>
        </w:rPr>
      </w:pPr>
      <w:r>
        <w:rPr>
          <w:b/>
        </w:rPr>
        <w:t>4</w:t>
      </w:r>
      <w:r w:rsidR="00B11123" w:rsidRPr="00CD265B">
        <w:rPr>
          <w:b/>
        </w:rPr>
        <w:t xml:space="preserve">. </w:t>
      </w:r>
      <w:r w:rsidR="004B1B21" w:rsidRPr="00CD265B">
        <w:rPr>
          <w:b/>
        </w:rPr>
        <w:t>MANAGERIAL IMPLICATIONS</w:t>
      </w:r>
    </w:p>
    <w:p w14:paraId="5D9C5CF6" w14:textId="6BF700D9" w:rsidR="00C14352" w:rsidRPr="00CD265B" w:rsidRDefault="00CD265B" w:rsidP="001D27BF">
      <w:pPr>
        <w:spacing w:line="480" w:lineRule="auto"/>
        <w:jc w:val="both"/>
      </w:pPr>
      <w:r>
        <w:t>This</w:t>
      </w:r>
      <w:r w:rsidR="00994F33" w:rsidRPr="00CD265B">
        <w:t xml:space="preserve"> study aims to </w:t>
      </w:r>
      <w:r w:rsidR="00C14352" w:rsidRPr="00CD265B">
        <w:t>explore</w:t>
      </w:r>
      <w:r w:rsidR="00994F33" w:rsidRPr="00CD265B">
        <w:t xml:space="preserve"> </w:t>
      </w:r>
      <w:r w:rsidR="00B35C9E" w:rsidRPr="00CD265B">
        <w:t xml:space="preserve">the </w:t>
      </w:r>
      <w:r w:rsidR="00994F33" w:rsidRPr="00CD265B">
        <w:t>role of risk m</w:t>
      </w:r>
      <w:r w:rsidR="00C14352" w:rsidRPr="00CD265B">
        <w:t>anagement in strategic sourcing through examining whether risk management enhances effectiveness of strategic sourcing using the following three questions:</w:t>
      </w:r>
      <w:r w:rsidR="00B35C9E" w:rsidRPr="00CD265B">
        <w:t xml:space="preserve"> </w:t>
      </w:r>
      <w:r w:rsidR="00C14352" w:rsidRPr="00CD265B">
        <w:t>To what extent companies face strategic sourcing risk and what are their impact on business performance; what are the critical risk factors for strategi</w:t>
      </w:r>
      <w:r w:rsidR="00B35C9E" w:rsidRPr="00CD265B">
        <w:t>c sourcing; and what methods do</w:t>
      </w:r>
      <w:r w:rsidR="00C14352" w:rsidRPr="00CD265B">
        <w:t xml:space="preserve"> the companies adopt to manage these risks</w:t>
      </w:r>
      <w:r w:rsidR="00EE0366" w:rsidRPr="00CD265B">
        <w:t>.</w:t>
      </w:r>
      <w:r w:rsidR="00CF0BC7" w:rsidRPr="00CD265B">
        <w:t xml:space="preserve"> The research findings provide meaningful managerial implications for organizations.</w:t>
      </w:r>
    </w:p>
    <w:p w14:paraId="3FE77B56" w14:textId="213C7E4D" w:rsidR="00BC1D63" w:rsidRPr="00CD265B" w:rsidRDefault="004D2A97" w:rsidP="00BC1D63">
      <w:pPr>
        <w:spacing w:line="480" w:lineRule="auto"/>
        <w:ind w:firstLine="567"/>
        <w:jc w:val="both"/>
      </w:pPr>
      <w:r w:rsidRPr="00CD265B">
        <w:t>First, t</w:t>
      </w:r>
      <w:r w:rsidR="00C14352" w:rsidRPr="00CD265B">
        <w:t xml:space="preserve">he study reveals that close to 50% of the businesses experience significant risks in strategic sourcing. </w:t>
      </w:r>
      <w:r w:rsidR="00BC1D63" w:rsidRPr="00CD265B">
        <w:t>Close to 40% of businesses agreed that if risks are materialized, these would affect business performance substantially. Our research also shows that an appropriate risk management can have an impact on business performance. Specifically, companies would gain additional market share if a competitor was unable to deliver due to supply security or bankruptcy risks. Therefore, organizations should develop</w:t>
      </w:r>
      <w:r w:rsidR="00CD265B">
        <w:t xml:space="preserve"> and implement</w:t>
      </w:r>
      <w:r w:rsidR="00BC1D63" w:rsidRPr="00CD265B">
        <w:t xml:space="preserve"> their </w:t>
      </w:r>
      <w:r w:rsidR="003573F4">
        <w:t xml:space="preserve">country and industry specific </w:t>
      </w:r>
      <w:r w:rsidR="00BC1D63" w:rsidRPr="00CD265B">
        <w:t>strategic sourcing risk management framework.</w:t>
      </w:r>
    </w:p>
    <w:p w14:paraId="27268928" w14:textId="28C6070C" w:rsidR="00BC1D63" w:rsidRPr="00CD265B" w:rsidRDefault="00BC1D63" w:rsidP="00347D64">
      <w:pPr>
        <w:spacing w:line="480" w:lineRule="auto"/>
        <w:ind w:firstLine="567"/>
        <w:jc w:val="both"/>
      </w:pPr>
      <w:r w:rsidRPr="00CD265B">
        <w:t xml:space="preserve">Second, we reveal that companies in construction are more exposed to supplier insolvency and companies in the electronics sector by supply security. </w:t>
      </w:r>
      <w:r w:rsidR="00347D64" w:rsidRPr="00CD265B">
        <w:t xml:space="preserve">Supplier bankruptcy is a common risk factor for any industry and country, and this risk has serious impact on entire business performance of </w:t>
      </w:r>
      <w:r w:rsidR="000576EE">
        <w:t>case</w:t>
      </w:r>
      <w:r w:rsidR="00347D64" w:rsidRPr="00CD265B">
        <w:t xml:space="preserve"> companies as these companies have adopted single sourcing strategies. </w:t>
      </w:r>
      <w:r w:rsidRPr="00CD265B">
        <w:t xml:space="preserve">However, it is </w:t>
      </w:r>
      <w:r w:rsidR="00347D64" w:rsidRPr="00CD265B">
        <w:t xml:space="preserve">very difficult </w:t>
      </w:r>
      <w:r w:rsidRPr="00CD265B">
        <w:t xml:space="preserve">to measure because the creditworthiness scores are </w:t>
      </w:r>
      <w:r w:rsidRPr="00CD265B">
        <w:lastRenderedPageBreak/>
        <w:t xml:space="preserve">based on ex-post financial data. </w:t>
      </w:r>
      <w:r w:rsidR="00347D64" w:rsidRPr="00CD265B">
        <w:t>Therefore, organizations should</w:t>
      </w:r>
      <w:r w:rsidRPr="00CD265B">
        <w:t xml:space="preserve"> </w:t>
      </w:r>
      <w:r w:rsidR="00347D64" w:rsidRPr="00CD265B">
        <w:t>manage those</w:t>
      </w:r>
      <w:r w:rsidRPr="00CD265B">
        <w:t xml:space="preserve"> </w:t>
      </w:r>
      <w:r w:rsidR="00347D64" w:rsidRPr="00CD265B">
        <w:t xml:space="preserve">critical </w:t>
      </w:r>
      <w:r w:rsidRPr="00CD265B">
        <w:t>risk</w:t>
      </w:r>
      <w:r w:rsidR="00347D64" w:rsidRPr="00CD265B">
        <w:t>s, particularly supplier bankruptcy,</w:t>
      </w:r>
      <w:r w:rsidRPr="00CD265B">
        <w:t xml:space="preserve"> </w:t>
      </w:r>
      <w:r w:rsidR="00347D64" w:rsidRPr="00CD265B">
        <w:t>in</w:t>
      </w:r>
      <w:r w:rsidR="00AC3BFC" w:rsidRPr="00CD265B">
        <w:t xml:space="preserve"> a proactive</w:t>
      </w:r>
      <w:r w:rsidR="00347D64" w:rsidRPr="00CD265B">
        <w:t xml:space="preserve"> </w:t>
      </w:r>
      <w:r w:rsidR="003573F4">
        <w:t xml:space="preserve">and real-time </w:t>
      </w:r>
      <w:r w:rsidR="00347D64" w:rsidRPr="00CD265B">
        <w:t>manner.</w:t>
      </w:r>
    </w:p>
    <w:p w14:paraId="54504B40" w14:textId="50091E3E" w:rsidR="00AD4E50" w:rsidRPr="00CD265B" w:rsidRDefault="00AD4E50" w:rsidP="00AD4E50">
      <w:pPr>
        <w:spacing w:line="480" w:lineRule="auto"/>
        <w:ind w:firstLine="567"/>
        <w:jc w:val="both"/>
      </w:pPr>
      <w:r w:rsidRPr="00CD265B">
        <w:t xml:space="preserve">Third, this study uncovers some key materialized risks, which are limited to supplier insolvency, supply security, natural disaster, and commodity price risks. To increase the effectiveness of strategic sourcing risk management approaches, organizations should consider a more holistic list of risks that would affect their supply chain resilience and sustainability, including </w:t>
      </w:r>
      <w:r w:rsidR="003573F4">
        <w:t xml:space="preserve">macro risk, </w:t>
      </w:r>
      <w:r w:rsidRPr="00CD265B">
        <w:rPr>
          <w:lang w:eastAsia="zh-CN"/>
        </w:rPr>
        <w:t>demand risk, manufacturing risk, supply risk, information risk, transportation risk, and financial risk</w:t>
      </w:r>
      <w:r w:rsidRPr="00CD265B">
        <w:t xml:space="preserve"> (Ho et al., 2015)</w:t>
      </w:r>
    </w:p>
    <w:p w14:paraId="416709E4" w14:textId="4AECDB79" w:rsidR="004D2A97" w:rsidRPr="00CD265B" w:rsidRDefault="00AD4E50" w:rsidP="00BC1D63">
      <w:pPr>
        <w:spacing w:line="480" w:lineRule="auto"/>
        <w:ind w:firstLine="567"/>
        <w:jc w:val="both"/>
      </w:pPr>
      <w:r w:rsidRPr="00CD265B">
        <w:t xml:space="preserve">Fourth, this research shows </w:t>
      </w:r>
      <w:r w:rsidR="003573F4">
        <w:t>a</w:t>
      </w:r>
      <w:r w:rsidRPr="00CD265B">
        <w:t xml:space="preserve"> misalignment between the critical risk factors (i.e., types of risks affecting companies most) and the strategic sourcing risk management criteria (i.e., risk criteria for evaluating strategic suppliers). Although supplier bankruptcy, natural disaster, and supply security have been dominating any companies in this research, </w:t>
      </w:r>
      <w:r w:rsidR="00905FA9" w:rsidRPr="00CD265B">
        <w:t>these</w:t>
      </w:r>
      <w:r w:rsidRPr="00CD265B">
        <w:t xml:space="preserve"> </w:t>
      </w:r>
      <w:r w:rsidR="00905FA9" w:rsidRPr="00CD265B">
        <w:t xml:space="preserve">critical risk factors </w:t>
      </w:r>
      <w:r w:rsidRPr="00CD265B">
        <w:t xml:space="preserve">are not the main </w:t>
      </w:r>
      <w:r w:rsidR="00905FA9" w:rsidRPr="00CD265B">
        <w:t>risk criteria</w:t>
      </w:r>
      <w:r w:rsidRPr="00CD265B">
        <w:t xml:space="preserve"> </w:t>
      </w:r>
      <w:r w:rsidR="00905FA9" w:rsidRPr="00CD265B">
        <w:t>for evaluating strategic suppliers</w:t>
      </w:r>
      <w:r w:rsidRPr="00CD265B">
        <w:t>.</w:t>
      </w:r>
      <w:r w:rsidR="00905FA9" w:rsidRPr="00CD265B">
        <w:t xml:space="preserve"> Instead, co</w:t>
      </w:r>
      <w:r w:rsidR="004D2A97" w:rsidRPr="00CD265B">
        <w:t xml:space="preserve">mpanies considered several risk criteria in their supplier evaluation process, </w:t>
      </w:r>
      <w:r w:rsidR="00905FA9" w:rsidRPr="00CD265B">
        <w:t xml:space="preserve">including </w:t>
      </w:r>
      <w:r w:rsidR="004D2A97" w:rsidRPr="00CD265B">
        <w:t>suppliers’ creditworthiness, quality, supplier capabilities, and supply continuity</w:t>
      </w:r>
      <w:r w:rsidR="00905FA9" w:rsidRPr="00CD265B">
        <w:t xml:space="preserve">. </w:t>
      </w:r>
      <w:r w:rsidR="004D2A97" w:rsidRPr="00CD265B">
        <w:t xml:space="preserve">Therefore, </w:t>
      </w:r>
      <w:r w:rsidR="00905FA9" w:rsidRPr="00CD265B">
        <w:t>organizations</w:t>
      </w:r>
      <w:r w:rsidR="004D2A97" w:rsidRPr="00CD265B">
        <w:t xml:space="preserve"> should align and adjust their risk framework with materialized risks.</w:t>
      </w:r>
    </w:p>
    <w:p w14:paraId="28F342C7" w14:textId="54D93A5D" w:rsidR="004D2A97" w:rsidRPr="00CD265B" w:rsidRDefault="00FB4A8E" w:rsidP="00FB4A8E">
      <w:pPr>
        <w:spacing w:line="480" w:lineRule="auto"/>
        <w:ind w:firstLine="567"/>
        <w:jc w:val="both"/>
      </w:pPr>
      <w:r w:rsidRPr="00CD265B">
        <w:t xml:space="preserve">Fifth, our research finds that </w:t>
      </w:r>
      <w:r w:rsidR="004D2A97" w:rsidRPr="00CD265B">
        <w:t xml:space="preserve">only ten </w:t>
      </w:r>
      <w:r w:rsidRPr="00CD265B">
        <w:t xml:space="preserve">out of twenty </w:t>
      </w:r>
      <w:r w:rsidR="004D2A97" w:rsidRPr="00CD265B">
        <w:t>companies had a formalized risk management</w:t>
      </w:r>
      <w:r w:rsidRPr="00CD265B">
        <w:t>. The adoption of risk management practices in the electronics sector is more likely than in construction and it is more likely in German electronics than in UK. Comparing with the findings from Zsidisin et al. (2000)</w:t>
      </w:r>
      <w:r w:rsidR="00AC3BFC" w:rsidRPr="00CD265B">
        <w:t xml:space="preserve"> as well as </w:t>
      </w:r>
      <w:r w:rsidRPr="00CD265B">
        <w:t>Blackhurst</w:t>
      </w:r>
      <w:r w:rsidR="00AC3BFC" w:rsidRPr="00CD265B">
        <w:t xml:space="preserve"> </w:t>
      </w:r>
      <w:r w:rsidR="00AF27DB">
        <w:t xml:space="preserve">et al. </w:t>
      </w:r>
      <w:r w:rsidR="00AC3BFC" w:rsidRPr="00CD265B">
        <w:t>(2005), t</w:t>
      </w:r>
      <w:r w:rsidRPr="00CD265B">
        <w:t>he findings of this research show a slight improvement</w:t>
      </w:r>
      <w:r w:rsidR="001D7405">
        <w:t>.</w:t>
      </w:r>
      <w:r w:rsidRPr="00CD265B">
        <w:t xml:space="preserve"> </w:t>
      </w:r>
      <w:r w:rsidR="001D7405">
        <w:t>B</w:t>
      </w:r>
      <w:r w:rsidRPr="00CD265B">
        <w:t>ut</w:t>
      </w:r>
      <w:r w:rsidR="001D7405">
        <w:t>,</w:t>
      </w:r>
      <w:r w:rsidRPr="00CD265B">
        <w:t xml:space="preserve"> the adoption of integrated strategic sourcing risk management practices is still less than expected because companies </w:t>
      </w:r>
      <w:r w:rsidR="00CD1819" w:rsidRPr="00CD265B">
        <w:t>are increasingly exposed to a variety of supply chain risks in todays’ volatile business environment</w:t>
      </w:r>
      <w:r w:rsidRPr="00CD265B">
        <w:t>.</w:t>
      </w:r>
    </w:p>
    <w:p w14:paraId="40FF7149" w14:textId="5703C9B3" w:rsidR="004D2A97" w:rsidRPr="00CD265B" w:rsidRDefault="00CD1819" w:rsidP="004D2A97">
      <w:pPr>
        <w:spacing w:line="480" w:lineRule="auto"/>
        <w:ind w:firstLine="567"/>
        <w:jc w:val="both"/>
      </w:pPr>
      <w:r w:rsidRPr="00CD265B">
        <w:t xml:space="preserve">Sixth, </w:t>
      </w:r>
      <w:r w:rsidR="00AC3BFC" w:rsidRPr="00CD265B">
        <w:t xml:space="preserve">the applied risk management approaches are extremely operational and do not reflect the strategic risks from long-term supply decisions. The companies apply the risk tools </w:t>
      </w:r>
      <w:r w:rsidR="00AC3BFC" w:rsidRPr="00CD265B">
        <w:lastRenderedPageBreak/>
        <w:t>with a strong focus on financial metrics from Dun &amp; Bradstreet or operational risks. Specifically, t</w:t>
      </w:r>
      <w:r w:rsidR="004D2A97" w:rsidRPr="00CD265B">
        <w:t>he do</w:t>
      </w:r>
      <w:r w:rsidR="00AC3BFC" w:rsidRPr="00CD265B">
        <w:t xml:space="preserve">minating tool is a risk matrix </w:t>
      </w:r>
      <w:r w:rsidR="004D2A97" w:rsidRPr="00CD265B">
        <w:t>mainly used in Microsoft Excel ®</w:t>
      </w:r>
      <w:r w:rsidR="00AC3BFC" w:rsidRPr="00CD265B">
        <w:t xml:space="preserve">, followed by </w:t>
      </w:r>
      <w:r w:rsidR="004D2A97" w:rsidRPr="00CD265B">
        <w:t>an IT system/software, such as ERP.</w:t>
      </w:r>
      <w:r w:rsidR="00AC3BFC" w:rsidRPr="00CD265B">
        <w:t xml:space="preserve"> To increase the resilience of companies, </w:t>
      </w:r>
      <w:r w:rsidR="00546C5F">
        <w:t>organizations</w:t>
      </w:r>
      <w:r w:rsidR="00AC3BFC" w:rsidRPr="00CD265B">
        <w:t xml:space="preserve"> should establish a better and integrated SCRM process to identify, assess, mitigate, and monitor both strategic and operational risks in strategic sourcing.</w:t>
      </w:r>
    </w:p>
    <w:p w14:paraId="035381B3" w14:textId="77777777" w:rsidR="004B1B21" w:rsidRPr="00CD265B" w:rsidRDefault="004B1B21" w:rsidP="004B1B21">
      <w:pPr>
        <w:spacing w:line="480" w:lineRule="auto"/>
        <w:jc w:val="both"/>
      </w:pPr>
    </w:p>
    <w:p w14:paraId="35A35079" w14:textId="24731788" w:rsidR="004B1B21" w:rsidRPr="00CD265B" w:rsidRDefault="00315D11" w:rsidP="004B1B21">
      <w:pPr>
        <w:spacing w:line="480" w:lineRule="auto"/>
        <w:jc w:val="both"/>
      </w:pPr>
      <w:r>
        <w:rPr>
          <w:b/>
        </w:rPr>
        <w:t>5</w:t>
      </w:r>
      <w:r w:rsidR="004B1B21" w:rsidRPr="00CD265B">
        <w:rPr>
          <w:b/>
        </w:rPr>
        <w:t>. CONCLUSION</w:t>
      </w:r>
      <w:r>
        <w:rPr>
          <w:b/>
        </w:rPr>
        <w:t>S</w:t>
      </w:r>
    </w:p>
    <w:p w14:paraId="54CCC158" w14:textId="3ADDE9A4" w:rsidR="00F36994" w:rsidRPr="00CD265B" w:rsidRDefault="00FE6E88" w:rsidP="00905FA9">
      <w:pPr>
        <w:spacing w:line="480" w:lineRule="auto"/>
        <w:jc w:val="both"/>
      </w:pPr>
      <w:r w:rsidRPr="00CD265B">
        <w:t xml:space="preserve">This paper applies a multiple case study approach to understand and compare the strategic sourcing risk management practices across the construction and electronics manufacturing sectors in Germany and the UK. </w:t>
      </w:r>
      <w:r w:rsidR="00D25791" w:rsidRPr="00CD265B">
        <w:t>There are several research findings that help fill the knowledge gaps in the literature.</w:t>
      </w:r>
      <w:r w:rsidR="00004599" w:rsidRPr="00CD265B">
        <w:t xml:space="preserve"> O</w:t>
      </w:r>
      <w:r w:rsidR="00D25791" w:rsidRPr="00CD265B">
        <w:t xml:space="preserve">ur </w:t>
      </w:r>
      <w:r w:rsidR="00004599" w:rsidRPr="00CD265B">
        <w:t>findings</w:t>
      </w:r>
      <w:r w:rsidR="00D25791" w:rsidRPr="00CD265B">
        <w:t xml:space="preserve"> show </w:t>
      </w:r>
      <w:r w:rsidR="00004599" w:rsidRPr="00CD265B">
        <w:t xml:space="preserve">that companies are exposed to risks, which, in the worst case, affect their </w:t>
      </w:r>
      <w:r w:rsidR="008421E8" w:rsidRPr="00CD265B">
        <w:t>business performance</w:t>
      </w:r>
      <w:r w:rsidR="00004599" w:rsidRPr="00CD265B">
        <w:t>. Therefore, there is a</w:t>
      </w:r>
      <w:r w:rsidR="00D25791" w:rsidRPr="00CD265B">
        <w:t xml:space="preserve"> necessity of </w:t>
      </w:r>
      <w:r w:rsidR="00004599" w:rsidRPr="00CD265B">
        <w:t xml:space="preserve">incorporating </w:t>
      </w:r>
      <w:r w:rsidR="00D25791" w:rsidRPr="00CD265B">
        <w:t xml:space="preserve">risk management in strategic sourcing. </w:t>
      </w:r>
      <w:r w:rsidR="00004599" w:rsidRPr="00CD265B">
        <w:t xml:space="preserve">Also, we find that companies are mainly exposed to supplier insolvency and supply security risks. </w:t>
      </w:r>
      <w:r w:rsidR="00D01947" w:rsidRPr="00CD265B">
        <w:t>However, companies do not manage supply risks appropriately. Specifically, c</w:t>
      </w:r>
      <w:r w:rsidR="00004599" w:rsidRPr="00CD265B">
        <w:t>ompanies tend to focus more on supplier bankruptcies than supply security</w:t>
      </w:r>
      <w:r w:rsidR="008317FB" w:rsidRPr="00CD265B">
        <w:t xml:space="preserve"> when evaluating and selecting new suppliers. </w:t>
      </w:r>
      <w:r w:rsidR="00004599" w:rsidRPr="00CD265B">
        <w:t>Companies are strongly recommend</w:t>
      </w:r>
      <w:r w:rsidR="00B35C9E" w:rsidRPr="00CD265B">
        <w:t>ed</w:t>
      </w:r>
      <w:r w:rsidR="00004599" w:rsidRPr="00CD265B">
        <w:t xml:space="preserve"> to align </w:t>
      </w:r>
      <w:r w:rsidR="00D25791" w:rsidRPr="00CD265B">
        <w:t xml:space="preserve">their </w:t>
      </w:r>
      <w:r w:rsidR="001C42A9" w:rsidRPr="00CD265B">
        <w:t xml:space="preserve">strategic sourcing </w:t>
      </w:r>
      <w:r w:rsidR="00D25791" w:rsidRPr="00CD265B">
        <w:t xml:space="preserve">risk management practices </w:t>
      </w:r>
      <w:r w:rsidR="001C42A9" w:rsidRPr="00CD265B">
        <w:t>better with the</w:t>
      </w:r>
      <w:r w:rsidR="00D25791" w:rsidRPr="00CD265B">
        <w:t xml:space="preserve"> </w:t>
      </w:r>
      <w:r w:rsidR="001C42A9" w:rsidRPr="00CD265B">
        <w:t xml:space="preserve">key </w:t>
      </w:r>
      <w:r w:rsidR="00D25791" w:rsidRPr="00CD265B">
        <w:t>materiali</w:t>
      </w:r>
      <w:r w:rsidR="004668E0" w:rsidRPr="00CD265B">
        <w:t>z</w:t>
      </w:r>
      <w:r w:rsidR="001C42A9" w:rsidRPr="00CD265B">
        <w:t>ed risks. Furthermore, we find that there is limited risk types considered in practice. Companies should also consider other supply risk factors identified in the literature proactively.</w:t>
      </w:r>
      <w:r w:rsidR="004774EE" w:rsidRPr="00CD265B">
        <w:t xml:space="preserve"> Last, but not least, we find that single sourcing or single specification is a key driver for higher risk exposure, </w:t>
      </w:r>
      <w:r w:rsidR="00F36994" w:rsidRPr="00CD265B">
        <w:t xml:space="preserve">especially in cases of </w:t>
      </w:r>
      <w:r w:rsidR="004774EE" w:rsidRPr="00CD265B">
        <w:t xml:space="preserve">supplier bankruptcies and </w:t>
      </w:r>
      <w:r w:rsidR="00F36994" w:rsidRPr="00CD265B">
        <w:t xml:space="preserve">supply shortages. Therefore, </w:t>
      </w:r>
      <w:r w:rsidR="004774EE" w:rsidRPr="00CD265B">
        <w:t>companies should move towards a dual supplier strategy for the critical parts to avoid any significant disturbance</w:t>
      </w:r>
      <w:r w:rsidR="00F36994" w:rsidRPr="00CD265B">
        <w:t>.</w:t>
      </w:r>
    </w:p>
    <w:p w14:paraId="4E22309F" w14:textId="253E33B2" w:rsidR="003959C1" w:rsidRPr="00CD265B" w:rsidRDefault="003959C1" w:rsidP="003959C1">
      <w:pPr>
        <w:spacing w:line="480" w:lineRule="auto"/>
        <w:ind w:firstLine="567"/>
        <w:jc w:val="both"/>
      </w:pPr>
      <w:r w:rsidRPr="00CD265B">
        <w:t xml:space="preserve">The major claim against the qualitative findings is typically based on personal biases and peculiarity, which is particularly the case if there is only one interviewee participating within </w:t>
      </w:r>
      <w:r w:rsidRPr="00CD265B">
        <w:lastRenderedPageBreak/>
        <w:t>one organi</w:t>
      </w:r>
      <w:r w:rsidR="003F14AB" w:rsidRPr="00CD265B">
        <w:t>z</w:t>
      </w:r>
      <w:r w:rsidRPr="00CD265B">
        <w:t xml:space="preserve">ation. However, there is always a risk of interviewee bias, which cannot be excluded. The researcher has to believe in the interviewees’ responses and that the research design findings are validated with different questions and through examining the overall situation. </w:t>
      </w:r>
      <w:r w:rsidR="008317FB" w:rsidRPr="00CD265B">
        <w:t>Besides</w:t>
      </w:r>
      <w:r w:rsidRPr="00CD265B">
        <w:t>, the research design was based on questions with a high degree of subjectivity, which supports the qualitative study and the research objective of a deep understanding of how companies adopt and execute strategic sourcing</w:t>
      </w:r>
      <w:r w:rsidR="008317FB" w:rsidRPr="00CD265B">
        <w:t xml:space="preserve"> risk management</w:t>
      </w:r>
      <w:r w:rsidRPr="00CD265B">
        <w:t>.</w:t>
      </w:r>
    </w:p>
    <w:p w14:paraId="10B033EF" w14:textId="0B6E9E4A" w:rsidR="003959C1" w:rsidRPr="00CD265B" w:rsidRDefault="003959C1" w:rsidP="003959C1">
      <w:pPr>
        <w:spacing w:line="480" w:lineRule="auto"/>
        <w:ind w:firstLine="567"/>
        <w:jc w:val="both"/>
      </w:pPr>
      <w:r w:rsidRPr="00CD265B">
        <w:t>There are several possibilities for extending knowledge in the area of strategic sourcing</w:t>
      </w:r>
      <w:r w:rsidR="0015788D" w:rsidRPr="00CD265B">
        <w:t xml:space="preserve"> risk management</w:t>
      </w:r>
      <w:r w:rsidRPr="00CD265B">
        <w:t xml:space="preserve">. First, this study could be extended by considering additional </w:t>
      </w:r>
      <w:r w:rsidR="0015788D" w:rsidRPr="00CD265B">
        <w:t>sectors (e.g., service industry)</w:t>
      </w:r>
      <w:r w:rsidRPr="00CD265B">
        <w:t xml:space="preserve"> and countries</w:t>
      </w:r>
      <w:r w:rsidR="0015788D" w:rsidRPr="00CD265B">
        <w:t xml:space="preserve"> (e.g., developing or low cost countries)</w:t>
      </w:r>
      <w:r w:rsidR="006F2A6A" w:rsidRPr="00CD265B">
        <w:t xml:space="preserve"> to examine if there is a difference on the types of risks faced</w:t>
      </w:r>
      <w:r w:rsidRPr="00CD265B">
        <w:t xml:space="preserve">. Second, the knowledge could be extended by quantitatively evaluating the </w:t>
      </w:r>
      <w:r w:rsidR="006F2A6A" w:rsidRPr="00CD265B">
        <w:rPr>
          <w:color w:val="000000"/>
          <w:lang w:eastAsia="zh-CN"/>
        </w:rPr>
        <w:t xml:space="preserve">benefits and costs </w:t>
      </w:r>
      <w:r w:rsidRPr="00CD265B">
        <w:t xml:space="preserve">of </w:t>
      </w:r>
      <w:r w:rsidR="0015788D" w:rsidRPr="00CD265B">
        <w:t>strategic sourcing</w:t>
      </w:r>
      <w:r w:rsidRPr="00CD265B">
        <w:t xml:space="preserve"> risk management practices</w:t>
      </w:r>
      <w:r w:rsidR="0015788D" w:rsidRPr="00CD265B">
        <w:t xml:space="preserve">. </w:t>
      </w:r>
      <w:r w:rsidR="006F2A6A" w:rsidRPr="00CD265B">
        <w:rPr>
          <w:color w:val="000000"/>
          <w:lang w:eastAsia="zh-CN"/>
        </w:rPr>
        <w:t>For example, scholars could apply a multiple case study approach to analy</w:t>
      </w:r>
      <w:r w:rsidR="004668E0" w:rsidRPr="00CD265B">
        <w:rPr>
          <w:color w:val="000000"/>
          <w:lang w:eastAsia="zh-CN"/>
        </w:rPr>
        <w:t>z</w:t>
      </w:r>
      <w:r w:rsidR="006F2A6A" w:rsidRPr="00CD265B">
        <w:rPr>
          <w:color w:val="000000"/>
          <w:lang w:eastAsia="zh-CN"/>
        </w:rPr>
        <w:t xml:space="preserve">e and benchmark the payoffs or losses between those companies </w:t>
      </w:r>
      <w:r w:rsidR="00CC2251" w:rsidRPr="00CD265B">
        <w:rPr>
          <w:color w:val="000000"/>
          <w:lang w:eastAsia="zh-CN"/>
        </w:rPr>
        <w:t xml:space="preserve">implementing </w:t>
      </w:r>
      <w:r w:rsidR="00CC2251" w:rsidRPr="00CD265B">
        <w:t>strategic sourcing risk management practices</w:t>
      </w:r>
      <w:r w:rsidR="00CC2251" w:rsidRPr="00CD265B">
        <w:rPr>
          <w:color w:val="000000"/>
          <w:lang w:eastAsia="zh-CN"/>
        </w:rPr>
        <w:t xml:space="preserve"> </w:t>
      </w:r>
      <w:r w:rsidR="006F2A6A" w:rsidRPr="00CD265B">
        <w:rPr>
          <w:color w:val="000000"/>
          <w:lang w:eastAsia="zh-CN"/>
        </w:rPr>
        <w:t xml:space="preserve">and </w:t>
      </w:r>
      <w:r w:rsidR="00CC2251" w:rsidRPr="00CD265B">
        <w:rPr>
          <w:color w:val="000000"/>
          <w:lang w:eastAsia="zh-CN"/>
        </w:rPr>
        <w:t>those not implementing</w:t>
      </w:r>
      <w:r w:rsidR="006F2A6A" w:rsidRPr="00CD265B">
        <w:rPr>
          <w:color w:val="000000"/>
          <w:lang w:eastAsia="zh-CN"/>
        </w:rPr>
        <w:t xml:space="preserve"> in the same sector while exposing to similar risk types</w:t>
      </w:r>
      <w:r w:rsidR="00CC2251" w:rsidRPr="00CD265B">
        <w:rPr>
          <w:color w:val="000000"/>
          <w:lang w:eastAsia="zh-CN"/>
        </w:rPr>
        <w:t>. Third</w:t>
      </w:r>
      <w:r w:rsidR="006F2A6A" w:rsidRPr="00CD265B">
        <w:t xml:space="preserve">, </w:t>
      </w:r>
      <w:r w:rsidR="008421E8" w:rsidRPr="00CD265B">
        <w:t>a</w:t>
      </w:r>
      <w:r w:rsidR="006F2A6A" w:rsidRPr="00CD265B">
        <w:t xml:space="preserve"> </w:t>
      </w:r>
      <w:r w:rsidR="008421E8" w:rsidRPr="00CD265B">
        <w:t xml:space="preserve">risk management framework in strategic sourcing </w:t>
      </w:r>
      <w:r w:rsidR="006F2A6A" w:rsidRPr="00CD265B">
        <w:t xml:space="preserve">could be </w:t>
      </w:r>
      <w:r w:rsidR="008421E8" w:rsidRPr="00CD265B">
        <w:rPr>
          <w:color w:val="000000"/>
          <w:lang w:eastAsia="zh-CN"/>
        </w:rPr>
        <w:t>develop</w:t>
      </w:r>
      <w:r w:rsidR="006F2A6A" w:rsidRPr="00CD265B">
        <w:rPr>
          <w:color w:val="000000"/>
          <w:lang w:eastAsia="zh-CN"/>
        </w:rPr>
        <w:t>ed</w:t>
      </w:r>
      <w:r w:rsidR="008421E8" w:rsidRPr="00CD265B">
        <w:rPr>
          <w:color w:val="000000"/>
          <w:lang w:eastAsia="zh-CN"/>
        </w:rPr>
        <w:t xml:space="preserve"> for industry and country specific use.</w:t>
      </w:r>
    </w:p>
    <w:p w14:paraId="6BD3C034" w14:textId="77777777" w:rsidR="00107580" w:rsidRPr="00CD265B" w:rsidRDefault="00485F6A" w:rsidP="007D23C7">
      <w:pPr>
        <w:spacing w:after="200" w:line="276" w:lineRule="auto"/>
        <w:rPr>
          <w:b/>
        </w:rPr>
      </w:pPr>
      <w:r w:rsidRPr="00CD265B">
        <w:rPr>
          <w:b/>
        </w:rPr>
        <w:br w:type="page"/>
      </w:r>
    </w:p>
    <w:p w14:paraId="35817C09" w14:textId="77777777" w:rsidR="00107580" w:rsidRPr="00CD265B" w:rsidRDefault="00107580" w:rsidP="00E74D31">
      <w:pPr>
        <w:sectPr w:rsidR="00107580" w:rsidRPr="00CD265B" w:rsidSect="003461F4">
          <w:footerReference w:type="default" r:id="rId15"/>
          <w:pgSz w:w="11909" w:h="16834" w:code="9"/>
          <w:pgMar w:top="1440" w:right="1440" w:bottom="1440" w:left="1440" w:header="720" w:footer="975" w:gutter="0"/>
          <w:cols w:space="720"/>
          <w:docGrid w:linePitch="326"/>
        </w:sectPr>
      </w:pPr>
    </w:p>
    <w:p w14:paraId="43802389" w14:textId="3C3AC8F0" w:rsidR="001435D3" w:rsidRPr="00CD265B" w:rsidRDefault="007D23C7" w:rsidP="001B10CB">
      <w:pPr>
        <w:pStyle w:val="Caption"/>
        <w:rPr>
          <w:b w:val="0"/>
        </w:rPr>
      </w:pPr>
      <w:r w:rsidRPr="00CD265B">
        <w:lastRenderedPageBreak/>
        <w:t>Appendix 1</w:t>
      </w:r>
      <w:r w:rsidR="001D27BF" w:rsidRPr="00CD265B">
        <w:t>:</w:t>
      </w:r>
      <w:r w:rsidRPr="00CD265B">
        <w:t xml:space="preserve"> </w:t>
      </w:r>
      <w:r w:rsidRPr="00CD265B">
        <w:rPr>
          <w:b w:val="0"/>
        </w:rPr>
        <w:t xml:space="preserve">Nature of </w:t>
      </w:r>
      <w:r w:rsidR="00AA0970" w:rsidRPr="00CD265B">
        <w:rPr>
          <w:b w:val="0"/>
        </w:rPr>
        <w:t>b</w:t>
      </w:r>
      <w:r w:rsidRPr="00CD265B">
        <w:rPr>
          <w:b w:val="0"/>
        </w:rPr>
        <w:t xml:space="preserve">usiness and </w:t>
      </w:r>
      <w:r w:rsidR="00AA0970" w:rsidRPr="00CD265B">
        <w:rPr>
          <w:b w:val="0"/>
        </w:rPr>
        <w:t>c</w:t>
      </w:r>
      <w:r w:rsidRPr="00CD265B">
        <w:rPr>
          <w:b w:val="0"/>
        </w:rPr>
        <w:t>ompanies</w:t>
      </w:r>
    </w:p>
    <w:p w14:paraId="25E01670" w14:textId="77777777" w:rsidR="007D23C7" w:rsidRPr="00CD265B" w:rsidRDefault="007D23C7" w:rsidP="007D23C7"/>
    <w:tbl>
      <w:tblPr>
        <w:tblStyle w:val="TableClassic1"/>
        <w:tblpPr w:leftFromText="141" w:rightFromText="141" w:vertAnchor="text" w:tblpY="-31"/>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0"/>
        <w:gridCol w:w="2800"/>
        <w:gridCol w:w="2800"/>
        <w:gridCol w:w="2800"/>
        <w:gridCol w:w="2800"/>
      </w:tblGrid>
      <w:tr w:rsidR="007D23C7" w:rsidRPr="00CD265B" w14:paraId="08ACD50B" w14:textId="77777777" w:rsidTr="007D23C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00" w:type="dxa"/>
            <w:shd w:val="clear" w:color="auto" w:fill="D9D9D9" w:themeFill="background1" w:themeFillShade="D9"/>
            <w:noWrap/>
            <w:hideMark/>
          </w:tcPr>
          <w:p w14:paraId="20C98E19" w14:textId="77777777" w:rsidR="007D23C7" w:rsidRPr="00CD265B" w:rsidRDefault="007D23C7" w:rsidP="007D23C7">
            <w:pPr>
              <w:jc w:val="center"/>
              <w:rPr>
                <w:b/>
                <w:i w:val="0"/>
                <w:sz w:val="16"/>
                <w:szCs w:val="16"/>
              </w:rPr>
            </w:pPr>
            <w:bookmarkStart w:id="9" w:name="_Ref422646801"/>
            <w:bookmarkStart w:id="10" w:name="_Ref422646798"/>
            <w:bookmarkStart w:id="11" w:name="_Toc349058862"/>
            <w:bookmarkStart w:id="12" w:name="_Toc358560073"/>
            <w:r w:rsidRPr="00CD265B">
              <w:rPr>
                <w:b/>
                <w:i w:val="0"/>
                <w:sz w:val="16"/>
                <w:szCs w:val="16"/>
              </w:rPr>
              <w:t>DECO1</w:t>
            </w:r>
          </w:p>
        </w:tc>
        <w:tc>
          <w:tcPr>
            <w:tcW w:w="2800" w:type="dxa"/>
            <w:shd w:val="clear" w:color="auto" w:fill="D9D9D9" w:themeFill="background1" w:themeFillShade="D9"/>
            <w:noWrap/>
            <w:hideMark/>
          </w:tcPr>
          <w:p w14:paraId="6F5D0C87" w14:textId="77777777" w:rsidR="007D23C7" w:rsidRPr="00CD265B" w:rsidRDefault="007D23C7" w:rsidP="007D23C7">
            <w:pPr>
              <w:jc w:val="center"/>
              <w:cnfStyle w:val="100000000000" w:firstRow="1" w:lastRow="0" w:firstColumn="0" w:lastColumn="0" w:oddVBand="0" w:evenVBand="0" w:oddHBand="0" w:evenHBand="0" w:firstRowFirstColumn="0" w:firstRowLastColumn="0" w:lastRowFirstColumn="0" w:lastRowLastColumn="0"/>
              <w:rPr>
                <w:b/>
                <w:i w:val="0"/>
                <w:sz w:val="16"/>
                <w:szCs w:val="16"/>
              </w:rPr>
            </w:pPr>
            <w:r w:rsidRPr="00CD265B">
              <w:rPr>
                <w:b/>
                <w:i w:val="0"/>
                <w:sz w:val="16"/>
                <w:szCs w:val="16"/>
              </w:rPr>
              <w:t>DECO2</w:t>
            </w:r>
          </w:p>
        </w:tc>
        <w:tc>
          <w:tcPr>
            <w:tcW w:w="2800" w:type="dxa"/>
            <w:shd w:val="clear" w:color="auto" w:fill="D9D9D9" w:themeFill="background1" w:themeFillShade="D9"/>
            <w:noWrap/>
            <w:hideMark/>
          </w:tcPr>
          <w:p w14:paraId="5FB680C4" w14:textId="77777777" w:rsidR="007D23C7" w:rsidRPr="00CD265B" w:rsidRDefault="007D23C7" w:rsidP="007D23C7">
            <w:pPr>
              <w:jc w:val="center"/>
              <w:cnfStyle w:val="100000000000" w:firstRow="1" w:lastRow="0" w:firstColumn="0" w:lastColumn="0" w:oddVBand="0" w:evenVBand="0" w:oddHBand="0" w:evenHBand="0" w:firstRowFirstColumn="0" w:firstRowLastColumn="0" w:lastRowFirstColumn="0" w:lastRowLastColumn="0"/>
              <w:rPr>
                <w:b/>
                <w:i w:val="0"/>
                <w:sz w:val="16"/>
                <w:szCs w:val="16"/>
              </w:rPr>
            </w:pPr>
            <w:r w:rsidRPr="00CD265B">
              <w:rPr>
                <w:b/>
                <w:i w:val="0"/>
                <w:sz w:val="16"/>
                <w:szCs w:val="16"/>
              </w:rPr>
              <w:t>DECO3</w:t>
            </w:r>
          </w:p>
        </w:tc>
        <w:tc>
          <w:tcPr>
            <w:tcW w:w="2800" w:type="dxa"/>
            <w:shd w:val="clear" w:color="auto" w:fill="D9D9D9" w:themeFill="background1" w:themeFillShade="D9"/>
            <w:noWrap/>
            <w:hideMark/>
          </w:tcPr>
          <w:p w14:paraId="7776C46E" w14:textId="77777777" w:rsidR="007D23C7" w:rsidRPr="00CD265B" w:rsidRDefault="007D23C7" w:rsidP="007D23C7">
            <w:pPr>
              <w:jc w:val="center"/>
              <w:cnfStyle w:val="100000000000" w:firstRow="1" w:lastRow="0" w:firstColumn="0" w:lastColumn="0" w:oddVBand="0" w:evenVBand="0" w:oddHBand="0" w:evenHBand="0" w:firstRowFirstColumn="0" w:firstRowLastColumn="0" w:lastRowFirstColumn="0" w:lastRowLastColumn="0"/>
              <w:rPr>
                <w:b/>
                <w:i w:val="0"/>
                <w:sz w:val="16"/>
                <w:szCs w:val="16"/>
              </w:rPr>
            </w:pPr>
            <w:r w:rsidRPr="00CD265B">
              <w:rPr>
                <w:b/>
                <w:i w:val="0"/>
                <w:sz w:val="16"/>
                <w:szCs w:val="16"/>
              </w:rPr>
              <w:t>DECO4</w:t>
            </w:r>
          </w:p>
        </w:tc>
        <w:tc>
          <w:tcPr>
            <w:tcW w:w="2800" w:type="dxa"/>
            <w:shd w:val="clear" w:color="auto" w:fill="D9D9D9" w:themeFill="background1" w:themeFillShade="D9"/>
            <w:noWrap/>
            <w:hideMark/>
          </w:tcPr>
          <w:p w14:paraId="225A9903" w14:textId="77777777" w:rsidR="007D23C7" w:rsidRPr="00CD265B" w:rsidRDefault="007D23C7" w:rsidP="007D23C7">
            <w:pPr>
              <w:jc w:val="center"/>
              <w:cnfStyle w:val="100000000000" w:firstRow="1" w:lastRow="0" w:firstColumn="0" w:lastColumn="0" w:oddVBand="0" w:evenVBand="0" w:oddHBand="0" w:evenHBand="0" w:firstRowFirstColumn="0" w:firstRowLastColumn="0" w:lastRowFirstColumn="0" w:lastRowLastColumn="0"/>
              <w:rPr>
                <w:b/>
                <w:i w:val="0"/>
                <w:sz w:val="16"/>
                <w:szCs w:val="16"/>
              </w:rPr>
            </w:pPr>
            <w:r w:rsidRPr="00CD265B">
              <w:rPr>
                <w:b/>
                <w:i w:val="0"/>
                <w:sz w:val="16"/>
                <w:szCs w:val="16"/>
              </w:rPr>
              <w:t>DECO5</w:t>
            </w:r>
          </w:p>
        </w:tc>
      </w:tr>
      <w:tr w:rsidR="007D23C7" w:rsidRPr="00CD265B" w14:paraId="52FB5DEC" w14:textId="77777777" w:rsidTr="007D23C7">
        <w:trPr>
          <w:trHeight w:val="300"/>
        </w:trPr>
        <w:tc>
          <w:tcPr>
            <w:cnfStyle w:val="001000000000" w:firstRow="0" w:lastRow="0" w:firstColumn="1" w:lastColumn="0" w:oddVBand="0" w:evenVBand="0" w:oddHBand="0" w:evenHBand="0" w:firstRowFirstColumn="0" w:firstRowLastColumn="0" w:lastRowFirstColumn="0" w:lastRowLastColumn="0"/>
            <w:tcW w:w="2800" w:type="dxa"/>
            <w:noWrap/>
            <w:hideMark/>
          </w:tcPr>
          <w:p w14:paraId="6975CF60" w14:textId="77777777" w:rsidR="007D23C7" w:rsidRPr="00CD265B" w:rsidRDefault="007D23C7" w:rsidP="007D23C7">
            <w:pPr>
              <w:jc w:val="center"/>
              <w:rPr>
                <w:sz w:val="16"/>
                <w:szCs w:val="16"/>
                <w:lang w:val="en-GB"/>
              </w:rPr>
            </w:pPr>
            <w:r w:rsidRPr="00CD265B">
              <w:rPr>
                <w:sz w:val="16"/>
                <w:szCs w:val="16"/>
                <w:lang w:val="en-GB"/>
              </w:rPr>
              <w:t>The company is a large enterprise and serves public and industrial clients with project development, turnkey solutions, real estate management and facility management combined with services. The markets served vary from power, infrastructure or operations of infrastructure projects with financial management.</w:t>
            </w:r>
          </w:p>
        </w:tc>
        <w:tc>
          <w:tcPr>
            <w:tcW w:w="2800" w:type="dxa"/>
            <w:noWrap/>
            <w:hideMark/>
          </w:tcPr>
          <w:p w14:paraId="67A1818B" w14:textId="77777777" w:rsidR="007D23C7" w:rsidRPr="00CD265B" w:rsidRDefault="007D23C7" w:rsidP="007D23C7">
            <w:pPr>
              <w:jc w:val="center"/>
              <w:cnfStyle w:val="000000000000" w:firstRow="0" w:lastRow="0" w:firstColumn="0" w:lastColumn="0" w:oddVBand="0" w:evenVBand="0" w:oddHBand="0" w:evenHBand="0" w:firstRowFirstColumn="0" w:firstRowLastColumn="0" w:lastRowFirstColumn="0" w:lastRowLastColumn="0"/>
              <w:rPr>
                <w:sz w:val="16"/>
                <w:szCs w:val="16"/>
              </w:rPr>
            </w:pPr>
            <w:r w:rsidRPr="00CD265B">
              <w:rPr>
                <w:sz w:val="16"/>
                <w:szCs w:val="16"/>
                <w:lang w:val="en-GB"/>
              </w:rPr>
              <w:t xml:space="preserve">The company has broad offerings: building, turnkey solutions, civil engineering, underground construction, building renovation or pre-casting of elements. </w:t>
            </w:r>
            <w:r w:rsidRPr="00CD265B">
              <w:rPr>
                <w:sz w:val="16"/>
                <w:szCs w:val="16"/>
              </w:rPr>
              <w:t>Furthermore, the company offers real estate services.</w:t>
            </w:r>
          </w:p>
        </w:tc>
        <w:tc>
          <w:tcPr>
            <w:tcW w:w="2800" w:type="dxa"/>
            <w:noWrap/>
            <w:hideMark/>
          </w:tcPr>
          <w:p w14:paraId="39F3B260" w14:textId="77777777" w:rsidR="007D23C7" w:rsidRPr="00CD265B" w:rsidRDefault="007D23C7" w:rsidP="007D23C7">
            <w:pPr>
              <w:jc w:val="center"/>
              <w:cnfStyle w:val="000000000000" w:firstRow="0" w:lastRow="0" w:firstColumn="0" w:lastColumn="0" w:oddVBand="0" w:evenVBand="0" w:oddHBand="0" w:evenHBand="0" w:firstRowFirstColumn="0" w:firstRowLastColumn="0" w:lastRowFirstColumn="0" w:lastRowLastColumn="0"/>
              <w:rPr>
                <w:sz w:val="16"/>
                <w:szCs w:val="16"/>
                <w:lang w:val="en-GB"/>
              </w:rPr>
            </w:pPr>
            <w:r w:rsidRPr="00CD265B">
              <w:rPr>
                <w:sz w:val="16"/>
                <w:szCs w:val="16"/>
                <w:lang w:val="en-GB"/>
              </w:rPr>
              <w:t>The primary business of the company is the services, product and turnkey solution provision with a focus on interior fit-out, facade construction and insulation engineering. The product range covers facade, steel, glass ceilings and industrial scaffolding.</w:t>
            </w:r>
          </w:p>
        </w:tc>
        <w:tc>
          <w:tcPr>
            <w:tcW w:w="2800" w:type="dxa"/>
            <w:noWrap/>
            <w:hideMark/>
          </w:tcPr>
          <w:p w14:paraId="550ED089" w14:textId="77777777" w:rsidR="007D23C7" w:rsidRPr="00CD265B" w:rsidRDefault="007D23C7" w:rsidP="007D23C7">
            <w:pPr>
              <w:jc w:val="center"/>
              <w:cnfStyle w:val="000000000000" w:firstRow="0" w:lastRow="0" w:firstColumn="0" w:lastColumn="0" w:oddVBand="0" w:evenVBand="0" w:oddHBand="0" w:evenHBand="0" w:firstRowFirstColumn="0" w:firstRowLastColumn="0" w:lastRowFirstColumn="0" w:lastRowLastColumn="0"/>
              <w:rPr>
                <w:sz w:val="16"/>
                <w:szCs w:val="16"/>
              </w:rPr>
            </w:pPr>
            <w:r w:rsidRPr="00CD265B">
              <w:rPr>
                <w:sz w:val="16"/>
                <w:szCs w:val="16"/>
                <w:lang w:val="en-GB"/>
              </w:rPr>
              <w:t xml:space="preserve">The company serves private clients with prefabricated houses. The house can be selected from standards or references or can be custom-made. </w:t>
            </w:r>
            <w:r w:rsidRPr="00CD265B">
              <w:rPr>
                <w:sz w:val="16"/>
                <w:szCs w:val="16"/>
              </w:rPr>
              <w:t>The company produces around 700 houses per year.</w:t>
            </w:r>
          </w:p>
        </w:tc>
        <w:tc>
          <w:tcPr>
            <w:tcW w:w="2800" w:type="dxa"/>
            <w:noWrap/>
            <w:hideMark/>
          </w:tcPr>
          <w:p w14:paraId="3462F26F" w14:textId="77777777" w:rsidR="007D23C7" w:rsidRPr="00CD265B" w:rsidRDefault="007D23C7" w:rsidP="007D23C7">
            <w:pPr>
              <w:jc w:val="center"/>
              <w:cnfStyle w:val="000000000000" w:firstRow="0" w:lastRow="0" w:firstColumn="0" w:lastColumn="0" w:oddVBand="0" w:evenVBand="0" w:oddHBand="0" w:evenHBand="0" w:firstRowFirstColumn="0" w:firstRowLastColumn="0" w:lastRowFirstColumn="0" w:lastRowLastColumn="0"/>
              <w:rPr>
                <w:sz w:val="16"/>
                <w:szCs w:val="16"/>
                <w:lang w:val="en-GB"/>
              </w:rPr>
            </w:pPr>
            <w:r w:rsidRPr="00CD265B">
              <w:rPr>
                <w:sz w:val="16"/>
                <w:szCs w:val="16"/>
                <w:lang w:val="en-GB"/>
              </w:rPr>
              <w:t>The company develops large projects for industrial clients. Primary activities are: project development, project management, general contracting and construction services. Furthermore, the company manages the properties, the facility, assets, centre and park houses. The company is general contractor for clients or develops and operates own properties</w:t>
            </w:r>
          </w:p>
        </w:tc>
      </w:tr>
      <w:tr w:rsidR="007D23C7" w:rsidRPr="00CD265B" w14:paraId="3249915C" w14:textId="77777777" w:rsidTr="007D23C7">
        <w:trPr>
          <w:trHeight w:val="300"/>
        </w:trPr>
        <w:tc>
          <w:tcPr>
            <w:cnfStyle w:val="001000000000" w:firstRow="0" w:lastRow="0" w:firstColumn="1" w:lastColumn="0" w:oddVBand="0" w:evenVBand="0" w:oddHBand="0" w:evenHBand="0" w:firstRowFirstColumn="0" w:firstRowLastColumn="0" w:lastRowFirstColumn="0" w:lastRowLastColumn="0"/>
            <w:tcW w:w="2800" w:type="dxa"/>
            <w:shd w:val="clear" w:color="auto" w:fill="D9D9D9" w:themeFill="background1" w:themeFillShade="D9"/>
            <w:noWrap/>
            <w:hideMark/>
          </w:tcPr>
          <w:p w14:paraId="104EF929" w14:textId="77777777" w:rsidR="007D23C7" w:rsidRPr="00CD265B" w:rsidRDefault="007D23C7" w:rsidP="007D23C7">
            <w:pPr>
              <w:jc w:val="center"/>
              <w:rPr>
                <w:b/>
                <w:sz w:val="16"/>
                <w:szCs w:val="16"/>
              </w:rPr>
            </w:pPr>
            <w:r w:rsidRPr="00CD265B">
              <w:rPr>
                <w:b/>
                <w:sz w:val="16"/>
                <w:szCs w:val="16"/>
              </w:rPr>
              <w:t>DEEL1</w:t>
            </w:r>
          </w:p>
        </w:tc>
        <w:tc>
          <w:tcPr>
            <w:tcW w:w="2800" w:type="dxa"/>
            <w:shd w:val="clear" w:color="auto" w:fill="D9D9D9" w:themeFill="background1" w:themeFillShade="D9"/>
            <w:noWrap/>
            <w:hideMark/>
          </w:tcPr>
          <w:p w14:paraId="40B945E1" w14:textId="77777777" w:rsidR="007D23C7" w:rsidRPr="00CD265B" w:rsidRDefault="007D23C7" w:rsidP="007D23C7">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CD265B">
              <w:rPr>
                <w:b/>
                <w:sz w:val="16"/>
                <w:szCs w:val="16"/>
              </w:rPr>
              <w:t>DEEL2</w:t>
            </w:r>
          </w:p>
        </w:tc>
        <w:tc>
          <w:tcPr>
            <w:tcW w:w="2800" w:type="dxa"/>
            <w:shd w:val="clear" w:color="auto" w:fill="D9D9D9" w:themeFill="background1" w:themeFillShade="D9"/>
            <w:noWrap/>
            <w:hideMark/>
          </w:tcPr>
          <w:p w14:paraId="1EBA941E" w14:textId="77777777" w:rsidR="007D23C7" w:rsidRPr="00CD265B" w:rsidRDefault="007D23C7" w:rsidP="007D23C7">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CD265B">
              <w:rPr>
                <w:b/>
                <w:sz w:val="16"/>
                <w:szCs w:val="16"/>
              </w:rPr>
              <w:t>DEEL3</w:t>
            </w:r>
          </w:p>
        </w:tc>
        <w:tc>
          <w:tcPr>
            <w:tcW w:w="2800" w:type="dxa"/>
            <w:shd w:val="clear" w:color="auto" w:fill="D9D9D9" w:themeFill="background1" w:themeFillShade="D9"/>
            <w:noWrap/>
            <w:hideMark/>
          </w:tcPr>
          <w:p w14:paraId="76D11265" w14:textId="77777777" w:rsidR="007D23C7" w:rsidRPr="00CD265B" w:rsidRDefault="007D23C7" w:rsidP="007D23C7">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CD265B">
              <w:rPr>
                <w:b/>
                <w:sz w:val="16"/>
                <w:szCs w:val="16"/>
              </w:rPr>
              <w:t>DEEL4</w:t>
            </w:r>
          </w:p>
        </w:tc>
        <w:tc>
          <w:tcPr>
            <w:tcW w:w="2800" w:type="dxa"/>
            <w:shd w:val="clear" w:color="auto" w:fill="D9D9D9" w:themeFill="background1" w:themeFillShade="D9"/>
            <w:noWrap/>
            <w:hideMark/>
          </w:tcPr>
          <w:p w14:paraId="4DBBA22E" w14:textId="77777777" w:rsidR="007D23C7" w:rsidRPr="00CD265B" w:rsidRDefault="007D23C7" w:rsidP="007D23C7">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CD265B">
              <w:rPr>
                <w:b/>
                <w:sz w:val="16"/>
                <w:szCs w:val="16"/>
              </w:rPr>
              <w:t>DEEL5</w:t>
            </w:r>
          </w:p>
        </w:tc>
      </w:tr>
      <w:tr w:rsidR="007D23C7" w:rsidRPr="00CD265B" w14:paraId="56714F0F" w14:textId="77777777" w:rsidTr="007D23C7">
        <w:trPr>
          <w:trHeight w:val="300"/>
        </w:trPr>
        <w:tc>
          <w:tcPr>
            <w:cnfStyle w:val="001000000000" w:firstRow="0" w:lastRow="0" w:firstColumn="1" w:lastColumn="0" w:oddVBand="0" w:evenVBand="0" w:oddHBand="0" w:evenHBand="0" w:firstRowFirstColumn="0" w:firstRowLastColumn="0" w:lastRowFirstColumn="0" w:lastRowLastColumn="0"/>
            <w:tcW w:w="2800" w:type="dxa"/>
            <w:noWrap/>
            <w:hideMark/>
          </w:tcPr>
          <w:p w14:paraId="4B5A374F" w14:textId="77777777" w:rsidR="007D23C7" w:rsidRPr="00CD265B" w:rsidRDefault="007D23C7" w:rsidP="007D23C7">
            <w:pPr>
              <w:jc w:val="center"/>
              <w:rPr>
                <w:sz w:val="16"/>
                <w:szCs w:val="16"/>
                <w:lang w:val="en-GB"/>
              </w:rPr>
            </w:pPr>
            <w:r w:rsidRPr="00CD265B">
              <w:rPr>
                <w:sz w:val="16"/>
                <w:szCs w:val="16"/>
                <w:lang w:val="en-GB"/>
              </w:rPr>
              <w:t>The company is a one of the competent solution providers for automation, installation, drive and control systems technology. The company produces electronic motors and drives, and automation systems based on its own engineering.</w:t>
            </w:r>
          </w:p>
        </w:tc>
        <w:tc>
          <w:tcPr>
            <w:tcW w:w="2800" w:type="dxa"/>
            <w:noWrap/>
            <w:hideMark/>
          </w:tcPr>
          <w:p w14:paraId="5F08B713" w14:textId="77777777" w:rsidR="007D23C7" w:rsidRPr="00CD265B" w:rsidRDefault="007D23C7" w:rsidP="007D23C7">
            <w:pPr>
              <w:jc w:val="center"/>
              <w:cnfStyle w:val="000000000000" w:firstRow="0" w:lastRow="0" w:firstColumn="0" w:lastColumn="0" w:oddVBand="0" w:evenVBand="0" w:oddHBand="0" w:evenHBand="0" w:firstRowFirstColumn="0" w:firstRowLastColumn="0" w:lastRowFirstColumn="0" w:lastRowLastColumn="0"/>
              <w:rPr>
                <w:sz w:val="16"/>
                <w:szCs w:val="16"/>
                <w:lang w:val="en-GB"/>
              </w:rPr>
            </w:pPr>
            <w:r w:rsidRPr="00CD265B">
              <w:rPr>
                <w:sz w:val="16"/>
                <w:szCs w:val="16"/>
                <w:lang w:val="en-GB"/>
              </w:rPr>
              <w:t>The company is a competent solution provider for automation, installation, drive and control systems technology. It serves all industries from automotive and aerospace to consumer goods.</w:t>
            </w:r>
          </w:p>
        </w:tc>
        <w:tc>
          <w:tcPr>
            <w:tcW w:w="2800" w:type="dxa"/>
            <w:noWrap/>
            <w:hideMark/>
          </w:tcPr>
          <w:p w14:paraId="6C644AE3" w14:textId="77777777" w:rsidR="007D23C7" w:rsidRPr="00CD265B" w:rsidRDefault="007D23C7" w:rsidP="007D23C7">
            <w:pPr>
              <w:jc w:val="center"/>
              <w:cnfStyle w:val="000000000000" w:firstRow="0" w:lastRow="0" w:firstColumn="0" w:lastColumn="0" w:oddVBand="0" w:evenVBand="0" w:oddHBand="0" w:evenHBand="0" w:firstRowFirstColumn="0" w:firstRowLastColumn="0" w:lastRowFirstColumn="0" w:lastRowLastColumn="0"/>
              <w:rPr>
                <w:sz w:val="16"/>
                <w:szCs w:val="16"/>
                <w:lang w:val="en-GB"/>
              </w:rPr>
            </w:pPr>
            <w:r w:rsidRPr="00CD265B">
              <w:rPr>
                <w:sz w:val="16"/>
                <w:szCs w:val="16"/>
                <w:lang w:val="en-GB"/>
              </w:rPr>
              <w:t>The company is a global company with multiple sites and is one of the leaders in diagnosis and measuring systems for rotating components across industries.</w:t>
            </w:r>
          </w:p>
        </w:tc>
        <w:tc>
          <w:tcPr>
            <w:tcW w:w="2800" w:type="dxa"/>
            <w:noWrap/>
            <w:hideMark/>
          </w:tcPr>
          <w:p w14:paraId="5E99D163" w14:textId="77777777" w:rsidR="007D23C7" w:rsidRPr="00CD265B" w:rsidRDefault="007D23C7" w:rsidP="007D23C7">
            <w:pPr>
              <w:jc w:val="center"/>
              <w:cnfStyle w:val="000000000000" w:firstRow="0" w:lastRow="0" w:firstColumn="0" w:lastColumn="0" w:oddVBand="0" w:evenVBand="0" w:oddHBand="0" w:evenHBand="0" w:firstRowFirstColumn="0" w:firstRowLastColumn="0" w:lastRowFirstColumn="0" w:lastRowLastColumn="0"/>
              <w:rPr>
                <w:sz w:val="16"/>
                <w:szCs w:val="16"/>
                <w:lang w:val="en-GB"/>
              </w:rPr>
            </w:pPr>
            <w:r w:rsidRPr="00CD265B">
              <w:rPr>
                <w:sz w:val="16"/>
                <w:szCs w:val="16"/>
                <w:lang w:val="en-GB"/>
              </w:rPr>
              <w:t>The company is a solution provider in communication and radio control systems covering engineering, equipment and support across multiple industries.</w:t>
            </w:r>
          </w:p>
        </w:tc>
        <w:tc>
          <w:tcPr>
            <w:tcW w:w="2800" w:type="dxa"/>
            <w:noWrap/>
            <w:hideMark/>
          </w:tcPr>
          <w:p w14:paraId="4E02A499" w14:textId="77777777" w:rsidR="007D23C7" w:rsidRPr="00CD265B" w:rsidRDefault="007D23C7" w:rsidP="007D23C7">
            <w:pPr>
              <w:jc w:val="center"/>
              <w:cnfStyle w:val="000000000000" w:firstRow="0" w:lastRow="0" w:firstColumn="0" w:lastColumn="0" w:oddVBand="0" w:evenVBand="0" w:oddHBand="0" w:evenHBand="0" w:firstRowFirstColumn="0" w:firstRowLastColumn="0" w:lastRowFirstColumn="0" w:lastRowLastColumn="0"/>
              <w:rPr>
                <w:sz w:val="16"/>
                <w:szCs w:val="16"/>
                <w:lang w:val="en-GB"/>
              </w:rPr>
            </w:pPr>
            <w:r w:rsidRPr="00CD265B">
              <w:rPr>
                <w:sz w:val="16"/>
                <w:szCs w:val="16"/>
                <w:lang w:val="en-GB"/>
              </w:rPr>
              <w:t>The company provides the global automation markets and is a leading developer and manufacturer of electrical equipment such as sensor, barrier, fieldbus technique and positioning systems.</w:t>
            </w:r>
          </w:p>
        </w:tc>
      </w:tr>
      <w:tr w:rsidR="007D23C7" w:rsidRPr="00CD265B" w14:paraId="71E8DC4E" w14:textId="77777777" w:rsidTr="007D23C7">
        <w:trPr>
          <w:trHeight w:val="300"/>
        </w:trPr>
        <w:tc>
          <w:tcPr>
            <w:cnfStyle w:val="001000000000" w:firstRow="0" w:lastRow="0" w:firstColumn="1" w:lastColumn="0" w:oddVBand="0" w:evenVBand="0" w:oddHBand="0" w:evenHBand="0" w:firstRowFirstColumn="0" w:firstRowLastColumn="0" w:lastRowFirstColumn="0" w:lastRowLastColumn="0"/>
            <w:tcW w:w="2800" w:type="dxa"/>
            <w:shd w:val="clear" w:color="auto" w:fill="D9D9D9" w:themeFill="background1" w:themeFillShade="D9"/>
            <w:noWrap/>
            <w:hideMark/>
          </w:tcPr>
          <w:p w14:paraId="53F2C53E" w14:textId="77777777" w:rsidR="007D23C7" w:rsidRPr="00CD265B" w:rsidRDefault="007D23C7" w:rsidP="007D23C7">
            <w:pPr>
              <w:jc w:val="center"/>
              <w:rPr>
                <w:b/>
                <w:sz w:val="16"/>
                <w:szCs w:val="16"/>
              </w:rPr>
            </w:pPr>
            <w:r w:rsidRPr="00CD265B">
              <w:rPr>
                <w:b/>
                <w:sz w:val="16"/>
                <w:szCs w:val="16"/>
              </w:rPr>
              <w:t>UKCO1</w:t>
            </w:r>
          </w:p>
        </w:tc>
        <w:tc>
          <w:tcPr>
            <w:tcW w:w="2800" w:type="dxa"/>
            <w:shd w:val="clear" w:color="auto" w:fill="D9D9D9" w:themeFill="background1" w:themeFillShade="D9"/>
            <w:noWrap/>
            <w:hideMark/>
          </w:tcPr>
          <w:p w14:paraId="2385D0B7" w14:textId="77777777" w:rsidR="007D23C7" w:rsidRPr="00CD265B" w:rsidRDefault="007D23C7" w:rsidP="007D23C7">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CD265B">
              <w:rPr>
                <w:b/>
                <w:sz w:val="16"/>
                <w:szCs w:val="16"/>
              </w:rPr>
              <w:t>UKCO2</w:t>
            </w:r>
          </w:p>
        </w:tc>
        <w:tc>
          <w:tcPr>
            <w:tcW w:w="2800" w:type="dxa"/>
            <w:shd w:val="clear" w:color="auto" w:fill="D9D9D9" w:themeFill="background1" w:themeFillShade="D9"/>
            <w:noWrap/>
            <w:hideMark/>
          </w:tcPr>
          <w:p w14:paraId="5FA4B340" w14:textId="77777777" w:rsidR="007D23C7" w:rsidRPr="00CD265B" w:rsidRDefault="007D23C7" w:rsidP="007D23C7">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CD265B">
              <w:rPr>
                <w:b/>
                <w:sz w:val="16"/>
                <w:szCs w:val="16"/>
              </w:rPr>
              <w:t>UKCO3</w:t>
            </w:r>
          </w:p>
        </w:tc>
        <w:tc>
          <w:tcPr>
            <w:tcW w:w="2800" w:type="dxa"/>
            <w:shd w:val="clear" w:color="auto" w:fill="D9D9D9" w:themeFill="background1" w:themeFillShade="D9"/>
            <w:noWrap/>
            <w:hideMark/>
          </w:tcPr>
          <w:p w14:paraId="4C7D95FC" w14:textId="77777777" w:rsidR="007D23C7" w:rsidRPr="00CD265B" w:rsidRDefault="007D23C7" w:rsidP="007D23C7">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CD265B">
              <w:rPr>
                <w:b/>
                <w:sz w:val="16"/>
                <w:szCs w:val="16"/>
              </w:rPr>
              <w:t>UKCO4</w:t>
            </w:r>
          </w:p>
        </w:tc>
        <w:tc>
          <w:tcPr>
            <w:tcW w:w="2800" w:type="dxa"/>
            <w:shd w:val="clear" w:color="auto" w:fill="D9D9D9" w:themeFill="background1" w:themeFillShade="D9"/>
            <w:noWrap/>
            <w:hideMark/>
          </w:tcPr>
          <w:p w14:paraId="08EFC86E" w14:textId="77777777" w:rsidR="007D23C7" w:rsidRPr="00CD265B" w:rsidRDefault="007D23C7" w:rsidP="007D23C7">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CD265B">
              <w:rPr>
                <w:b/>
                <w:sz w:val="16"/>
                <w:szCs w:val="16"/>
              </w:rPr>
              <w:t>UKCO5</w:t>
            </w:r>
          </w:p>
        </w:tc>
      </w:tr>
      <w:tr w:rsidR="007D23C7" w:rsidRPr="00CD265B" w14:paraId="6EB0B397" w14:textId="77777777" w:rsidTr="007D23C7">
        <w:trPr>
          <w:trHeight w:val="300"/>
        </w:trPr>
        <w:tc>
          <w:tcPr>
            <w:cnfStyle w:val="001000000000" w:firstRow="0" w:lastRow="0" w:firstColumn="1" w:lastColumn="0" w:oddVBand="0" w:evenVBand="0" w:oddHBand="0" w:evenHBand="0" w:firstRowFirstColumn="0" w:firstRowLastColumn="0" w:lastRowFirstColumn="0" w:lastRowLastColumn="0"/>
            <w:tcW w:w="2800" w:type="dxa"/>
            <w:noWrap/>
            <w:hideMark/>
          </w:tcPr>
          <w:p w14:paraId="0D588CF5" w14:textId="77777777" w:rsidR="007D23C7" w:rsidRPr="00CD265B" w:rsidRDefault="007D23C7" w:rsidP="007D23C7">
            <w:pPr>
              <w:jc w:val="center"/>
              <w:rPr>
                <w:sz w:val="16"/>
                <w:szCs w:val="16"/>
                <w:lang w:val="en-GB"/>
              </w:rPr>
            </w:pPr>
            <w:r w:rsidRPr="00CD265B">
              <w:rPr>
                <w:sz w:val="16"/>
                <w:szCs w:val="16"/>
                <w:lang w:val="en-GB"/>
              </w:rPr>
              <w:t>The company’s core competency is in construction and construction consulting with integrated services across the full property and infrastructure life cycle. Despite the construction delivery, the company offers consulting services in project, facility and cost management.</w:t>
            </w:r>
          </w:p>
        </w:tc>
        <w:tc>
          <w:tcPr>
            <w:tcW w:w="2800" w:type="dxa"/>
            <w:noWrap/>
            <w:hideMark/>
          </w:tcPr>
          <w:p w14:paraId="192446C8" w14:textId="77777777" w:rsidR="007D23C7" w:rsidRPr="00CD265B" w:rsidRDefault="007D23C7" w:rsidP="007D23C7">
            <w:pPr>
              <w:jc w:val="center"/>
              <w:cnfStyle w:val="000000000000" w:firstRow="0" w:lastRow="0" w:firstColumn="0" w:lastColumn="0" w:oddVBand="0" w:evenVBand="0" w:oddHBand="0" w:evenHBand="0" w:firstRowFirstColumn="0" w:firstRowLastColumn="0" w:lastRowFirstColumn="0" w:lastRowLastColumn="0"/>
              <w:rPr>
                <w:sz w:val="16"/>
                <w:szCs w:val="16"/>
                <w:lang w:val="en-GB"/>
              </w:rPr>
            </w:pPr>
            <w:r w:rsidRPr="00CD265B">
              <w:rPr>
                <w:sz w:val="16"/>
                <w:szCs w:val="16"/>
                <w:lang w:val="en-GB"/>
              </w:rPr>
              <w:t>The company has several offerings in the area of construction of buildings and infrastructure. The offering covers design, construction through project finance and lifetime asset management. Furthermore, it offers services in facility management, energy and infrastructure.</w:t>
            </w:r>
          </w:p>
        </w:tc>
        <w:tc>
          <w:tcPr>
            <w:tcW w:w="2800" w:type="dxa"/>
            <w:noWrap/>
            <w:hideMark/>
          </w:tcPr>
          <w:p w14:paraId="1FBC2DD7" w14:textId="77777777" w:rsidR="007D23C7" w:rsidRPr="00CD265B" w:rsidRDefault="007D23C7" w:rsidP="007D23C7">
            <w:pPr>
              <w:jc w:val="center"/>
              <w:cnfStyle w:val="000000000000" w:firstRow="0" w:lastRow="0" w:firstColumn="0" w:lastColumn="0" w:oddVBand="0" w:evenVBand="0" w:oddHBand="0" w:evenHBand="0" w:firstRowFirstColumn="0" w:firstRowLastColumn="0" w:lastRowFirstColumn="0" w:lastRowLastColumn="0"/>
              <w:rPr>
                <w:sz w:val="16"/>
                <w:szCs w:val="16"/>
                <w:lang w:val="en-GB"/>
              </w:rPr>
            </w:pPr>
            <w:r w:rsidRPr="00CD265B">
              <w:rPr>
                <w:sz w:val="16"/>
                <w:szCs w:val="16"/>
                <w:lang w:val="en-GB"/>
              </w:rPr>
              <w:t>The company is the leading UK construction and regeneration group in the public and private sectors. The offerings range from construction and infrastructure projects, through investments, urban regeneration, fit-out restructuring projects and affordable housing.</w:t>
            </w:r>
          </w:p>
        </w:tc>
        <w:tc>
          <w:tcPr>
            <w:tcW w:w="2800" w:type="dxa"/>
            <w:noWrap/>
            <w:hideMark/>
          </w:tcPr>
          <w:p w14:paraId="11375A04" w14:textId="670B083C" w:rsidR="007D23C7" w:rsidRPr="00CD265B" w:rsidRDefault="007D23C7" w:rsidP="004668E0">
            <w:pPr>
              <w:jc w:val="center"/>
              <w:cnfStyle w:val="000000000000" w:firstRow="0" w:lastRow="0" w:firstColumn="0" w:lastColumn="0" w:oddVBand="0" w:evenVBand="0" w:oddHBand="0" w:evenHBand="0" w:firstRowFirstColumn="0" w:firstRowLastColumn="0" w:lastRowFirstColumn="0" w:lastRowLastColumn="0"/>
              <w:rPr>
                <w:sz w:val="16"/>
                <w:szCs w:val="16"/>
                <w:lang w:val="en-GB"/>
              </w:rPr>
            </w:pPr>
            <w:r w:rsidRPr="00CD265B">
              <w:rPr>
                <w:sz w:val="16"/>
                <w:szCs w:val="16"/>
                <w:lang w:val="en-GB"/>
              </w:rPr>
              <w:t>The Group provides a broad range of services. They offer construction, development, energy, IT and management services across a variety of sectors. The company further speciali</w:t>
            </w:r>
            <w:r w:rsidR="004668E0" w:rsidRPr="00CD265B">
              <w:rPr>
                <w:sz w:val="16"/>
                <w:szCs w:val="16"/>
                <w:lang w:val="en-GB"/>
              </w:rPr>
              <w:t>z</w:t>
            </w:r>
            <w:r w:rsidRPr="00CD265B">
              <w:rPr>
                <w:sz w:val="16"/>
                <w:szCs w:val="16"/>
                <w:lang w:val="en-GB"/>
              </w:rPr>
              <w:t>es in care, student accommodation, residential, education, hotels and leisure.</w:t>
            </w:r>
          </w:p>
        </w:tc>
        <w:tc>
          <w:tcPr>
            <w:tcW w:w="2800" w:type="dxa"/>
            <w:noWrap/>
            <w:hideMark/>
          </w:tcPr>
          <w:p w14:paraId="1384F4D1" w14:textId="77777777" w:rsidR="007D23C7" w:rsidRPr="00CD265B" w:rsidRDefault="007D23C7" w:rsidP="007D23C7">
            <w:pPr>
              <w:jc w:val="center"/>
              <w:cnfStyle w:val="000000000000" w:firstRow="0" w:lastRow="0" w:firstColumn="0" w:lastColumn="0" w:oddVBand="0" w:evenVBand="0" w:oddHBand="0" w:evenHBand="0" w:firstRowFirstColumn="0" w:firstRowLastColumn="0" w:lastRowFirstColumn="0" w:lastRowLastColumn="0"/>
              <w:rPr>
                <w:sz w:val="16"/>
                <w:szCs w:val="16"/>
                <w:lang w:val="en-GB"/>
              </w:rPr>
            </w:pPr>
            <w:r w:rsidRPr="00CD265B">
              <w:rPr>
                <w:sz w:val="16"/>
                <w:szCs w:val="16"/>
                <w:lang w:val="en-GB"/>
              </w:rPr>
              <w:t>The company is an international group, which operates as an integrated services provider around the globe. They offer the whole construction life cycle starting with development, investment management, project management &amp; construction, and asset &amp; property management for property and infrastructure.</w:t>
            </w:r>
          </w:p>
        </w:tc>
      </w:tr>
      <w:tr w:rsidR="007D23C7" w:rsidRPr="00CD265B" w14:paraId="0B82070D" w14:textId="77777777" w:rsidTr="007D23C7">
        <w:trPr>
          <w:trHeight w:val="300"/>
        </w:trPr>
        <w:tc>
          <w:tcPr>
            <w:cnfStyle w:val="001000000000" w:firstRow="0" w:lastRow="0" w:firstColumn="1" w:lastColumn="0" w:oddVBand="0" w:evenVBand="0" w:oddHBand="0" w:evenHBand="0" w:firstRowFirstColumn="0" w:firstRowLastColumn="0" w:lastRowFirstColumn="0" w:lastRowLastColumn="0"/>
            <w:tcW w:w="2800" w:type="dxa"/>
            <w:shd w:val="clear" w:color="auto" w:fill="D9D9D9" w:themeFill="background1" w:themeFillShade="D9"/>
            <w:noWrap/>
            <w:hideMark/>
          </w:tcPr>
          <w:p w14:paraId="0BE69481" w14:textId="77777777" w:rsidR="007D23C7" w:rsidRPr="00CD265B" w:rsidRDefault="007D23C7" w:rsidP="007D23C7">
            <w:pPr>
              <w:jc w:val="center"/>
              <w:rPr>
                <w:b/>
                <w:sz w:val="16"/>
                <w:szCs w:val="16"/>
              </w:rPr>
            </w:pPr>
            <w:r w:rsidRPr="00CD265B">
              <w:rPr>
                <w:b/>
                <w:sz w:val="16"/>
                <w:szCs w:val="16"/>
              </w:rPr>
              <w:t>UKEL1</w:t>
            </w:r>
          </w:p>
        </w:tc>
        <w:tc>
          <w:tcPr>
            <w:tcW w:w="2800" w:type="dxa"/>
            <w:shd w:val="clear" w:color="auto" w:fill="D9D9D9" w:themeFill="background1" w:themeFillShade="D9"/>
            <w:noWrap/>
            <w:hideMark/>
          </w:tcPr>
          <w:p w14:paraId="27DBDB07" w14:textId="77777777" w:rsidR="007D23C7" w:rsidRPr="00CD265B" w:rsidRDefault="007D23C7" w:rsidP="007D23C7">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CD265B">
              <w:rPr>
                <w:b/>
                <w:sz w:val="16"/>
                <w:szCs w:val="16"/>
              </w:rPr>
              <w:t>UKEL2</w:t>
            </w:r>
          </w:p>
        </w:tc>
        <w:tc>
          <w:tcPr>
            <w:tcW w:w="2800" w:type="dxa"/>
            <w:shd w:val="clear" w:color="auto" w:fill="D9D9D9" w:themeFill="background1" w:themeFillShade="D9"/>
            <w:noWrap/>
            <w:hideMark/>
          </w:tcPr>
          <w:p w14:paraId="386E5DEE" w14:textId="77777777" w:rsidR="007D23C7" w:rsidRPr="00CD265B" w:rsidRDefault="007D23C7" w:rsidP="007D23C7">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CD265B">
              <w:rPr>
                <w:b/>
                <w:sz w:val="16"/>
                <w:szCs w:val="16"/>
              </w:rPr>
              <w:t>UKEL3</w:t>
            </w:r>
          </w:p>
        </w:tc>
        <w:tc>
          <w:tcPr>
            <w:tcW w:w="2800" w:type="dxa"/>
            <w:shd w:val="clear" w:color="auto" w:fill="D9D9D9" w:themeFill="background1" w:themeFillShade="D9"/>
            <w:noWrap/>
            <w:hideMark/>
          </w:tcPr>
          <w:p w14:paraId="7D164AC0" w14:textId="77777777" w:rsidR="007D23C7" w:rsidRPr="00CD265B" w:rsidRDefault="007D23C7" w:rsidP="007D23C7">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CD265B">
              <w:rPr>
                <w:b/>
                <w:sz w:val="16"/>
                <w:szCs w:val="16"/>
              </w:rPr>
              <w:t>UKEL4</w:t>
            </w:r>
          </w:p>
        </w:tc>
        <w:tc>
          <w:tcPr>
            <w:tcW w:w="2800" w:type="dxa"/>
            <w:shd w:val="clear" w:color="auto" w:fill="D9D9D9" w:themeFill="background1" w:themeFillShade="D9"/>
            <w:noWrap/>
            <w:hideMark/>
          </w:tcPr>
          <w:p w14:paraId="5B3E990A" w14:textId="77777777" w:rsidR="007D23C7" w:rsidRPr="00CD265B" w:rsidRDefault="007D23C7" w:rsidP="007D23C7">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CD265B">
              <w:rPr>
                <w:b/>
                <w:sz w:val="16"/>
                <w:szCs w:val="16"/>
              </w:rPr>
              <w:t>UKEL5</w:t>
            </w:r>
          </w:p>
        </w:tc>
      </w:tr>
      <w:tr w:rsidR="007D23C7" w:rsidRPr="00CD265B" w14:paraId="60B8D4B9" w14:textId="77777777" w:rsidTr="007D23C7">
        <w:trPr>
          <w:trHeight w:val="300"/>
        </w:trPr>
        <w:tc>
          <w:tcPr>
            <w:cnfStyle w:val="001000000000" w:firstRow="0" w:lastRow="0" w:firstColumn="1" w:lastColumn="0" w:oddVBand="0" w:evenVBand="0" w:oddHBand="0" w:evenHBand="0" w:firstRowFirstColumn="0" w:firstRowLastColumn="0" w:lastRowFirstColumn="0" w:lastRowLastColumn="0"/>
            <w:tcW w:w="2800" w:type="dxa"/>
            <w:noWrap/>
            <w:hideMark/>
          </w:tcPr>
          <w:p w14:paraId="16553F36" w14:textId="77777777" w:rsidR="007D23C7" w:rsidRPr="00CD265B" w:rsidRDefault="007D23C7" w:rsidP="007D23C7">
            <w:pPr>
              <w:jc w:val="center"/>
              <w:rPr>
                <w:sz w:val="16"/>
                <w:szCs w:val="16"/>
                <w:lang w:val="en-GB"/>
              </w:rPr>
            </w:pPr>
            <w:r w:rsidRPr="00CD265B">
              <w:rPr>
                <w:sz w:val="16"/>
                <w:szCs w:val="16"/>
                <w:lang w:val="en-GB"/>
              </w:rPr>
              <w:t>The Group is the leading company in electrical test equipment. The company designs, manufactures and serves low and high-voltage markets, as well as the solar market.</w:t>
            </w:r>
          </w:p>
        </w:tc>
        <w:tc>
          <w:tcPr>
            <w:tcW w:w="2800" w:type="dxa"/>
            <w:noWrap/>
            <w:hideMark/>
          </w:tcPr>
          <w:p w14:paraId="5F66CB03" w14:textId="09F740E8" w:rsidR="007D23C7" w:rsidRPr="00CD265B" w:rsidRDefault="007D23C7" w:rsidP="003F14AB">
            <w:pPr>
              <w:jc w:val="center"/>
              <w:cnfStyle w:val="000000000000" w:firstRow="0" w:lastRow="0" w:firstColumn="0" w:lastColumn="0" w:oddVBand="0" w:evenVBand="0" w:oddHBand="0" w:evenHBand="0" w:firstRowFirstColumn="0" w:firstRowLastColumn="0" w:lastRowFirstColumn="0" w:lastRowLastColumn="0"/>
              <w:rPr>
                <w:sz w:val="16"/>
                <w:szCs w:val="16"/>
                <w:lang w:val="en-GB"/>
              </w:rPr>
            </w:pPr>
            <w:r w:rsidRPr="00CD265B">
              <w:rPr>
                <w:sz w:val="16"/>
                <w:szCs w:val="16"/>
                <w:lang w:val="en-GB"/>
              </w:rPr>
              <w:t>The company designs and manufactures portable electric test and measuring equipment for high and low voltage. Although the company has a global footprint, the organi</w:t>
            </w:r>
            <w:r w:rsidR="003F14AB" w:rsidRPr="00CD265B">
              <w:rPr>
                <w:sz w:val="16"/>
                <w:szCs w:val="16"/>
                <w:lang w:val="en-GB"/>
              </w:rPr>
              <w:t>z</w:t>
            </w:r>
            <w:r w:rsidRPr="00CD265B">
              <w:rPr>
                <w:sz w:val="16"/>
                <w:szCs w:val="16"/>
                <w:lang w:val="en-GB"/>
              </w:rPr>
              <w:t>ational structure is local to meet local customer requirements.</w:t>
            </w:r>
          </w:p>
        </w:tc>
        <w:tc>
          <w:tcPr>
            <w:tcW w:w="2800" w:type="dxa"/>
            <w:noWrap/>
            <w:hideMark/>
          </w:tcPr>
          <w:p w14:paraId="05872E7A" w14:textId="77777777" w:rsidR="007D23C7" w:rsidRPr="00CD265B" w:rsidRDefault="007D23C7" w:rsidP="007D23C7">
            <w:pPr>
              <w:jc w:val="center"/>
              <w:cnfStyle w:val="000000000000" w:firstRow="0" w:lastRow="0" w:firstColumn="0" w:lastColumn="0" w:oddVBand="0" w:evenVBand="0" w:oddHBand="0" w:evenHBand="0" w:firstRowFirstColumn="0" w:firstRowLastColumn="0" w:lastRowFirstColumn="0" w:lastRowLastColumn="0"/>
              <w:rPr>
                <w:sz w:val="16"/>
                <w:szCs w:val="16"/>
                <w:lang w:val="en-GB"/>
              </w:rPr>
            </w:pPr>
            <w:r w:rsidRPr="00CD265B">
              <w:rPr>
                <w:sz w:val="16"/>
                <w:szCs w:val="16"/>
                <w:lang w:val="en-GB"/>
              </w:rPr>
              <w:t>The company is a world leader in providing measurement and sophisticated communications and data solutions for gas, electricity and water customers.</w:t>
            </w:r>
          </w:p>
        </w:tc>
        <w:tc>
          <w:tcPr>
            <w:tcW w:w="2800" w:type="dxa"/>
            <w:noWrap/>
            <w:hideMark/>
          </w:tcPr>
          <w:p w14:paraId="2E0E9F84" w14:textId="77777777" w:rsidR="007D23C7" w:rsidRPr="00CD265B" w:rsidRDefault="007D23C7" w:rsidP="007D23C7">
            <w:pPr>
              <w:jc w:val="center"/>
              <w:cnfStyle w:val="000000000000" w:firstRow="0" w:lastRow="0" w:firstColumn="0" w:lastColumn="0" w:oddVBand="0" w:evenVBand="0" w:oddHBand="0" w:evenHBand="0" w:firstRowFirstColumn="0" w:firstRowLastColumn="0" w:lastRowFirstColumn="0" w:lastRowLastColumn="0"/>
              <w:rPr>
                <w:sz w:val="16"/>
                <w:szCs w:val="16"/>
                <w:lang w:val="en-GB"/>
              </w:rPr>
            </w:pPr>
            <w:r w:rsidRPr="00CD265B">
              <w:rPr>
                <w:sz w:val="16"/>
                <w:szCs w:val="16"/>
                <w:lang w:val="en-GB"/>
              </w:rPr>
              <w:t>The company is an integrated electronic manufacturing service provider of custom-made solutions for cable looms, cabinets and boxes. Furthermore, the company offers a range of services, from electronic component sourcing to supply chain management.</w:t>
            </w:r>
          </w:p>
        </w:tc>
        <w:tc>
          <w:tcPr>
            <w:tcW w:w="2800" w:type="dxa"/>
            <w:noWrap/>
            <w:hideMark/>
          </w:tcPr>
          <w:p w14:paraId="020A5057" w14:textId="77777777" w:rsidR="007D23C7" w:rsidRPr="00CD265B" w:rsidRDefault="007D23C7" w:rsidP="007D23C7">
            <w:pPr>
              <w:jc w:val="center"/>
              <w:cnfStyle w:val="000000000000" w:firstRow="0" w:lastRow="0" w:firstColumn="0" w:lastColumn="0" w:oddVBand="0" w:evenVBand="0" w:oddHBand="0" w:evenHBand="0" w:firstRowFirstColumn="0" w:firstRowLastColumn="0" w:lastRowFirstColumn="0" w:lastRowLastColumn="0"/>
              <w:rPr>
                <w:sz w:val="16"/>
                <w:szCs w:val="16"/>
                <w:lang w:val="en-GB"/>
              </w:rPr>
            </w:pPr>
            <w:r w:rsidRPr="00CD265B">
              <w:rPr>
                <w:sz w:val="16"/>
                <w:szCs w:val="16"/>
                <w:lang w:val="en-GB"/>
              </w:rPr>
              <w:t>The company is a leading provider of high-technology tools and systems for research and industry. The company serves all industries, from agriculture to chemical and textiles.</w:t>
            </w:r>
          </w:p>
        </w:tc>
      </w:tr>
      <w:bookmarkEnd w:id="9"/>
      <w:bookmarkEnd w:id="10"/>
      <w:bookmarkEnd w:id="11"/>
      <w:bookmarkEnd w:id="12"/>
    </w:tbl>
    <w:p w14:paraId="2DC5A31D" w14:textId="77777777" w:rsidR="007D23C7" w:rsidRPr="00CD265B" w:rsidRDefault="007D23C7" w:rsidP="007D23C7">
      <w:pPr>
        <w:sectPr w:rsidR="007D23C7" w:rsidRPr="00CD265B" w:rsidSect="00EF592E">
          <w:pgSz w:w="16834" w:h="11909" w:orient="landscape" w:code="9"/>
          <w:pgMar w:top="1985" w:right="1440" w:bottom="1134" w:left="1559" w:header="720" w:footer="975" w:gutter="0"/>
          <w:cols w:space="720"/>
          <w:docGrid w:linePitch="326"/>
        </w:sectPr>
      </w:pPr>
    </w:p>
    <w:p w14:paraId="120F5B37" w14:textId="363B72F6" w:rsidR="007D23C7" w:rsidRPr="00CD265B" w:rsidRDefault="007D23C7" w:rsidP="001B10CB">
      <w:pPr>
        <w:pStyle w:val="Caption"/>
        <w:rPr>
          <w:b w:val="0"/>
        </w:rPr>
      </w:pPr>
      <w:r w:rsidRPr="00CD265B">
        <w:lastRenderedPageBreak/>
        <w:t>Appendix 2</w:t>
      </w:r>
      <w:r w:rsidR="001D27BF" w:rsidRPr="00CD265B">
        <w:t>:</w:t>
      </w:r>
      <w:r w:rsidRPr="00CD265B">
        <w:t xml:space="preserve"> </w:t>
      </w:r>
      <w:r w:rsidR="00024E22" w:rsidRPr="00CD265B">
        <w:rPr>
          <w:b w:val="0"/>
        </w:rPr>
        <w:t xml:space="preserve">Extract </w:t>
      </w:r>
      <w:r w:rsidR="00AA0970" w:rsidRPr="00CD265B">
        <w:rPr>
          <w:b w:val="0"/>
        </w:rPr>
        <w:t>i</w:t>
      </w:r>
      <w:r w:rsidR="00024E22" w:rsidRPr="00CD265B">
        <w:rPr>
          <w:b w:val="0"/>
        </w:rPr>
        <w:t xml:space="preserve">nterview </w:t>
      </w:r>
      <w:r w:rsidR="00AA0970" w:rsidRPr="00CD265B">
        <w:rPr>
          <w:b w:val="0"/>
        </w:rPr>
        <w:t>p</w:t>
      </w:r>
      <w:r w:rsidR="00024E22" w:rsidRPr="00CD265B">
        <w:rPr>
          <w:b w:val="0"/>
        </w:rPr>
        <w:t>rotocol</w:t>
      </w:r>
    </w:p>
    <w:p w14:paraId="722B11FD" w14:textId="77777777" w:rsidR="00024E22" w:rsidRPr="00CD265B" w:rsidRDefault="00024E22" w:rsidP="00024E22"/>
    <w:p w14:paraId="795DFBE9" w14:textId="77777777" w:rsidR="00024E22" w:rsidRPr="00CD265B" w:rsidRDefault="00024E22" w:rsidP="00024E22">
      <w:pPr>
        <w:rPr>
          <w:rFonts w:eastAsia="Calibri"/>
          <w:b/>
        </w:rPr>
      </w:pPr>
      <w:r w:rsidRPr="00CD265B">
        <w:rPr>
          <w:rFonts w:eastAsia="Calibri"/>
          <w:b/>
        </w:rPr>
        <w:t xml:space="preserve">Supply Risk Management </w:t>
      </w:r>
    </w:p>
    <w:p w14:paraId="25961427" w14:textId="77777777" w:rsidR="00024E22" w:rsidRPr="00CD265B" w:rsidRDefault="00024E22" w:rsidP="00024E22">
      <w:pPr>
        <w:numPr>
          <w:ilvl w:val="0"/>
          <w:numId w:val="18"/>
        </w:numPr>
        <w:tabs>
          <w:tab w:val="num" w:pos="720"/>
        </w:tabs>
        <w:spacing w:after="200"/>
        <w:contextualSpacing/>
        <w:rPr>
          <w:rFonts w:eastAsia="Calibri"/>
          <w:sz w:val="22"/>
          <w:szCs w:val="22"/>
        </w:rPr>
      </w:pPr>
      <w:r w:rsidRPr="00CD265B">
        <w:rPr>
          <w:rFonts w:eastAsia="Calibri"/>
          <w:sz w:val="22"/>
          <w:szCs w:val="22"/>
        </w:rPr>
        <w:t xml:space="preserve">How do recent supply risks </w:t>
      </w:r>
      <w:r w:rsidRPr="00CD265B">
        <w:rPr>
          <w:rFonts w:eastAsia="Calibri"/>
          <w:b/>
          <w:bCs/>
          <w:sz w:val="22"/>
          <w:szCs w:val="22"/>
        </w:rPr>
        <w:t>influence your corporate strategy in 2010/2011</w:t>
      </w:r>
      <w:r w:rsidRPr="00CD265B">
        <w:rPr>
          <w:rFonts w:eastAsia="Calibri"/>
          <w:sz w:val="22"/>
          <w:szCs w:val="22"/>
        </w:rPr>
        <w:t xml:space="preserve">? </w:t>
      </w:r>
    </w:p>
    <w:p w14:paraId="098FF569" w14:textId="77777777" w:rsidR="00024E22" w:rsidRPr="00CD265B" w:rsidRDefault="00024E22" w:rsidP="00024E22">
      <w:pPr>
        <w:numPr>
          <w:ilvl w:val="0"/>
          <w:numId w:val="18"/>
        </w:numPr>
        <w:tabs>
          <w:tab w:val="num" w:pos="720"/>
        </w:tabs>
        <w:spacing w:after="200"/>
        <w:contextualSpacing/>
        <w:rPr>
          <w:rFonts w:eastAsia="Calibri"/>
          <w:sz w:val="22"/>
          <w:szCs w:val="22"/>
        </w:rPr>
      </w:pPr>
      <w:r w:rsidRPr="00CD265B">
        <w:rPr>
          <w:rFonts w:eastAsia="Calibri"/>
          <w:sz w:val="22"/>
          <w:szCs w:val="22"/>
        </w:rPr>
        <w:t>Do you have an implemented a risk management programme in your company?</w:t>
      </w:r>
    </w:p>
    <w:p w14:paraId="72C67D6E" w14:textId="77777777" w:rsidR="00024E22" w:rsidRPr="00CD265B" w:rsidRDefault="00024E22" w:rsidP="00024E22">
      <w:pPr>
        <w:tabs>
          <w:tab w:val="left" w:pos="851"/>
          <w:tab w:val="left" w:pos="993"/>
          <w:tab w:val="left" w:pos="1418"/>
          <w:tab w:val="left" w:pos="2268"/>
        </w:tabs>
        <w:spacing w:after="200"/>
        <w:ind w:left="1080"/>
        <w:contextualSpacing/>
        <w:rPr>
          <w:rFonts w:eastAsia="Calibri"/>
          <w:sz w:val="22"/>
          <w:szCs w:val="22"/>
        </w:rPr>
      </w:pPr>
      <w:r w:rsidRPr="00CD265B">
        <w:rPr>
          <w:rFonts w:eastAsia="Calibri"/>
          <w:sz w:val="22"/>
          <w:szCs w:val="22"/>
        </w:rPr>
        <w:t>Yes</w:t>
      </w:r>
      <w:r w:rsidRPr="00CD265B">
        <w:rPr>
          <w:rFonts w:eastAsia="Calibri"/>
          <w:sz w:val="22"/>
          <w:szCs w:val="22"/>
        </w:rPr>
        <w:tab/>
      </w:r>
      <w:r w:rsidRPr="00CD265B">
        <w:rPr>
          <w:rFonts w:eastAsia="Calibri"/>
          <w:sz w:val="22"/>
          <w:szCs w:val="22"/>
        </w:rPr>
        <w:sym w:font="Wingdings" w:char="F071"/>
      </w:r>
      <w:r w:rsidRPr="00CD265B">
        <w:rPr>
          <w:rFonts w:eastAsia="Calibri"/>
          <w:sz w:val="22"/>
          <w:szCs w:val="22"/>
        </w:rPr>
        <w:t xml:space="preserve"> 1 </w:t>
      </w:r>
      <w:r w:rsidRPr="00CD265B">
        <w:rPr>
          <w:rFonts w:eastAsia="Calibri"/>
          <w:sz w:val="22"/>
          <w:szCs w:val="22"/>
        </w:rPr>
        <w:tab/>
        <w:t>No</w:t>
      </w:r>
      <w:r w:rsidRPr="00CD265B">
        <w:rPr>
          <w:rFonts w:eastAsia="Calibri"/>
          <w:sz w:val="22"/>
          <w:szCs w:val="22"/>
        </w:rPr>
        <w:tab/>
      </w:r>
      <w:r w:rsidRPr="00CD265B">
        <w:rPr>
          <w:rFonts w:eastAsia="Calibri"/>
          <w:sz w:val="22"/>
          <w:szCs w:val="22"/>
        </w:rPr>
        <w:sym w:font="Wingdings" w:char="F071"/>
      </w:r>
      <w:r w:rsidRPr="00CD265B">
        <w:rPr>
          <w:rFonts w:eastAsia="Calibri"/>
          <w:sz w:val="22"/>
          <w:szCs w:val="22"/>
        </w:rPr>
        <w:t xml:space="preserve"> 2</w:t>
      </w:r>
    </w:p>
    <w:p w14:paraId="43C6DF52" w14:textId="77777777" w:rsidR="00024E22" w:rsidRPr="00CD265B" w:rsidRDefault="00024E22" w:rsidP="00024E22">
      <w:pPr>
        <w:tabs>
          <w:tab w:val="left" w:pos="851"/>
          <w:tab w:val="left" w:pos="993"/>
          <w:tab w:val="left" w:pos="1418"/>
        </w:tabs>
        <w:spacing w:after="200"/>
        <w:ind w:left="360"/>
        <w:contextualSpacing/>
        <w:rPr>
          <w:rFonts w:eastAsia="Calibri"/>
          <w:sz w:val="22"/>
          <w:szCs w:val="22"/>
        </w:rPr>
      </w:pPr>
    </w:p>
    <w:p w14:paraId="3F721818" w14:textId="77777777" w:rsidR="00024E22" w:rsidRPr="00CD265B" w:rsidRDefault="00024E22" w:rsidP="00024E22">
      <w:pPr>
        <w:numPr>
          <w:ilvl w:val="0"/>
          <w:numId w:val="18"/>
        </w:numPr>
        <w:tabs>
          <w:tab w:val="left" w:pos="851"/>
          <w:tab w:val="left" w:pos="993"/>
          <w:tab w:val="num" w:pos="1080"/>
          <w:tab w:val="left" w:pos="1418"/>
        </w:tabs>
        <w:spacing w:after="200"/>
        <w:ind w:left="720"/>
        <w:contextualSpacing/>
        <w:rPr>
          <w:rFonts w:eastAsia="Calibri"/>
          <w:sz w:val="22"/>
          <w:szCs w:val="22"/>
        </w:rPr>
      </w:pPr>
      <w:r w:rsidRPr="00CD265B">
        <w:rPr>
          <w:rFonts w:eastAsia="Calibri"/>
          <w:sz w:val="22"/>
          <w:szCs w:val="22"/>
        </w:rPr>
        <w:t xml:space="preserve">If </w:t>
      </w:r>
      <w:r w:rsidRPr="00CD265B">
        <w:rPr>
          <w:rFonts w:eastAsia="Calibri"/>
          <w:b/>
          <w:sz w:val="22"/>
          <w:szCs w:val="22"/>
        </w:rPr>
        <w:t>YES:</w:t>
      </w:r>
    </w:p>
    <w:p w14:paraId="17131941" w14:textId="77777777" w:rsidR="00024E22" w:rsidRPr="00CD265B" w:rsidRDefault="00024E22" w:rsidP="00024E22">
      <w:pPr>
        <w:tabs>
          <w:tab w:val="left" w:pos="851"/>
          <w:tab w:val="left" w:pos="993"/>
          <w:tab w:val="left" w:pos="1418"/>
        </w:tabs>
        <w:spacing w:after="200"/>
        <w:ind w:left="1080"/>
        <w:contextualSpacing/>
        <w:rPr>
          <w:rFonts w:eastAsia="Calibri"/>
          <w:sz w:val="22"/>
          <w:szCs w:val="22"/>
        </w:rPr>
      </w:pPr>
    </w:p>
    <w:p w14:paraId="52BC7F7F" w14:textId="77777777" w:rsidR="00024E22" w:rsidRPr="00CD265B" w:rsidRDefault="00024E22" w:rsidP="00024E22">
      <w:pPr>
        <w:numPr>
          <w:ilvl w:val="1"/>
          <w:numId w:val="18"/>
        </w:numPr>
        <w:spacing w:after="200"/>
        <w:ind w:left="1152"/>
        <w:contextualSpacing/>
        <w:rPr>
          <w:rFonts w:eastAsia="Calibri"/>
          <w:sz w:val="22"/>
          <w:szCs w:val="22"/>
        </w:rPr>
      </w:pPr>
      <w:r w:rsidRPr="00CD265B">
        <w:rPr>
          <w:rFonts w:eastAsia="Calibri"/>
          <w:sz w:val="22"/>
          <w:szCs w:val="22"/>
        </w:rPr>
        <w:t xml:space="preserve">How do you </w:t>
      </w:r>
      <w:r w:rsidRPr="00CD265B">
        <w:rPr>
          <w:rFonts w:eastAsia="Calibri"/>
          <w:b/>
          <w:bCs/>
          <w:sz w:val="22"/>
          <w:szCs w:val="22"/>
        </w:rPr>
        <w:t>identify potential risks</w:t>
      </w:r>
      <w:r w:rsidRPr="00CD265B">
        <w:rPr>
          <w:rFonts w:eastAsia="Calibri"/>
          <w:sz w:val="22"/>
          <w:szCs w:val="22"/>
        </w:rPr>
        <w:t>?</w:t>
      </w:r>
      <w:r w:rsidRPr="00CD265B">
        <w:rPr>
          <w:rFonts w:eastAsia="Calibri"/>
          <w:sz w:val="22"/>
          <w:szCs w:val="22"/>
        </w:rPr>
        <w:br/>
        <w:t xml:space="preserve"> </w:t>
      </w:r>
      <w:r w:rsidRPr="00CD265B">
        <w:rPr>
          <w:rFonts w:eastAsia="Calibri"/>
          <w:sz w:val="22"/>
          <w:szCs w:val="22"/>
        </w:rPr>
        <w:tab/>
        <w:t>[Could you please make an example, how you normally execute that process?]</w:t>
      </w:r>
    </w:p>
    <w:p w14:paraId="2473FD69" w14:textId="77777777" w:rsidR="00024E22" w:rsidRPr="00CD265B" w:rsidRDefault="00024E22" w:rsidP="00024E22">
      <w:pPr>
        <w:numPr>
          <w:ilvl w:val="1"/>
          <w:numId w:val="18"/>
        </w:numPr>
        <w:spacing w:after="200"/>
        <w:ind w:left="1152"/>
        <w:contextualSpacing/>
        <w:rPr>
          <w:rFonts w:eastAsia="Calibri"/>
          <w:sz w:val="22"/>
          <w:szCs w:val="22"/>
        </w:rPr>
      </w:pPr>
      <w:r w:rsidRPr="00CD265B">
        <w:rPr>
          <w:rFonts w:eastAsia="Calibri"/>
          <w:sz w:val="22"/>
          <w:szCs w:val="22"/>
        </w:rPr>
        <w:t xml:space="preserve">When it comes to the assessment of risks: What are the applied </w:t>
      </w:r>
      <w:r w:rsidRPr="00CD265B">
        <w:rPr>
          <w:rFonts w:eastAsia="Calibri"/>
          <w:b/>
          <w:bCs/>
          <w:sz w:val="22"/>
          <w:szCs w:val="22"/>
        </w:rPr>
        <w:t>criteria</w:t>
      </w:r>
      <w:r w:rsidRPr="00CD265B">
        <w:rPr>
          <w:rFonts w:eastAsia="Calibri"/>
          <w:sz w:val="22"/>
          <w:szCs w:val="22"/>
        </w:rPr>
        <w:t>?</w:t>
      </w:r>
    </w:p>
    <w:p w14:paraId="10CD698F" w14:textId="77777777" w:rsidR="00024E22" w:rsidRPr="00CD265B" w:rsidRDefault="00024E22" w:rsidP="00024E22">
      <w:pPr>
        <w:numPr>
          <w:ilvl w:val="1"/>
          <w:numId w:val="18"/>
        </w:numPr>
        <w:spacing w:after="200"/>
        <w:ind w:left="1152"/>
        <w:contextualSpacing/>
        <w:rPr>
          <w:rFonts w:eastAsia="Calibri"/>
          <w:sz w:val="22"/>
          <w:szCs w:val="22"/>
        </w:rPr>
      </w:pPr>
      <w:r w:rsidRPr="00CD265B">
        <w:rPr>
          <w:rFonts w:eastAsia="Calibri"/>
          <w:sz w:val="22"/>
          <w:szCs w:val="22"/>
        </w:rPr>
        <w:t xml:space="preserve">What kind of risks do you manage </w:t>
      </w:r>
      <w:r w:rsidRPr="00CD265B">
        <w:rPr>
          <w:rFonts w:eastAsia="Calibri"/>
          <w:b/>
          <w:bCs/>
          <w:sz w:val="22"/>
          <w:szCs w:val="22"/>
        </w:rPr>
        <w:t>actively and preventive</w:t>
      </w:r>
      <w:r w:rsidRPr="00CD265B">
        <w:rPr>
          <w:rFonts w:eastAsia="Calibri"/>
          <w:sz w:val="22"/>
          <w:szCs w:val="22"/>
        </w:rPr>
        <w:t xml:space="preserve">? </w:t>
      </w:r>
      <w:r w:rsidRPr="00CD265B">
        <w:rPr>
          <w:rFonts w:eastAsia="Calibri"/>
          <w:sz w:val="22"/>
          <w:szCs w:val="22"/>
        </w:rPr>
        <w:br/>
        <w:t xml:space="preserve"> </w:t>
      </w:r>
      <w:r w:rsidRPr="00CD265B">
        <w:rPr>
          <w:rFonts w:eastAsia="Calibri"/>
          <w:sz w:val="22"/>
          <w:szCs w:val="22"/>
        </w:rPr>
        <w:tab/>
        <w:t>[internal, external, economical, quality, supplier]</w:t>
      </w:r>
    </w:p>
    <w:p w14:paraId="33574035" w14:textId="77777777" w:rsidR="00024E22" w:rsidRPr="00CD265B" w:rsidRDefault="00024E22" w:rsidP="00024E22">
      <w:pPr>
        <w:numPr>
          <w:ilvl w:val="1"/>
          <w:numId w:val="18"/>
        </w:numPr>
        <w:tabs>
          <w:tab w:val="num" w:pos="1152"/>
        </w:tabs>
        <w:spacing w:after="200"/>
        <w:ind w:left="1152"/>
        <w:contextualSpacing/>
        <w:rPr>
          <w:rFonts w:eastAsia="Calibri"/>
          <w:sz w:val="22"/>
          <w:szCs w:val="22"/>
        </w:rPr>
      </w:pPr>
      <w:r w:rsidRPr="00CD265B">
        <w:rPr>
          <w:rFonts w:eastAsia="Calibri"/>
          <w:sz w:val="22"/>
          <w:szCs w:val="22"/>
        </w:rPr>
        <w:t xml:space="preserve">How </w:t>
      </w:r>
      <w:r w:rsidRPr="00CD265B">
        <w:rPr>
          <w:rFonts w:eastAsia="Calibri"/>
          <w:b/>
          <w:bCs/>
          <w:sz w:val="22"/>
          <w:szCs w:val="22"/>
        </w:rPr>
        <w:t>do you monitor</w:t>
      </w:r>
      <w:r w:rsidRPr="00CD265B">
        <w:rPr>
          <w:rFonts w:eastAsia="Calibri"/>
          <w:sz w:val="22"/>
          <w:szCs w:val="22"/>
        </w:rPr>
        <w:t xml:space="preserve"> the identified and assessed risks?</w:t>
      </w:r>
    </w:p>
    <w:p w14:paraId="35470001" w14:textId="77777777" w:rsidR="00024E22" w:rsidRPr="00CD265B" w:rsidRDefault="00024E22" w:rsidP="00024E22">
      <w:pPr>
        <w:numPr>
          <w:ilvl w:val="1"/>
          <w:numId w:val="18"/>
        </w:numPr>
        <w:tabs>
          <w:tab w:val="num" w:pos="1152"/>
        </w:tabs>
        <w:spacing w:after="200"/>
        <w:ind w:left="1152"/>
        <w:contextualSpacing/>
        <w:rPr>
          <w:rFonts w:eastAsia="Calibri"/>
          <w:sz w:val="22"/>
          <w:szCs w:val="22"/>
        </w:rPr>
      </w:pPr>
      <w:r w:rsidRPr="00CD265B">
        <w:rPr>
          <w:rFonts w:eastAsia="Calibri"/>
          <w:sz w:val="22"/>
          <w:szCs w:val="22"/>
        </w:rPr>
        <w:t xml:space="preserve">What kind of </w:t>
      </w:r>
      <w:r w:rsidRPr="00CD265B">
        <w:rPr>
          <w:rFonts w:eastAsia="Calibri"/>
          <w:b/>
          <w:bCs/>
          <w:sz w:val="22"/>
          <w:szCs w:val="22"/>
        </w:rPr>
        <w:t xml:space="preserve">tools </w:t>
      </w:r>
      <w:r w:rsidRPr="00CD265B">
        <w:rPr>
          <w:rFonts w:eastAsia="Calibri"/>
          <w:sz w:val="22"/>
          <w:szCs w:val="22"/>
        </w:rPr>
        <w:t xml:space="preserve">do you use? </w:t>
      </w:r>
    </w:p>
    <w:p w14:paraId="7FD7FC87" w14:textId="77777777" w:rsidR="00024E22" w:rsidRPr="00CD265B" w:rsidRDefault="00024E22" w:rsidP="00024E22">
      <w:pPr>
        <w:numPr>
          <w:ilvl w:val="2"/>
          <w:numId w:val="18"/>
        </w:numPr>
        <w:tabs>
          <w:tab w:val="num" w:pos="1800"/>
        </w:tabs>
        <w:spacing w:after="200"/>
        <w:contextualSpacing/>
        <w:rPr>
          <w:rFonts w:eastAsia="Calibri"/>
          <w:sz w:val="22"/>
          <w:szCs w:val="22"/>
        </w:rPr>
      </w:pPr>
      <w:r w:rsidRPr="00CD265B">
        <w:rPr>
          <w:rFonts w:eastAsia="Calibri"/>
          <w:sz w:val="22"/>
          <w:szCs w:val="22"/>
        </w:rPr>
        <w:t xml:space="preserve">Do you have a special IT system for risk management? </w:t>
      </w:r>
    </w:p>
    <w:p w14:paraId="1BFFC2E7" w14:textId="77777777" w:rsidR="00024E22" w:rsidRPr="00CD265B" w:rsidRDefault="00024E22" w:rsidP="00024E22">
      <w:pPr>
        <w:tabs>
          <w:tab w:val="left" w:pos="851"/>
          <w:tab w:val="left" w:pos="993"/>
          <w:tab w:val="left" w:pos="1418"/>
          <w:tab w:val="left" w:pos="2268"/>
        </w:tabs>
        <w:spacing w:after="200"/>
        <w:ind w:left="1800"/>
        <w:contextualSpacing/>
        <w:rPr>
          <w:rFonts w:eastAsia="Calibri"/>
          <w:sz w:val="22"/>
          <w:szCs w:val="22"/>
        </w:rPr>
      </w:pPr>
      <w:r w:rsidRPr="00CD265B">
        <w:rPr>
          <w:rFonts w:eastAsia="Calibri"/>
          <w:sz w:val="22"/>
          <w:szCs w:val="22"/>
        </w:rPr>
        <w:t>Yes</w:t>
      </w:r>
      <w:r w:rsidRPr="00CD265B">
        <w:rPr>
          <w:rFonts w:eastAsia="Calibri"/>
          <w:sz w:val="22"/>
          <w:szCs w:val="22"/>
        </w:rPr>
        <w:tab/>
      </w:r>
      <w:r w:rsidRPr="00CD265B">
        <w:rPr>
          <w:rFonts w:eastAsia="Calibri"/>
          <w:sz w:val="22"/>
          <w:szCs w:val="22"/>
        </w:rPr>
        <w:sym w:font="Wingdings" w:char="F071"/>
      </w:r>
      <w:r w:rsidRPr="00CD265B">
        <w:rPr>
          <w:rFonts w:eastAsia="Calibri"/>
          <w:sz w:val="22"/>
          <w:szCs w:val="22"/>
        </w:rPr>
        <w:t xml:space="preserve"> 1</w:t>
      </w:r>
      <w:r w:rsidRPr="00CD265B">
        <w:rPr>
          <w:rFonts w:eastAsia="Calibri"/>
          <w:sz w:val="22"/>
          <w:szCs w:val="22"/>
        </w:rPr>
        <w:tab/>
        <w:t>No</w:t>
      </w:r>
      <w:r w:rsidRPr="00CD265B">
        <w:rPr>
          <w:rFonts w:eastAsia="Calibri"/>
          <w:sz w:val="22"/>
          <w:szCs w:val="22"/>
        </w:rPr>
        <w:tab/>
      </w:r>
      <w:r w:rsidRPr="00CD265B">
        <w:rPr>
          <w:rFonts w:eastAsia="Calibri"/>
          <w:sz w:val="22"/>
          <w:szCs w:val="22"/>
        </w:rPr>
        <w:sym w:font="Wingdings" w:char="F071"/>
      </w:r>
      <w:r w:rsidRPr="00CD265B">
        <w:rPr>
          <w:rFonts w:eastAsia="Calibri"/>
          <w:sz w:val="22"/>
          <w:szCs w:val="22"/>
        </w:rPr>
        <w:t xml:space="preserve"> 2</w:t>
      </w:r>
    </w:p>
    <w:p w14:paraId="3DE4D523" w14:textId="77777777" w:rsidR="00024E22" w:rsidRPr="00CD265B" w:rsidRDefault="00024E22" w:rsidP="00024E22">
      <w:pPr>
        <w:tabs>
          <w:tab w:val="left" w:pos="851"/>
          <w:tab w:val="left" w:pos="993"/>
          <w:tab w:val="left" w:pos="1418"/>
        </w:tabs>
        <w:spacing w:after="200"/>
        <w:ind w:left="720"/>
        <w:contextualSpacing/>
        <w:rPr>
          <w:rFonts w:eastAsia="Calibri"/>
          <w:sz w:val="22"/>
          <w:szCs w:val="22"/>
        </w:rPr>
      </w:pPr>
    </w:p>
    <w:p w14:paraId="0ED1628E" w14:textId="77777777" w:rsidR="00024E22" w:rsidRPr="00CD265B" w:rsidRDefault="00024E22" w:rsidP="00024E22">
      <w:pPr>
        <w:numPr>
          <w:ilvl w:val="0"/>
          <w:numId w:val="18"/>
        </w:numPr>
        <w:tabs>
          <w:tab w:val="left" w:pos="851"/>
          <w:tab w:val="left" w:pos="993"/>
          <w:tab w:val="num" w:pos="1080"/>
          <w:tab w:val="left" w:pos="1418"/>
        </w:tabs>
        <w:spacing w:after="200"/>
        <w:ind w:left="720"/>
        <w:contextualSpacing/>
        <w:rPr>
          <w:rFonts w:eastAsia="Calibri"/>
          <w:sz w:val="22"/>
          <w:szCs w:val="22"/>
        </w:rPr>
      </w:pPr>
      <w:r w:rsidRPr="00CD265B">
        <w:rPr>
          <w:rFonts w:eastAsia="Calibri"/>
          <w:sz w:val="22"/>
          <w:szCs w:val="22"/>
        </w:rPr>
        <w:t xml:space="preserve">If </w:t>
      </w:r>
      <w:r w:rsidRPr="00CD265B">
        <w:rPr>
          <w:rFonts w:eastAsia="Calibri"/>
          <w:b/>
          <w:bCs/>
          <w:sz w:val="22"/>
          <w:szCs w:val="22"/>
        </w:rPr>
        <w:t>NO:</w:t>
      </w:r>
      <w:r w:rsidRPr="00CD265B">
        <w:rPr>
          <w:rFonts w:eastAsia="Calibri"/>
          <w:sz w:val="22"/>
          <w:szCs w:val="22"/>
        </w:rPr>
        <w:t xml:space="preserve"> </w:t>
      </w:r>
      <w:r w:rsidRPr="00CD265B">
        <w:rPr>
          <w:rFonts w:eastAsia="Calibri"/>
          <w:sz w:val="22"/>
          <w:szCs w:val="22"/>
        </w:rPr>
        <w:br/>
        <w:t xml:space="preserve">"What </w:t>
      </w:r>
      <w:r w:rsidRPr="00CD265B">
        <w:rPr>
          <w:rFonts w:eastAsia="Calibri"/>
          <w:b/>
          <w:bCs/>
          <w:sz w:val="22"/>
          <w:szCs w:val="22"/>
        </w:rPr>
        <w:t>are the reasons for not implementing</w:t>
      </w:r>
      <w:r w:rsidRPr="00CD265B">
        <w:rPr>
          <w:rFonts w:eastAsia="Calibri"/>
          <w:sz w:val="22"/>
          <w:szCs w:val="22"/>
        </w:rPr>
        <w:t xml:space="preserve"> a risk management programme?" </w:t>
      </w:r>
      <w:r w:rsidRPr="00CD265B">
        <w:rPr>
          <w:rFonts w:eastAsia="Calibri"/>
          <w:sz w:val="22"/>
          <w:szCs w:val="22"/>
        </w:rPr>
        <w:br/>
      </w:r>
    </w:p>
    <w:p w14:paraId="11BE95F7" w14:textId="77777777" w:rsidR="00024E22" w:rsidRPr="00CD265B" w:rsidRDefault="00024E22" w:rsidP="00024E22">
      <w:pPr>
        <w:spacing w:after="200"/>
        <w:contextualSpacing/>
        <w:rPr>
          <w:rFonts w:eastAsia="Calibri"/>
          <w:sz w:val="22"/>
          <w:szCs w:val="22"/>
        </w:rPr>
      </w:pPr>
      <w:r w:rsidRPr="00CD265B">
        <w:rPr>
          <w:rFonts w:eastAsia="Calibri"/>
          <w:sz w:val="22"/>
          <w:szCs w:val="22"/>
        </w:rPr>
        <w:t xml:space="preserve">Over the last months some serious events happened such as financial crisis, volcano ash, or the nuclear accident, which lead to disruptions in the supply chain. </w:t>
      </w:r>
    </w:p>
    <w:p w14:paraId="578BD6EE" w14:textId="77777777" w:rsidR="00024E22" w:rsidRPr="00CD265B" w:rsidRDefault="00024E22" w:rsidP="00024E22">
      <w:pPr>
        <w:spacing w:after="200"/>
        <w:contextualSpacing/>
        <w:rPr>
          <w:rFonts w:eastAsia="Calibri"/>
          <w:sz w:val="22"/>
          <w:szCs w:val="22"/>
        </w:rPr>
      </w:pPr>
    </w:p>
    <w:p w14:paraId="2AC15D20" w14:textId="77777777" w:rsidR="00024E22" w:rsidRPr="00CD265B" w:rsidRDefault="00024E22" w:rsidP="00024E22">
      <w:pPr>
        <w:numPr>
          <w:ilvl w:val="0"/>
          <w:numId w:val="18"/>
        </w:numPr>
        <w:spacing w:after="200"/>
        <w:contextualSpacing/>
        <w:rPr>
          <w:rFonts w:eastAsia="Calibri"/>
          <w:sz w:val="22"/>
          <w:szCs w:val="22"/>
        </w:rPr>
      </w:pPr>
      <w:r w:rsidRPr="00CD265B">
        <w:rPr>
          <w:rFonts w:eastAsia="Calibri"/>
          <w:sz w:val="22"/>
          <w:szCs w:val="22"/>
        </w:rPr>
        <w:t xml:space="preserve">Did you have </w:t>
      </w:r>
      <w:r w:rsidRPr="00CD265B">
        <w:rPr>
          <w:rFonts w:eastAsia="Calibri"/>
          <w:b/>
          <w:bCs/>
          <w:sz w:val="22"/>
          <w:szCs w:val="22"/>
        </w:rPr>
        <w:t>some serious risk events</w:t>
      </w:r>
      <w:r w:rsidRPr="00CD265B">
        <w:rPr>
          <w:rFonts w:eastAsia="Calibri"/>
          <w:sz w:val="22"/>
          <w:szCs w:val="22"/>
        </w:rPr>
        <w:t xml:space="preserve"> with significant impact to your business in 2010/2011? </w:t>
      </w:r>
    </w:p>
    <w:p w14:paraId="571E6758" w14:textId="77777777" w:rsidR="00024E22" w:rsidRPr="00CD265B" w:rsidRDefault="00024E22" w:rsidP="00024E22">
      <w:pPr>
        <w:tabs>
          <w:tab w:val="left" w:pos="851"/>
          <w:tab w:val="left" w:pos="993"/>
          <w:tab w:val="left" w:pos="1418"/>
          <w:tab w:val="left" w:pos="2268"/>
        </w:tabs>
        <w:spacing w:after="200"/>
        <w:ind w:left="1080"/>
        <w:contextualSpacing/>
        <w:rPr>
          <w:rFonts w:eastAsia="Calibri"/>
          <w:sz w:val="22"/>
          <w:szCs w:val="22"/>
        </w:rPr>
      </w:pPr>
      <w:r w:rsidRPr="00CD265B">
        <w:rPr>
          <w:rFonts w:eastAsia="Calibri"/>
          <w:sz w:val="22"/>
          <w:szCs w:val="22"/>
        </w:rPr>
        <w:t>Yes</w:t>
      </w:r>
      <w:r w:rsidRPr="00CD265B">
        <w:rPr>
          <w:rFonts w:eastAsia="Calibri"/>
          <w:sz w:val="22"/>
          <w:szCs w:val="22"/>
        </w:rPr>
        <w:tab/>
      </w:r>
      <w:r w:rsidRPr="00CD265B">
        <w:rPr>
          <w:rFonts w:eastAsia="Calibri"/>
          <w:sz w:val="22"/>
          <w:szCs w:val="22"/>
        </w:rPr>
        <w:sym w:font="Wingdings" w:char="F071"/>
      </w:r>
      <w:r w:rsidRPr="00CD265B">
        <w:rPr>
          <w:rFonts w:eastAsia="Calibri"/>
          <w:sz w:val="22"/>
          <w:szCs w:val="22"/>
        </w:rPr>
        <w:t xml:space="preserve"> 1</w:t>
      </w:r>
      <w:r w:rsidRPr="00CD265B">
        <w:rPr>
          <w:rFonts w:eastAsia="Calibri"/>
          <w:sz w:val="22"/>
          <w:szCs w:val="22"/>
        </w:rPr>
        <w:tab/>
        <w:t xml:space="preserve">No </w:t>
      </w:r>
      <w:r w:rsidRPr="00CD265B">
        <w:rPr>
          <w:rFonts w:eastAsia="Calibri"/>
          <w:sz w:val="22"/>
          <w:szCs w:val="22"/>
        </w:rPr>
        <w:tab/>
      </w:r>
      <w:r w:rsidRPr="00CD265B">
        <w:rPr>
          <w:rFonts w:eastAsia="Calibri"/>
          <w:sz w:val="22"/>
          <w:szCs w:val="22"/>
        </w:rPr>
        <w:sym w:font="Wingdings" w:char="F071"/>
      </w:r>
      <w:r w:rsidRPr="00CD265B">
        <w:rPr>
          <w:rFonts w:eastAsia="Calibri"/>
          <w:sz w:val="22"/>
          <w:szCs w:val="22"/>
        </w:rPr>
        <w:t xml:space="preserve"> 2 </w:t>
      </w:r>
    </w:p>
    <w:p w14:paraId="446F8930" w14:textId="77777777" w:rsidR="00024E22" w:rsidRPr="00CD265B" w:rsidRDefault="00024E22" w:rsidP="00024E22">
      <w:pPr>
        <w:tabs>
          <w:tab w:val="left" w:pos="851"/>
          <w:tab w:val="left" w:pos="993"/>
          <w:tab w:val="left" w:pos="1418"/>
          <w:tab w:val="left" w:pos="2268"/>
        </w:tabs>
        <w:spacing w:after="200"/>
        <w:ind w:left="1080"/>
        <w:contextualSpacing/>
        <w:rPr>
          <w:rFonts w:eastAsia="Calibri"/>
          <w:sz w:val="22"/>
          <w:szCs w:val="22"/>
        </w:rPr>
      </w:pPr>
    </w:p>
    <w:p w14:paraId="05EED7B3" w14:textId="77777777" w:rsidR="00024E22" w:rsidRPr="00CD265B" w:rsidRDefault="00024E22" w:rsidP="00024E22">
      <w:pPr>
        <w:numPr>
          <w:ilvl w:val="0"/>
          <w:numId w:val="18"/>
        </w:numPr>
        <w:tabs>
          <w:tab w:val="left" w:pos="851"/>
          <w:tab w:val="left" w:pos="993"/>
          <w:tab w:val="num" w:pos="1080"/>
          <w:tab w:val="left" w:pos="1418"/>
        </w:tabs>
        <w:spacing w:after="200"/>
        <w:ind w:left="720"/>
        <w:contextualSpacing/>
        <w:rPr>
          <w:rFonts w:eastAsia="Calibri"/>
          <w:sz w:val="22"/>
          <w:szCs w:val="22"/>
        </w:rPr>
      </w:pPr>
      <w:r w:rsidRPr="00CD265B">
        <w:rPr>
          <w:rFonts w:eastAsia="Calibri"/>
          <w:sz w:val="22"/>
          <w:szCs w:val="22"/>
        </w:rPr>
        <w:t xml:space="preserve">If </w:t>
      </w:r>
      <w:r w:rsidRPr="00CD265B">
        <w:rPr>
          <w:rFonts w:eastAsia="Calibri"/>
          <w:b/>
          <w:sz w:val="22"/>
          <w:szCs w:val="22"/>
        </w:rPr>
        <w:t>YES:</w:t>
      </w:r>
    </w:p>
    <w:p w14:paraId="36D598AA" w14:textId="77777777" w:rsidR="00024E22" w:rsidRPr="00CD265B" w:rsidRDefault="00024E22" w:rsidP="00024E22">
      <w:pPr>
        <w:numPr>
          <w:ilvl w:val="1"/>
          <w:numId w:val="18"/>
        </w:numPr>
        <w:spacing w:after="200"/>
        <w:contextualSpacing/>
        <w:rPr>
          <w:rFonts w:eastAsia="Calibri"/>
          <w:sz w:val="22"/>
          <w:szCs w:val="22"/>
        </w:rPr>
      </w:pPr>
      <w:r w:rsidRPr="00CD265B">
        <w:rPr>
          <w:rFonts w:eastAsia="Calibri"/>
          <w:sz w:val="22"/>
          <w:szCs w:val="22"/>
        </w:rPr>
        <w:t xml:space="preserve">Could you please give </w:t>
      </w:r>
      <w:r w:rsidRPr="00CD265B">
        <w:rPr>
          <w:rFonts w:eastAsia="Calibri"/>
          <w:b/>
          <w:bCs/>
          <w:sz w:val="22"/>
          <w:szCs w:val="22"/>
        </w:rPr>
        <w:t xml:space="preserve">two examples, how those events affected </w:t>
      </w:r>
      <w:r w:rsidRPr="00CD265B">
        <w:rPr>
          <w:rFonts w:eastAsia="Calibri"/>
          <w:b/>
          <w:bCs/>
          <w:sz w:val="22"/>
          <w:szCs w:val="22"/>
        </w:rPr>
        <w:br/>
        <w:t xml:space="preserve"> </w:t>
      </w:r>
      <w:r w:rsidRPr="00CD265B">
        <w:rPr>
          <w:rFonts w:eastAsia="Calibri"/>
          <w:b/>
          <w:bCs/>
          <w:sz w:val="22"/>
          <w:szCs w:val="22"/>
        </w:rPr>
        <w:tab/>
        <w:t>your company</w:t>
      </w:r>
      <w:r w:rsidRPr="00CD265B">
        <w:rPr>
          <w:rFonts w:eastAsia="Calibri"/>
          <w:sz w:val="22"/>
          <w:szCs w:val="22"/>
        </w:rPr>
        <w:t>?</w:t>
      </w:r>
      <w:r w:rsidRPr="00CD265B">
        <w:rPr>
          <w:rFonts w:eastAsia="Calibri"/>
          <w:sz w:val="22"/>
          <w:szCs w:val="22"/>
        </w:rPr>
        <w:br/>
      </w:r>
    </w:p>
    <w:p w14:paraId="3B4E72CC" w14:textId="32293F03" w:rsidR="00024E22" w:rsidRPr="00CD265B" w:rsidRDefault="00024E22" w:rsidP="00024E22">
      <w:pPr>
        <w:numPr>
          <w:ilvl w:val="1"/>
          <w:numId w:val="18"/>
        </w:numPr>
        <w:spacing w:after="200"/>
        <w:contextualSpacing/>
        <w:rPr>
          <w:rFonts w:eastAsia="Calibri"/>
          <w:sz w:val="22"/>
          <w:szCs w:val="22"/>
        </w:rPr>
      </w:pPr>
      <w:r w:rsidRPr="00CD265B">
        <w:rPr>
          <w:rFonts w:eastAsia="Calibri"/>
          <w:sz w:val="22"/>
          <w:szCs w:val="22"/>
        </w:rPr>
        <w:t>How c</w:t>
      </w:r>
      <w:r w:rsidR="001C7446" w:rsidRPr="00CD265B">
        <w:rPr>
          <w:rFonts w:eastAsia="Calibri"/>
          <w:sz w:val="22"/>
          <w:szCs w:val="22"/>
        </w:rPr>
        <w:t>an the risk management lead to enhanced business performance</w:t>
      </w:r>
      <w:r w:rsidRPr="00CD265B">
        <w:rPr>
          <w:rFonts w:eastAsia="Calibri"/>
          <w:sz w:val="22"/>
          <w:szCs w:val="22"/>
        </w:rPr>
        <w:t xml:space="preserve">? </w:t>
      </w:r>
      <w:r w:rsidRPr="00CD265B">
        <w:rPr>
          <w:rFonts w:eastAsia="Calibri"/>
          <w:sz w:val="22"/>
          <w:szCs w:val="22"/>
        </w:rPr>
        <w:br/>
        <w:t xml:space="preserve"> </w:t>
      </w:r>
      <w:r w:rsidRPr="00CD265B">
        <w:rPr>
          <w:rFonts w:eastAsia="Calibri"/>
          <w:sz w:val="22"/>
          <w:szCs w:val="22"/>
        </w:rPr>
        <w:tab/>
        <w:t>[Did the company perform better having a risk management than competitors?]</w:t>
      </w:r>
    </w:p>
    <w:p w14:paraId="4B96C90F" w14:textId="77777777" w:rsidR="00024E22" w:rsidRPr="00CD265B" w:rsidRDefault="00024E22" w:rsidP="00024E22">
      <w:pPr>
        <w:spacing w:after="200"/>
        <w:ind w:left="360"/>
        <w:contextualSpacing/>
        <w:rPr>
          <w:rFonts w:eastAsia="Calibri"/>
          <w:sz w:val="22"/>
          <w:szCs w:val="22"/>
        </w:rPr>
      </w:pPr>
    </w:p>
    <w:p w14:paraId="72AC3331" w14:textId="77777777" w:rsidR="00024E22" w:rsidRPr="00CD265B" w:rsidRDefault="00024E22" w:rsidP="00024E22">
      <w:pPr>
        <w:numPr>
          <w:ilvl w:val="0"/>
          <w:numId w:val="18"/>
        </w:numPr>
        <w:spacing w:after="200"/>
        <w:contextualSpacing/>
        <w:rPr>
          <w:rFonts w:eastAsia="Calibri"/>
          <w:sz w:val="22"/>
          <w:szCs w:val="22"/>
        </w:rPr>
      </w:pPr>
      <w:r w:rsidRPr="00CD265B">
        <w:rPr>
          <w:rFonts w:eastAsia="Calibri"/>
          <w:sz w:val="22"/>
          <w:szCs w:val="22"/>
        </w:rPr>
        <w:t xml:space="preserve">If we focus purely on strategic sourcing: What are the </w:t>
      </w:r>
      <w:r w:rsidRPr="00CD265B">
        <w:rPr>
          <w:rFonts w:eastAsia="Calibri"/>
          <w:b/>
          <w:bCs/>
          <w:sz w:val="22"/>
          <w:szCs w:val="22"/>
        </w:rPr>
        <w:t>dominating “must-have” risk factors to be used in a preventive risk management</w:t>
      </w:r>
      <w:r w:rsidRPr="00CD265B">
        <w:rPr>
          <w:rFonts w:eastAsia="Calibri"/>
          <w:sz w:val="22"/>
          <w:szCs w:val="22"/>
        </w:rPr>
        <w:t xml:space="preserve"> portfolio? </w:t>
      </w:r>
      <w:r w:rsidRPr="00CD265B">
        <w:rPr>
          <w:rFonts w:eastAsia="Calibri"/>
          <w:sz w:val="22"/>
          <w:szCs w:val="22"/>
        </w:rPr>
        <w:br/>
      </w:r>
    </w:p>
    <w:p w14:paraId="5334CA79" w14:textId="77777777" w:rsidR="00024E22" w:rsidRPr="00CD265B" w:rsidRDefault="00024E22" w:rsidP="00024E22">
      <w:pPr>
        <w:tabs>
          <w:tab w:val="left" w:pos="851"/>
          <w:tab w:val="left" w:pos="993"/>
          <w:tab w:val="left" w:pos="1418"/>
          <w:tab w:val="left" w:pos="2268"/>
        </w:tabs>
        <w:spacing w:after="200"/>
        <w:ind w:left="1080"/>
        <w:contextualSpacing/>
        <w:rPr>
          <w:rFonts w:eastAsia="Calibri"/>
          <w:sz w:val="22"/>
          <w:szCs w:val="22"/>
        </w:rPr>
      </w:pPr>
    </w:p>
    <w:p w14:paraId="2B485E8C" w14:textId="77777777" w:rsidR="00024E22" w:rsidRPr="00CD265B" w:rsidRDefault="00024E22" w:rsidP="00024E22"/>
    <w:p w14:paraId="73632C54" w14:textId="77777777" w:rsidR="001C7446" w:rsidRPr="00CD265B" w:rsidRDefault="001C7446" w:rsidP="001B10CB">
      <w:pPr>
        <w:pStyle w:val="Caption"/>
      </w:pPr>
    </w:p>
    <w:p w14:paraId="3EA89557" w14:textId="77777777" w:rsidR="001C7446" w:rsidRPr="00CD265B" w:rsidRDefault="001C7446" w:rsidP="001B10CB">
      <w:pPr>
        <w:pStyle w:val="Caption"/>
      </w:pPr>
    </w:p>
    <w:p w14:paraId="64760A23" w14:textId="77777777" w:rsidR="001C7446" w:rsidRPr="00CD265B" w:rsidRDefault="001C7446" w:rsidP="001B10CB">
      <w:pPr>
        <w:pStyle w:val="Caption"/>
      </w:pPr>
    </w:p>
    <w:p w14:paraId="1F6FD142" w14:textId="77777777" w:rsidR="001C7446" w:rsidRPr="00CD265B" w:rsidRDefault="001C7446" w:rsidP="001B10CB">
      <w:pPr>
        <w:pStyle w:val="Caption"/>
      </w:pPr>
    </w:p>
    <w:p w14:paraId="1FBBA413" w14:textId="77777777" w:rsidR="001C7446" w:rsidRPr="00CD265B" w:rsidRDefault="001C7446" w:rsidP="001B10CB">
      <w:pPr>
        <w:pStyle w:val="Caption"/>
      </w:pPr>
    </w:p>
    <w:p w14:paraId="5F8A0970" w14:textId="77777777" w:rsidR="001D27BF" w:rsidRPr="00CD265B" w:rsidRDefault="001D27BF">
      <w:pPr>
        <w:spacing w:after="200" w:line="276" w:lineRule="auto"/>
        <w:rPr>
          <w:b/>
          <w:bCs/>
        </w:rPr>
      </w:pPr>
      <w:r w:rsidRPr="00CD265B">
        <w:br w:type="page"/>
      </w:r>
    </w:p>
    <w:p w14:paraId="4BE572B6" w14:textId="4D98F995" w:rsidR="002F23C1" w:rsidRPr="00CD265B" w:rsidRDefault="002F23C1" w:rsidP="001B10CB">
      <w:pPr>
        <w:pStyle w:val="Caption"/>
        <w:rPr>
          <w:b w:val="0"/>
        </w:rPr>
      </w:pPr>
      <w:r w:rsidRPr="00CD265B">
        <w:lastRenderedPageBreak/>
        <w:t>Appendix 3</w:t>
      </w:r>
      <w:r w:rsidR="001D27BF" w:rsidRPr="00CD265B">
        <w:t>:</w:t>
      </w:r>
      <w:r w:rsidRPr="00CD265B">
        <w:t xml:space="preserve"> </w:t>
      </w:r>
      <w:r w:rsidRPr="00CD265B">
        <w:rPr>
          <w:b w:val="0"/>
        </w:rPr>
        <w:t xml:space="preserve">Code </w:t>
      </w:r>
      <w:r w:rsidR="00AA0970" w:rsidRPr="00CD265B">
        <w:rPr>
          <w:b w:val="0"/>
        </w:rPr>
        <w:t>s</w:t>
      </w:r>
      <w:r w:rsidRPr="00CD265B">
        <w:rPr>
          <w:b w:val="0"/>
        </w:rPr>
        <w:t xml:space="preserve">tructure and </w:t>
      </w:r>
      <w:r w:rsidR="00AA0970" w:rsidRPr="00CD265B">
        <w:rPr>
          <w:b w:val="0"/>
        </w:rPr>
        <w:t>h</w:t>
      </w:r>
      <w:r w:rsidRPr="00CD265B">
        <w:rPr>
          <w:b w:val="0"/>
        </w:rPr>
        <w:t>ierarchy</w:t>
      </w:r>
    </w:p>
    <w:p w14:paraId="7941BB91" w14:textId="77777777" w:rsidR="002F23C1" w:rsidRPr="00CD265B" w:rsidRDefault="002F23C1" w:rsidP="002F23C1">
      <w:pPr>
        <w:jc w:val="center"/>
      </w:pPr>
      <w:r w:rsidRPr="00CD265B">
        <w:rPr>
          <w:noProof/>
          <w:lang w:eastAsia="en-GB"/>
        </w:rPr>
        <w:drawing>
          <wp:inline distT="0" distB="0" distL="0" distR="0" wp14:anchorId="05550746" wp14:editId="2A04A91A">
            <wp:extent cx="5086350" cy="37147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86350" cy="3714750"/>
                    </a:xfrm>
                    <a:prstGeom prst="rect">
                      <a:avLst/>
                    </a:prstGeom>
                    <a:noFill/>
                    <a:ln>
                      <a:noFill/>
                    </a:ln>
                  </pic:spPr>
                </pic:pic>
              </a:graphicData>
            </a:graphic>
          </wp:inline>
        </w:drawing>
      </w:r>
    </w:p>
    <w:p w14:paraId="5EC831D9" w14:textId="77777777" w:rsidR="002F23C1" w:rsidRPr="00CD265B" w:rsidRDefault="002F23C1" w:rsidP="002F23C1"/>
    <w:p w14:paraId="412D2A3F" w14:textId="77777777" w:rsidR="002F23C1" w:rsidRPr="00CD265B" w:rsidRDefault="002F23C1" w:rsidP="002F23C1">
      <w:pPr>
        <w:jc w:val="center"/>
      </w:pPr>
      <w:r w:rsidRPr="00CD265B">
        <w:rPr>
          <w:noProof/>
          <w:lang w:eastAsia="en-GB"/>
        </w:rPr>
        <w:lastRenderedPageBreak/>
        <w:drawing>
          <wp:inline distT="0" distB="0" distL="0" distR="0" wp14:anchorId="0FD8056B" wp14:editId="6D548B79">
            <wp:extent cx="4953000" cy="63627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53000" cy="6362700"/>
                    </a:xfrm>
                    <a:prstGeom prst="rect">
                      <a:avLst/>
                    </a:prstGeom>
                    <a:noFill/>
                    <a:ln>
                      <a:noFill/>
                    </a:ln>
                  </pic:spPr>
                </pic:pic>
              </a:graphicData>
            </a:graphic>
          </wp:inline>
        </w:drawing>
      </w:r>
    </w:p>
    <w:p w14:paraId="7CBA999C" w14:textId="77777777" w:rsidR="002F23C1" w:rsidRPr="00CD265B" w:rsidRDefault="002F23C1">
      <w:pPr>
        <w:spacing w:after="200" w:line="276" w:lineRule="auto"/>
        <w:rPr>
          <w:b/>
          <w:lang w:val="de-DE"/>
        </w:rPr>
      </w:pPr>
    </w:p>
    <w:p w14:paraId="1DA3F700" w14:textId="77777777" w:rsidR="002F23C1" w:rsidRPr="00CD265B" w:rsidRDefault="002F23C1">
      <w:pPr>
        <w:spacing w:after="200" w:line="276" w:lineRule="auto"/>
        <w:rPr>
          <w:b/>
          <w:lang w:val="de-DE"/>
        </w:rPr>
      </w:pPr>
    </w:p>
    <w:p w14:paraId="36478242" w14:textId="77777777" w:rsidR="002F23C1" w:rsidRPr="00CD265B" w:rsidRDefault="002F23C1">
      <w:pPr>
        <w:spacing w:after="200" w:line="276" w:lineRule="auto"/>
        <w:rPr>
          <w:b/>
          <w:lang w:val="de-DE"/>
        </w:rPr>
      </w:pPr>
      <w:r w:rsidRPr="00CD265B">
        <w:rPr>
          <w:b/>
          <w:lang w:val="de-DE"/>
        </w:rPr>
        <w:br w:type="page"/>
      </w:r>
    </w:p>
    <w:p w14:paraId="54E978C7" w14:textId="00ABB88D" w:rsidR="00546B74" w:rsidRPr="00CD265B" w:rsidRDefault="00546B74" w:rsidP="001B10CB">
      <w:pPr>
        <w:pStyle w:val="Caption"/>
        <w:rPr>
          <w:b w:val="0"/>
        </w:rPr>
      </w:pPr>
      <w:r w:rsidRPr="00CD265B">
        <w:lastRenderedPageBreak/>
        <w:t>Appendix 4</w:t>
      </w:r>
      <w:r w:rsidR="001D27BF" w:rsidRPr="00CD265B">
        <w:t>:</w:t>
      </w:r>
      <w:r w:rsidRPr="00CD265B">
        <w:t xml:space="preserve"> </w:t>
      </w:r>
      <w:r w:rsidRPr="00CD265B">
        <w:rPr>
          <w:b w:val="0"/>
        </w:rPr>
        <w:t xml:space="preserve">Summary of </w:t>
      </w:r>
      <w:r w:rsidR="00AA0970" w:rsidRPr="00CD265B">
        <w:rPr>
          <w:b w:val="0"/>
        </w:rPr>
        <w:t>c</w:t>
      </w:r>
      <w:r w:rsidRPr="00CD265B">
        <w:rPr>
          <w:b w:val="0"/>
        </w:rPr>
        <w:t xml:space="preserve">ase </w:t>
      </w:r>
      <w:r w:rsidR="00AA0970" w:rsidRPr="00CD265B">
        <w:rPr>
          <w:b w:val="0"/>
        </w:rPr>
        <w:t>f</w:t>
      </w:r>
      <w:r w:rsidRPr="00CD265B">
        <w:rPr>
          <w:b w:val="0"/>
        </w:rPr>
        <w:t>indings</w:t>
      </w:r>
    </w:p>
    <w:p w14:paraId="6026FC57" w14:textId="77777777" w:rsidR="00546B74" w:rsidRPr="00CD265B" w:rsidRDefault="00546B74" w:rsidP="00546B74">
      <w:r w:rsidRPr="00CD265B">
        <w:rPr>
          <w:noProof/>
          <w:lang w:eastAsia="en-GB"/>
        </w:rPr>
        <w:drawing>
          <wp:inline distT="0" distB="0" distL="0" distR="0" wp14:anchorId="52AB8626" wp14:editId="194632E7">
            <wp:extent cx="5581650" cy="6251535"/>
            <wp:effectExtent l="19050" t="0" r="0" b="0"/>
            <wp:docPr id="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5581650" cy="6251535"/>
                    </a:xfrm>
                    <a:prstGeom prst="rect">
                      <a:avLst/>
                    </a:prstGeom>
                    <a:noFill/>
                    <a:ln w="9525">
                      <a:noFill/>
                      <a:miter lim="800000"/>
                      <a:headEnd/>
                      <a:tailEnd/>
                    </a:ln>
                  </pic:spPr>
                </pic:pic>
              </a:graphicData>
            </a:graphic>
          </wp:inline>
        </w:drawing>
      </w:r>
    </w:p>
    <w:p w14:paraId="705CEDD9" w14:textId="77777777" w:rsidR="007D23C7" w:rsidRPr="00CD265B" w:rsidRDefault="007D23C7">
      <w:pPr>
        <w:spacing w:after="200" w:line="276" w:lineRule="auto"/>
        <w:rPr>
          <w:b/>
          <w:lang w:val="de-DE"/>
        </w:rPr>
      </w:pPr>
    </w:p>
    <w:p w14:paraId="7CE06643" w14:textId="77777777" w:rsidR="00546B74" w:rsidRPr="00CD265B" w:rsidRDefault="00546B74">
      <w:pPr>
        <w:spacing w:after="200" w:line="276" w:lineRule="auto"/>
        <w:rPr>
          <w:b/>
        </w:rPr>
      </w:pPr>
      <w:r w:rsidRPr="00CD265B">
        <w:rPr>
          <w:b/>
        </w:rPr>
        <w:br w:type="page"/>
      </w:r>
    </w:p>
    <w:p w14:paraId="381D8FCC" w14:textId="351B8C41" w:rsidR="00607BAC" w:rsidRPr="00AF27DB" w:rsidRDefault="003C5CB1" w:rsidP="00DC3993">
      <w:pPr>
        <w:spacing w:line="360" w:lineRule="auto"/>
        <w:outlineLvl w:val="0"/>
        <w:rPr>
          <w:b/>
        </w:rPr>
      </w:pPr>
      <w:r w:rsidRPr="00AF27DB">
        <w:rPr>
          <w:b/>
        </w:rPr>
        <w:lastRenderedPageBreak/>
        <w:t>REFERENCES</w:t>
      </w:r>
    </w:p>
    <w:p w14:paraId="00398F97" w14:textId="255A6C3F" w:rsidR="00CF23FC" w:rsidRPr="00AF27DB" w:rsidRDefault="00DE7180" w:rsidP="007A1D19">
      <w:pPr>
        <w:spacing w:after="240"/>
        <w:ind w:left="567" w:hanging="567"/>
        <w:jc w:val="both"/>
        <w:rPr>
          <w:noProof/>
        </w:rPr>
      </w:pPr>
      <w:r w:rsidRPr="00AF27DB">
        <w:rPr>
          <w:noProof/>
        </w:rPr>
        <w:t xml:space="preserve">Blackhurst, </w:t>
      </w:r>
      <w:r w:rsidR="00CF23FC" w:rsidRPr="00AF27DB">
        <w:rPr>
          <w:noProof/>
        </w:rPr>
        <w:t>J.</w:t>
      </w:r>
      <w:r w:rsidRPr="00AF27DB">
        <w:rPr>
          <w:noProof/>
        </w:rPr>
        <w:t>,</w:t>
      </w:r>
      <w:r w:rsidR="00CF23FC" w:rsidRPr="00AF27DB">
        <w:rPr>
          <w:noProof/>
        </w:rPr>
        <w:t xml:space="preserve"> Craighead,</w:t>
      </w:r>
      <w:r w:rsidRPr="00AF27DB">
        <w:rPr>
          <w:noProof/>
        </w:rPr>
        <w:t xml:space="preserve"> C.W.,</w:t>
      </w:r>
      <w:r w:rsidR="00CF23FC" w:rsidRPr="00AF27DB">
        <w:rPr>
          <w:noProof/>
        </w:rPr>
        <w:t xml:space="preserve"> Elkins,</w:t>
      </w:r>
      <w:r w:rsidRPr="00AF27DB">
        <w:rPr>
          <w:noProof/>
        </w:rPr>
        <w:t xml:space="preserve"> D.,</w:t>
      </w:r>
      <w:r w:rsidR="00CF23FC" w:rsidRPr="00AF27DB">
        <w:rPr>
          <w:noProof/>
        </w:rPr>
        <w:t xml:space="preserve"> and Handfield,</w:t>
      </w:r>
      <w:r w:rsidRPr="00AF27DB">
        <w:rPr>
          <w:noProof/>
        </w:rPr>
        <w:t xml:space="preserve"> R.B.</w:t>
      </w:r>
      <w:r w:rsidR="00CF23FC" w:rsidRPr="00AF27DB">
        <w:rPr>
          <w:noProof/>
        </w:rPr>
        <w:t xml:space="preserve"> </w:t>
      </w:r>
      <w:r w:rsidRPr="00AF27DB">
        <w:rPr>
          <w:noProof/>
        </w:rPr>
        <w:t xml:space="preserve">2005. </w:t>
      </w:r>
      <w:r w:rsidR="00CF23FC" w:rsidRPr="00AF27DB">
        <w:rPr>
          <w:noProof/>
        </w:rPr>
        <w:t xml:space="preserve">“An </w:t>
      </w:r>
      <w:r w:rsidRPr="00AF27DB">
        <w:rPr>
          <w:noProof/>
        </w:rPr>
        <w:t>E</w:t>
      </w:r>
      <w:r w:rsidR="00CF23FC" w:rsidRPr="00AF27DB">
        <w:rPr>
          <w:noProof/>
        </w:rPr>
        <w:t xml:space="preserve">mpirically </w:t>
      </w:r>
      <w:r w:rsidRPr="00AF27DB">
        <w:rPr>
          <w:noProof/>
        </w:rPr>
        <w:t>D</w:t>
      </w:r>
      <w:r w:rsidR="00CF23FC" w:rsidRPr="00AF27DB">
        <w:rPr>
          <w:noProof/>
        </w:rPr>
        <w:t xml:space="preserve">erived </w:t>
      </w:r>
      <w:r w:rsidRPr="00AF27DB">
        <w:rPr>
          <w:noProof/>
        </w:rPr>
        <w:t>A</w:t>
      </w:r>
      <w:r w:rsidR="00CF23FC" w:rsidRPr="00AF27DB">
        <w:rPr>
          <w:noProof/>
        </w:rPr>
        <w:t xml:space="preserve">genda of </w:t>
      </w:r>
      <w:r w:rsidRPr="00AF27DB">
        <w:rPr>
          <w:noProof/>
        </w:rPr>
        <w:t>C</w:t>
      </w:r>
      <w:r w:rsidR="00CF23FC" w:rsidRPr="00AF27DB">
        <w:rPr>
          <w:noProof/>
        </w:rPr>
        <w:t xml:space="preserve">ritical </w:t>
      </w:r>
      <w:r w:rsidRPr="00AF27DB">
        <w:rPr>
          <w:noProof/>
        </w:rPr>
        <w:t>R</w:t>
      </w:r>
      <w:r w:rsidR="00CF23FC" w:rsidRPr="00AF27DB">
        <w:rPr>
          <w:noProof/>
        </w:rPr>
        <w:t xml:space="preserve">esearch </w:t>
      </w:r>
      <w:r w:rsidRPr="00AF27DB">
        <w:rPr>
          <w:noProof/>
        </w:rPr>
        <w:t>I</w:t>
      </w:r>
      <w:r w:rsidR="00CF23FC" w:rsidRPr="00AF27DB">
        <w:rPr>
          <w:noProof/>
        </w:rPr>
        <w:t xml:space="preserve">ssues for </w:t>
      </w:r>
      <w:r w:rsidRPr="00AF27DB">
        <w:rPr>
          <w:noProof/>
        </w:rPr>
        <w:t>M</w:t>
      </w:r>
      <w:r w:rsidR="00CF23FC" w:rsidRPr="00AF27DB">
        <w:rPr>
          <w:noProof/>
        </w:rPr>
        <w:t xml:space="preserve">anaging </w:t>
      </w:r>
      <w:r w:rsidRPr="00AF27DB">
        <w:rPr>
          <w:noProof/>
        </w:rPr>
        <w:t>S</w:t>
      </w:r>
      <w:r w:rsidR="00CF23FC" w:rsidRPr="00AF27DB">
        <w:rPr>
          <w:noProof/>
        </w:rPr>
        <w:t>upply-</w:t>
      </w:r>
      <w:r w:rsidR="00627EF0" w:rsidRPr="00AF27DB">
        <w:rPr>
          <w:noProof/>
        </w:rPr>
        <w:t>c</w:t>
      </w:r>
      <w:r w:rsidR="00CF23FC" w:rsidRPr="00AF27DB">
        <w:rPr>
          <w:noProof/>
        </w:rPr>
        <w:t xml:space="preserve">hain </w:t>
      </w:r>
      <w:r w:rsidRPr="00AF27DB">
        <w:rPr>
          <w:noProof/>
        </w:rPr>
        <w:t>D</w:t>
      </w:r>
      <w:r w:rsidR="00CF23FC" w:rsidRPr="00AF27DB">
        <w:rPr>
          <w:noProof/>
        </w:rPr>
        <w:t xml:space="preserve">isruptions,” </w:t>
      </w:r>
      <w:r w:rsidR="00CF23FC" w:rsidRPr="00AF27DB">
        <w:rPr>
          <w:i/>
          <w:noProof/>
        </w:rPr>
        <w:t>International Journal of Production Research</w:t>
      </w:r>
      <w:r w:rsidR="00CF23FC" w:rsidRPr="00AF27DB">
        <w:rPr>
          <w:noProof/>
        </w:rPr>
        <w:t xml:space="preserve"> 43 </w:t>
      </w:r>
      <w:r w:rsidRPr="00AF27DB">
        <w:rPr>
          <w:noProof/>
        </w:rPr>
        <w:t>(</w:t>
      </w:r>
      <w:r w:rsidR="00CF23FC" w:rsidRPr="00AF27DB">
        <w:rPr>
          <w:noProof/>
        </w:rPr>
        <w:t>19</w:t>
      </w:r>
      <w:r w:rsidRPr="00AF27DB">
        <w:rPr>
          <w:noProof/>
        </w:rPr>
        <w:t>):</w:t>
      </w:r>
      <w:r w:rsidR="00CF23FC" w:rsidRPr="00AF27DB">
        <w:rPr>
          <w:noProof/>
        </w:rPr>
        <w:t xml:space="preserve"> 4067</w:t>
      </w:r>
      <w:r w:rsidR="00CF23FC" w:rsidRPr="00AF27DB">
        <w:t>–</w:t>
      </w:r>
      <w:r w:rsidRPr="00AF27DB">
        <w:rPr>
          <w:noProof/>
        </w:rPr>
        <w:t>81</w:t>
      </w:r>
      <w:r w:rsidRPr="00AF27DB">
        <w:t>.</w:t>
      </w:r>
    </w:p>
    <w:p w14:paraId="6D7D066C" w14:textId="20836195" w:rsidR="00CF23FC" w:rsidRPr="00AF27DB" w:rsidRDefault="00CF23FC" w:rsidP="007A1D19">
      <w:pPr>
        <w:spacing w:after="240"/>
        <w:ind w:left="567" w:hanging="567"/>
        <w:jc w:val="both"/>
      </w:pPr>
      <w:r w:rsidRPr="00AF27DB">
        <w:rPr>
          <w:color w:val="000000"/>
          <w:lang w:eastAsia="zh-CN"/>
        </w:rPr>
        <w:t>Chopra</w:t>
      </w:r>
      <w:r w:rsidR="0080294E" w:rsidRPr="00AF27DB">
        <w:rPr>
          <w:color w:val="000000"/>
          <w:lang w:eastAsia="zh-CN"/>
        </w:rPr>
        <w:t>, S.,</w:t>
      </w:r>
      <w:r w:rsidRPr="00AF27DB">
        <w:rPr>
          <w:color w:val="000000"/>
          <w:lang w:eastAsia="zh-CN"/>
        </w:rPr>
        <w:t xml:space="preserve"> and Sodhi,</w:t>
      </w:r>
      <w:r w:rsidR="0080294E" w:rsidRPr="00AF27DB">
        <w:rPr>
          <w:color w:val="000000"/>
          <w:lang w:eastAsia="zh-CN"/>
        </w:rPr>
        <w:t xml:space="preserve"> M.S. 2004.</w:t>
      </w:r>
      <w:r w:rsidRPr="00AF27DB">
        <w:rPr>
          <w:color w:val="000000"/>
          <w:lang w:eastAsia="zh-CN"/>
        </w:rPr>
        <w:t xml:space="preserve"> “</w:t>
      </w:r>
      <w:r w:rsidRPr="00AF27DB">
        <w:t xml:space="preserve">Managing </w:t>
      </w:r>
      <w:r w:rsidR="0080294E" w:rsidRPr="00AF27DB">
        <w:t>R</w:t>
      </w:r>
      <w:r w:rsidRPr="00AF27DB">
        <w:t xml:space="preserve">isk to </w:t>
      </w:r>
      <w:r w:rsidR="0080294E" w:rsidRPr="00AF27DB">
        <w:t>A</w:t>
      </w:r>
      <w:r w:rsidRPr="00AF27DB">
        <w:t xml:space="preserve">void </w:t>
      </w:r>
      <w:r w:rsidR="0080294E" w:rsidRPr="00AF27DB">
        <w:t>S</w:t>
      </w:r>
      <w:r w:rsidRPr="00AF27DB">
        <w:t xml:space="preserve">upply </w:t>
      </w:r>
      <w:r w:rsidR="0080294E" w:rsidRPr="00AF27DB">
        <w:t>C</w:t>
      </w:r>
      <w:r w:rsidRPr="00AF27DB">
        <w:t xml:space="preserve">hain </w:t>
      </w:r>
      <w:r w:rsidR="0080294E" w:rsidRPr="00AF27DB">
        <w:t>Breakdown.</w:t>
      </w:r>
      <w:r w:rsidRPr="00AF27DB">
        <w:t xml:space="preserve">” </w:t>
      </w:r>
      <w:r w:rsidRPr="00AF27DB">
        <w:rPr>
          <w:i/>
        </w:rPr>
        <w:t>MIT Sloan Management Review</w:t>
      </w:r>
      <w:r w:rsidRPr="00AF27DB">
        <w:t xml:space="preserve"> 46 </w:t>
      </w:r>
      <w:r w:rsidR="0080294E" w:rsidRPr="00AF27DB">
        <w:t>(</w:t>
      </w:r>
      <w:r w:rsidRPr="00AF27DB">
        <w:t>1</w:t>
      </w:r>
      <w:r w:rsidR="0080294E" w:rsidRPr="00AF27DB">
        <w:t>):</w:t>
      </w:r>
      <w:r w:rsidRPr="00AF27DB">
        <w:t xml:space="preserve"> 53–61.</w:t>
      </w:r>
    </w:p>
    <w:p w14:paraId="706C6141" w14:textId="3D31C269" w:rsidR="00CF23FC" w:rsidRPr="00AF27DB" w:rsidRDefault="00CF23FC" w:rsidP="007A1D19">
      <w:pPr>
        <w:spacing w:after="240"/>
        <w:ind w:left="567" w:hanging="567"/>
        <w:jc w:val="both"/>
        <w:rPr>
          <w:color w:val="000000"/>
          <w:lang w:eastAsia="zh-CN"/>
        </w:rPr>
      </w:pPr>
      <w:r w:rsidRPr="00AF27DB">
        <w:rPr>
          <w:color w:val="000000"/>
          <w:lang w:eastAsia="zh-CN"/>
        </w:rPr>
        <w:t>Chopra</w:t>
      </w:r>
      <w:r w:rsidR="00554EF3" w:rsidRPr="00AF27DB">
        <w:rPr>
          <w:color w:val="000000"/>
          <w:lang w:eastAsia="zh-CN"/>
        </w:rPr>
        <w:t>, S.,</w:t>
      </w:r>
      <w:r w:rsidRPr="00AF27DB">
        <w:rPr>
          <w:color w:val="000000"/>
          <w:lang w:eastAsia="zh-CN"/>
        </w:rPr>
        <w:t xml:space="preserve"> and Sodhi,</w:t>
      </w:r>
      <w:r w:rsidR="00554EF3" w:rsidRPr="00AF27DB">
        <w:rPr>
          <w:color w:val="000000"/>
          <w:lang w:eastAsia="zh-CN"/>
        </w:rPr>
        <w:t xml:space="preserve"> M.S. 2014.</w:t>
      </w:r>
      <w:r w:rsidRPr="00AF27DB">
        <w:rPr>
          <w:color w:val="000000"/>
          <w:lang w:eastAsia="zh-CN"/>
        </w:rPr>
        <w:t xml:space="preserve"> “Reducing the </w:t>
      </w:r>
      <w:r w:rsidR="00554EF3" w:rsidRPr="00AF27DB">
        <w:rPr>
          <w:color w:val="000000"/>
          <w:lang w:eastAsia="zh-CN"/>
        </w:rPr>
        <w:t>R</w:t>
      </w:r>
      <w:r w:rsidRPr="00AF27DB">
        <w:rPr>
          <w:color w:val="000000"/>
          <w:lang w:eastAsia="zh-CN"/>
        </w:rPr>
        <w:t xml:space="preserve">isk of </w:t>
      </w:r>
      <w:r w:rsidR="00554EF3" w:rsidRPr="00AF27DB">
        <w:rPr>
          <w:color w:val="000000"/>
          <w:lang w:eastAsia="zh-CN"/>
        </w:rPr>
        <w:t>S</w:t>
      </w:r>
      <w:r w:rsidRPr="00AF27DB">
        <w:rPr>
          <w:color w:val="000000"/>
          <w:lang w:eastAsia="zh-CN"/>
        </w:rPr>
        <w:t xml:space="preserve">upply </w:t>
      </w:r>
      <w:r w:rsidR="00554EF3" w:rsidRPr="00AF27DB">
        <w:rPr>
          <w:color w:val="000000"/>
          <w:lang w:eastAsia="zh-CN"/>
        </w:rPr>
        <w:t>C</w:t>
      </w:r>
      <w:r w:rsidRPr="00AF27DB">
        <w:rPr>
          <w:color w:val="000000"/>
          <w:lang w:eastAsia="zh-CN"/>
        </w:rPr>
        <w:t xml:space="preserve">hain </w:t>
      </w:r>
      <w:r w:rsidR="00554EF3" w:rsidRPr="00AF27DB">
        <w:rPr>
          <w:color w:val="000000"/>
          <w:lang w:eastAsia="zh-CN"/>
        </w:rPr>
        <w:t>D</w:t>
      </w:r>
      <w:r w:rsidRPr="00AF27DB">
        <w:rPr>
          <w:color w:val="000000"/>
          <w:lang w:eastAsia="zh-CN"/>
        </w:rPr>
        <w:t>isruptions</w:t>
      </w:r>
      <w:r w:rsidR="00554EF3" w:rsidRPr="00AF27DB">
        <w:rPr>
          <w:color w:val="000000"/>
          <w:lang w:eastAsia="zh-CN"/>
        </w:rPr>
        <w:t>.</w:t>
      </w:r>
      <w:r w:rsidRPr="00AF27DB">
        <w:rPr>
          <w:color w:val="000000"/>
          <w:lang w:eastAsia="zh-CN"/>
        </w:rPr>
        <w:t xml:space="preserve">” </w:t>
      </w:r>
      <w:r w:rsidRPr="00AF27DB">
        <w:rPr>
          <w:i/>
          <w:color w:val="000000"/>
          <w:lang w:eastAsia="zh-CN"/>
        </w:rPr>
        <w:t>MIT Sloan Management Review</w:t>
      </w:r>
      <w:r w:rsidRPr="00AF27DB">
        <w:rPr>
          <w:color w:val="000000"/>
          <w:lang w:eastAsia="zh-CN"/>
        </w:rPr>
        <w:t xml:space="preserve"> 55 </w:t>
      </w:r>
      <w:r w:rsidR="00554EF3" w:rsidRPr="00AF27DB">
        <w:rPr>
          <w:color w:val="000000"/>
          <w:lang w:eastAsia="zh-CN"/>
        </w:rPr>
        <w:t>(</w:t>
      </w:r>
      <w:r w:rsidRPr="00AF27DB">
        <w:rPr>
          <w:color w:val="000000"/>
          <w:lang w:eastAsia="zh-CN"/>
        </w:rPr>
        <w:t>3</w:t>
      </w:r>
      <w:r w:rsidR="00554EF3" w:rsidRPr="00AF27DB">
        <w:rPr>
          <w:color w:val="000000"/>
          <w:lang w:eastAsia="zh-CN"/>
        </w:rPr>
        <w:t>):</w:t>
      </w:r>
      <w:r w:rsidRPr="00AF27DB">
        <w:rPr>
          <w:color w:val="000000"/>
          <w:lang w:eastAsia="zh-CN"/>
        </w:rPr>
        <w:t xml:space="preserve"> 73–80.</w:t>
      </w:r>
    </w:p>
    <w:p w14:paraId="7A82720C" w14:textId="1DAA258C" w:rsidR="00CF23FC" w:rsidRPr="00AF27DB" w:rsidRDefault="00CF23FC" w:rsidP="007A1D19">
      <w:pPr>
        <w:spacing w:after="240"/>
        <w:ind w:left="567" w:hanging="567"/>
        <w:jc w:val="both"/>
      </w:pPr>
      <w:r w:rsidRPr="00AF27DB">
        <w:t>Dey</w:t>
      </w:r>
      <w:r w:rsidR="00886FBB" w:rsidRPr="00AF27DB">
        <w:t>, P.K.</w:t>
      </w:r>
      <w:r w:rsidRPr="00AF27DB">
        <w:t xml:space="preserve">, Bhattacharya, </w:t>
      </w:r>
      <w:r w:rsidR="00886FBB" w:rsidRPr="00AF27DB">
        <w:t xml:space="preserve">A., </w:t>
      </w:r>
      <w:r w:rsidRPr="00AF27DB">
        <w:t>and Ho,</w:t>
      </w:r>
      <w:r w:rsidR="00886FBB" w:rsidRPr="00AF27DB">
        <w:t xml:space="preserve"> W. 2015.</w:t>
      </w:r>
      <w:r w:rsidRPr="00AF27DB">
        <w:t xml:space="preserve"> “Strategic </w:t>
      </w:r>
      <w:r w:rsidR="00886FBB" w:rsidRPr="00AF27DB">
        <w:t>S</w:t>
      </w:r>
      <w:r w:rsidRPr="00AF27DB">
        <w:t xml:space="preserve">upplier </w:t>
      </w:r>
      <w:r w:rsidR="00886FBB" w:rsidRPr="00AF27DB">
        <w:t>P</w:t>
      </w:r>
      <w:r w:rsidRPr="00AF27DB">
        <w:t xml:space="preserve">erformance </w:t>
      </w:r>
      <w:r w:rsidR="00886FBB" w:rsidRPr="00AF27DB">
        <w:t>E</w:t>
      </w:r>
      <w:r w:rsidRPr="00AF27DB">
        <w:t xml:space="preserve">valuation: A </w:t>
      </w:r>
      <w:r w:rsidR="00886FBB" w:rsidRPr="00AF27DB">
        <w:t>C</w:t>
      </w:r>
      <w:r w:rsidRPr="00AF27DB">
        <w:t xml:space="preserve">ase-based </w:t>
      </w:r>
      <w:r w:rsidR="00886FBB" w:rsidRPr="00AF27DB">
        <w:t>A</w:t>
      </w:r>
      <w:r w:rsidRPr="00AF27DB">
        <w:t xml:space="preserve">ction </w:t>
      </w:r>
      <w:r w:rsidR="00886FBB" w:rsidRPr="00AF27DB">
        <w:t>R</w:t>
      </w:r>
      <w:r w:rsidRPr="00AF27DB">
        <w:t xml:space="preserve">esearch of a UK </w:t>
      </w:r>
      <w:r w:rsidR="00886FBB" w:rsidRPr="00AF27DB">
        <w:t>M</w:t>
      </w:r>
      <w:r w:rsidRPr="00AF27DB">
        <w:t xml:space="preserve">anufacturing </w:t>
      </w:r>
      <w:r w:rsidR="00886FBB" w:rsidRPr="00AF27DB">
        <w:t>Organisation.</w:t>
      </w:r>
      <w:r w:rsidRPr="00AF27DB">
        <w:t xml:space="preserve">” </w:t>
      </w:r>
      <w:r w:rsidRPr="00AF27DB">
        <w:rPr>
          <w:i/>
          <w:iCs/>
        </w:rPr>
        <w:t>International Journal of Production Economics</w:t>
      </w:r>
      <w:r w:rsidRPr="00AF27DB">
        <w:t xml:space="preserve"> 166</w:t>
      </w:r>
      <w:r w:rsidR="00886FBB" w:rsidRPr="00AF27DB">
        <w:t>: 192–214</w:t>
      </w:r>
      <w:r w:rsidRPr="00AF27DB">
        <w:t>.</w:t>
      </w:r>
    </w:p>
    <w:p w14:paraId="795E3CC7" w14:textId="010913AC" w:rsidR="00CF23FC" w:rsidRPr="00AF27DB" w:rsidRDefault="00CF23FC" w:rsidP="007A1D19">
      <w:pPr>
        <w:spacing w:after="240"/>
        <w:ind w:left="567" w:hanging="567"/>
        <w:jc w:val="both"/>
        <w:rPr>
          <w:noProof/>
        </w:rPr>
      </w:pPr>
      <w:r w:rsidRPr="00AF27DB">
        <w:rPr>
          <w:noProof/>
        </w:rPr>
        <w:t>Eisenhardt,</w:t>
      </w:r>
      <w:r w:rsidR="00747575" w:rsidRPr="00AF27DB">
        <w:rPr>
          <w:noProof/>
        </w:rPr>
        <w:t xml:space="preserve"> K.M. 1989.</w:t>
      </w:r>
      <w:r w:rsidRPr="00AF27DB">
        <w:rPr>
          <w:noProof/>
        </w:rPr>
        <w:t xml:space="preserve"> “Building </w:t>
      </w:r>
      <w:r w:rsidR="00747575" w:rsidRPr="00AF27DB">
        <w:rPr>
          <w:noProof/>
        </w:rPr>
        <w:t>T</w:t>
      </w:r>
      <w:r w:rsidRPr="00AF27DB">
        <w:rPr>
          <w:noProof/>
        </w:rPr>
        <w:t xml:space="preserve">heories from </w:t>
      </w:r>
      <w:r w:rsidR="00747575" w:rsidRPr="00AF27DB">
        <w:rPr>
          <w:noProof/>
        </w:rPr>
        <w:t>C</w:t>
      </w:r>
      <w:r w:rsidRPr="00AF27DB">
        <w:rPr>
          <w:noProof/>
        </w:rPr>
        <w:t xml:space="preserve">ase </w:t>
      </w:r>
      <w:r w:rsidR="00747575" w:rsidRPr="00AF27DB">
        <w:rPr>
          <w:noProof/>
        </w:rPr>
        <w:t>S</w:t>
      </w:r>
      <w:r w:rsidRPr="00AF27DB">
        <w:rPr>
          <w:noProof/>
        </w:rPr>
        <w:t xml:space="preserve">tudy </w:t>
      </w:r>
      <w:r w:rsidR="00747575" w:rsidRPr="00AF27DB">
        <w:rPr>
          <w:noProof/>
        </w:rPr>
        <w:t>Research.</w:t>
      </w:r>
      <w:r w:rsidRPr="00AF27DB">
        <w:rPr>
          <w:noProof/>
        </w:rPr>
        <w:t xml:space="preserve">” </w:t>
      </w:r>
      <w:r w:rsidRPr="00AF27DB">
        <w:rPr>
          <w:i/>
          <w:noProof/>
        </w:rPr>
        <w:t>The Academy of Management Review</w:t>
      </w:r>
      <w:r w:rsidRPr="00AF27DB">
        <w:rPr>
          <w:noProof/>
        </w:rPr>
        <w:t xml:space="preserve"> 14 </w:t>
      </w:r>
      <w:r w:rsidR="00747575" w:rsidRPr="00AF27DB">
        <w:rPr>
          <w:noProof/>
        </w:rPr>
        <w:t>(</w:t>
      </w:r>
      <w:r w:rsidRPr="00AF27DB">
        <w:rPr>
          <w:noProof/>
        </w:rPr>
        <w:t>4</w:t>
      </w:r>
      <w:r w:rsidR="00747575" w:rsidRPr="00AF27DB">
        <w:rPr>
          <w:noProof/>
        </w:rPr>
        <w:t>):</w:t>
      </w:r>
      <w:r w:rsidRPr="00AF27DB">
        <w:rPr>
          <w:noProof/>
        </w:rPr>
        <w:t xml:space="preserve"> 532</w:t>
      </w:r>
      <w:r w:rsidRPr="00AF27DB">
        <w:t>–</w:t>
      </w:r>
      <w:r w:rsidRPr="00AF27DB">
        <w:rPr>
          <w:noProof/>
        </w:rPr>
        <w:t>50.</w:t>
      </w:r>
    </w:p>
    <w:p w14:paraId="082370A9" w14:textId="408C9076" w:rsidR="00CF23FC" w:rsidRPr="00AF27DB" w:rsidRDefault="00CF23FC" w:rsidP="007A1D19">
      <w:pPr>
        <w:spacing w:after="240"/>
        <w:ind w:left="567" w:hanging="567"/>
        <w:jc w:val="both"/>
      </w:pPr>
      <w:r w:rsidRPr="00AF27DB">
        <w:t>Ho,</w:t>
      </w:r>
      <w:r w:rsidR="00965168" w:rsidRPr="00AF27DB">
        <w:t xml:space="preserve"> W.,</w:t>
      </w:r>
      <w:r w:rsidRPr="00AF27DB">
        <w:t xml:space="preserve"> Zheng,</w:t>
      </w:r>
      <w:r w:rsidR="00965168" w:rsidRPr="00AF27DB">
        <w:t xml:space="preserve"> T.,</w:t>
      </w:r>
      <w:r w:rsidRPr="00AF27DB">
        <w:t xml:space="preserve"> Yildiz,</w:t>
      </w:r>
      <w:r w:rsidR="00965168" w:rsidRPr="00AF27DB">
        <w:t xml:space="preserve"> H.,</w:t>
      </w:r>
      <w:r w:rsidRPr="00AF27DB">
        <w:t xml:space="preserve"> and Talluri,</w:t>
      </w:r>
      <w:r w:rsidR="00965168" w:rsidRPr="00AF27DB">
        <w:t xml:space="preserve"> S. 2015.</w:t>
      </w:r>
      <w:r w:rsidRPr="00AF27DB">
        <w:t xml:space="preserve"> </w:t>
      </w:r>
      <w:r w:rsidR="00965168" w:rsidRPr="00AF27DB">
        <w:t>“</w:t>
      </w:r>
      <w:r w:rsidRPr="00AF27DB">
        <w:t xml:space="preserve">Supply </w:t>
      </w:r>
      <w:r w:rsidR="00965168" w:rsidRPr="00AF27DB">
        <w:t>C</w:t>
      </w:r>
      <w:r w:rsidRPr="00AF27DB">
        <w:t xml:space="preserve">hain </w:t>
      </w:r>
      <w:r w:rsidR="00965168" w:rsidRPr="00AF27DB">
        <w:t>R</w:t>
      </w:r>
      <w:r w:rsidRPr="00AF27DB">
        <w:t xml:space="preserve">isk </w:t>
      </w:r>
      <w:r w:rsidR="00965168" w:rsidRPr="00AF27DB">
        <w:t>M</w:t>
      </w:r>
      <w:r w:rsidRPr="00AF27DB">
        <w:t xml:space="preserve">anagement: A </w:t>
      </w:r>
      <w:r w:rsidR="00965168" w:rsidRPr="00AF27DB">
        <w:t>L</w:t>
      </w:r>
      <w:r w:rsidRPr="00AF27DB">
        <w:t xml:space="preserve">iterature </w:t>
      </w:r>
      <w:r w:rsidR="00965168" w:rsidRPr="00AF27DB">
        <w:t>Review.</w:t>
      </w:r>
      <w:r w:rsidRPr="00AF27DB">
        <w:t xml:space="preserve">” </w:t>
      </w:r>
      <w:r w:rsidRPr="00AF27DB">
        <w:rPr>
          <w:i/>
          <w:iCs/>
        </w:rPr>
        <w:t>International Journal of Production Research</w:t>
      </w:r>
      <w:r w:rsidRPr="00AF27DB">
        <w:t xml:space="preserve"> 53 </w:t>
      </w:r>
      <w:r w:rsidR="00965168" w:rsidRPr="00AF27DB">
        <w:t>(</w:t>
      </w:r>
      <w:r w:rsidRPr="00AF27DB">
        <w:t>16</w:t>
      </w:r>
      <w:r w:rsidR="00965168" w:rsidRPr="00AF27DB">
        <w:t>):</w:t>
      </w:r>
      <w:r w:rsidRPr="00AF27DB">
        <w:t xml:space="preserve"> 5031–69.</w:t>
      </w:r>
    </w:p>
    <w:p w14:paraId="340409BC" w14:textId="6D617F4B" w:rsidR="0035014E" w:rsidRPr="00AF27DB" w:rsidRDefault="0035014E" w:rsidP="007A1D19">
      <w:pPr>
        <w:spacing w:after="240"/>
        <w:ind w:left="567" w:hanging="567"/>
        <w:jc w:val="both"/>
      </w:pPr>
      <w:r w:rsidRPr="00AF27DB">
        <w:rPr>
          <w:noProof/>
        </w:rPr>
        <w:t>Khan</w:t>
      </w:r>
      <w:r w:rsidR="00DC2AE0" w:rsidRPr="00AF27DB">
        <w:rPr>
          <w:noProof/>
        </w:rPr>
        <w:t>, O.,</w:t>
      </w:r>
      <w:r w:rsidRPr="00AF27DB">
        <w:rPr>
          <w:noProof/>
        </w:rPr>
        <w:t xml:space="preserve"> and Burnes,</w:t>
      </w:r>
      <w:r w:rsidR="00DC2AE0" w:rsidRPr="00AF27DB">
        <w:rPr>
          <w:noProof/>
        </w:rPr>
        <w:t xml:space="preserve"> B. 2007.</w:t>
      </w:r>
      <w:r w:rsidRPr="00AF27DB">
        <w:rPr>
          <w:noProof/>
        </w:rPr>
        <w:t xml:space="preserve"> </w:t>
      </w:r>
      <w:r w:rsidR="00DC2AE0" w:rsidRPr="00AF27DB">
        <w:rPr>
          <w:noProof/>
        </w:rPr>
        <w:t>“</w:t>
      </w:r>
      <w:r w:rsidRPr="00AF27DB">
        <w:rPr>
          <w:noProof/>
        </w:rPr>
        <w:t xml:space="preserve">Risk and </w:t>
      </w:r>
      <w:r w:rsidR="00DC2AE0" w:rsidRPr="00AF27DB">
        <w:rPr>
          <w:noProof/>
        </w:rPr>
        <w:t>S</w:t>
      </w:r>
      <w:r w:rsidRPr="00AF27DB">
        <w:rPr>
          <w:noProof/>
        </w:rPr>
        <w:t xml:space="preserve">upply </w:t>
      </w:r>
      <w:r w:rsidR="00DC2AE0" w:rsidRPr="00AF27DB">
        <w:rPr>
          <w:noProof/>
        </w:rPr>
        <w:t>C</w:t>
      </w:r>
      <w:r w:rsidRPr="00AF27DB">
        <w:rPr>
          <w:noProof/>
        </w:rPr>
        <w:t xml:space="preserve">hain </w:t>
      </w:r>
      <w:r w:rsidR="00DC2AE0" w:rsidRPr="00AF27DB">
        <w:rPr>
          <w:noProof/>
        </w:rPr>
        <w:t>M</w:t>
      </w:r>
      <w:r w:rsidRPr="00AF27DB">
        <w:rPr>
          <w:noProof/>
        </w:rPr>
        <w:t xml:space="preserve">anagement: </w:t>
      </w:r>
      <w:r w:rsidR="00DC2AE0" w:rsidRPr="00AF27DB">
        <w:rPr>
          <w:noProof/>
        </w:rPr>
        <w:t>C</w:t>
      </w:r>
      <w:r w:rsidRPr="00AF27DB">
        <w:rPr>
          <w:noProof/>
        </w:rPr>
        <w:t xml:space="preserve">reating a </w:t>
      </w:r>
      <w:r w:rsidR="00DC2AE0" w:rsidRPr="00AF27DB">
        <w:rPr>
          <w:noProof/>
        </w:rPr>
        <w:t>R</w:t>
      </w:r>
      <w:r w:rsidRPr="00AF27DB">
        <w:rPr>
          <w:noProof/>
        </w:rPr>
        <w:t xml:space="preserve">esearch </w:t>
      </w:r>
      <w:r w:rsidR="00DC2AE0" w:rsidRPr="00AF27DB">
        <w:rPr>
          <w:noProof/>
        </w:rPr>
        <w:t>A</w:t>
      </w:r>
      <w:r w:rsidRPr="00AF27DB">
        <w:rPr>
          <w:noProof/>
        </w:rPr>
        <w:t>genda</w:t>
      </w:r>
      <w:r w:rsidR="00DC2AE0" w:rsidRPr="00AF27DB">
        <w:rPr>
          <w:noProof/>
        </w:rPr>
        <w:t>.</w:t>
      </w:r>
      <w:r w:rsidRPr="00AF27DB">
        <w:rPr>
          <w:noProof/>
        </w:rPr>
        <w:t xml:space="preserve">” </w:t>
      </w:r>
      <w:r w:rsidRPr="00AF27DB">
        <w:rPr>
          <w:i/>
          <w:noProof/>
        </w:rPr>
        <w:t>The International Journal of Logistics Management</w:t>
      </w:r>
      <w:r w:rsidRPr="00AF27DB">
        <w:rPr>
          <w:noProof/>
        </w:rPr>
        <w:t xml:space="preserve"> 18 </w:t>
      </w:r>
      <w:r w:rsidR="00DC2AE0" w:rsidRPr="00AF27DB">
        <w:rPr>
          <w:noProof/>
        </w:rPr>
        <w:t>(</w:t>
      </w:r>
      <w:r w:rsidRPr="00AF27DB">
        <w:rPr>
          <w:noProof/>
        </w:rPr>
        <w:t>2</w:t>
      </w:r>
      <w:r w:rsidR="00DC2AE0" w:rsidRPr="00AF27DB">
        <w:rPr>
          <w:noProof/>
        </w:rPr>
        <w:t>):</w:t>
      </w:r>
      <w:r w:rsidRPr="00AF27DB">
        <w:rPr>
          <w:noProof/>
        </w:rPr>
        <w:t xml:space="preserve"> 197</w:t>
      </w:r>
      <w:r w:rsidRPr="00AF27DB">
        <w:rPr>
          <w:color w:val="000000"/>
          <w:lang w:eastAsia="zh-CN"/>
        </w:rPr>
        <w:t>–</w:t>
      </w:r>
      <w:r w:rsidRPr="00AF27DB">
        <w:rPr>
          <w:noProof/>
        </w:rPr>
        <w:t>216.</w:t>
      </w:r>
    </w:p>
    <w:p w14:paraId="5D7B59A1" w14:textId="77E0EACE" w:rsidR="008028A0" w:rsidRPr="00AF27DB" w:rsidRDefault="008028A0" w:rsidP="007A1D19">
      <w:pPr>
        <w:spacing w:after="240"/>
        <w:ind w:left="567" w:hanging="567"/>
        <w:jc w:val="both"/>
        <w:rPr>
          <w:color w:val="000000" w:themeColor="text1"/>
          <w:sz w:val="32"/>
          <w:lang w:eastAsia="zh-CN"/>
        </w:rPr>
      </w:pPr>
      <w:r w:rsidRPr="00AF27DB">
        <w:rPr>
          <w:rFonts w:eastAsiaTheme="minorHAnsi"/>
          <w:bCs/>
          <w:lang w:val="en-AU"/>
        </w:rPr>
        <w:t>Miles</w:t>
      </w:r>
      <w:r w:rsidR="008A5942" w:rsidRPr="00AF27DB">
        <w:rPr>
          <w:rFonts w:eastAsiaTheme="minorHAnsi"/>
          <w:bCs/>
          <w:lang w:val="en-AU"/>
        </w:rPr>
        <w:t>, M.B.,</w:t>
      </w:r>
      <w:r w:rsidRPr="00AF27DB">
        <w:rPr>
          <w:rFonts w:eastAsiaTheme="minorHAnsi"/>
          <w:bCs/>
          <w:lang w:val="en-AU"/>
        </w:rPr>
        <w:t xml:space="preserve"> and Huberman,</w:t>
      </w:r>
      <w:r w:rsidR="008A5942" w:rsidRPr="00AF27DB">
        <w:rPr>
          <w:rFonts w:eastAsiaTheme="minorHAnsi"/>
          <w:bCs/>
          <w:lang w:val="en-AU"/>
        </w:rPr>
        <w:t xml:space="preserve"> A.M. 1994.</w:t>
      </w:r>
      <w:r w:rsidRPr="00AF27DB">
        <w:rPr>
          <w:rFonts w:eastAsiaTheme="minorHAnsi"/>
          <w:bCs/>
          <w:lang w:val="en-AU"/>
        </w:rPr>
        <w:t xml:space="preserve"> </w:t>
      </w:r>
      <w:r w:rsidRPr="00AF27DB">
        <w:rPr>
          <w:rFonts w:eastAsiaTheme="minorHAnsi"/>
          <w:bCs/>
          <w:i/>
          <w:iCs/>
          <w:lang w:val="en-AU"/>
        </w:rPr>
        <w:t xml:space="preserve">Qualitative Data Analysis: An expanded Sourcebook, </w:t>
      </w:r>
      <w:r w:rsidRPr="00AF27DB">
        <w:rPr>
          <w:rFonts w:eastAsiaTheme="minorHAnsi"/>
          <w:bCs/>
          <w:lang w:val="en-AU"/>
        </w:rPr>
        <w:t>2nd Edition</w:t>
      </w:r>
      <w:r w:rsidR="008A5942" w:rsidRPr="00AF27DB">
        <w:rPr>
          <w:rFonts w:eastAsiaTheme="minorHAnsi"/>
          <w:bCs/>
          <w:lang w:val="en-AU"/>
        </w:rPr>
        <w:t>.</w:t>
      </w:r>
      <w:r w:rsidRPr="00AF27DB">
        <w:rPr>
          <w:rFonts w:eastAsiaTheme="minorHAnsi"/>
          <w:bCs/>
          <w:lang w:val="en-AU"/>
        </w:rPr>
        <w:t xml:space="preserve"> Lond</w:t>
      </w:r>
      <w:r w:rsidR="008A5942" w:rsidRPr="00AF27DB">
        <w:rPr>
          <w:rFonts w:eastAsiaTheme="minorHAnsi"/>
          <w:bCs/>
          <w:lang w:val="en-AU"/>
        </w:rPr>
        <w:t>on, U.K.: Sage Publication</w:t>
      </w:r>
      <w:r w:rsidRPr="00AF27DB">
        <w:rPr>
          <w:rFonts w:eastAsiaTheme="minorHAnsi"/>
          <w:bCs/>
          <w:lang w:val="en-AU"/>
        </w:rPr>
        <w:t>.</w:t>
      </w:r>
    </w:p>
    <w:p w14:paraId="07DFA12A" w14:textId="3A0BB7D6" w:rsidR="00CF23FC" w:rsidRPr="00AF27DB" w:rsidRDefault="00CF23FC" w:rsidP="007A1D19">
      <w:pPr>
        <w:spacing w:after="240"/>
        <w:ind w:left="567" w:hanging="567"/>
        <w:jc w:val="both"/>
        <w:rPr>
          <w:color w:val="000000"/>
          <w:lang w:eastAsia="zh-CN"/>
        </w:rPr>
      </w:pPr>
      <w:r w:rsidRPr="00AF27DB">
        <w:rPr>
          <w:color w:val="000000"/>
        </w:rPr>
        <w:t>Pettit,</w:t>
      </w:r>
      <w:r w:rsidR="00614B60" w:rsidRPr="00AF27DB">
        <w:rPr>
          <w:color w:val="000000"/>
        </w:rPr>
        <w:t xml:space="preserve"> T.J.,</w:t>
      </w:r>
      <w:r w:rsidRPr="00AF27DB">
        <w:rPr>
          <w:color w:val="000000"/>
        </w:rPr>
        <w:t xml:space="preserve"> Croxton,</w:t>
      </w:r>
      <w:r w:rsidR="00614B60" w:rsidRPr="00AF27DB">
        <w:rPr>
          <w:color w:val="000000"/>
        </w:rPr>
        <w:t xml:space="preserve"> K.L.,</w:t>
      </w:r>
      <w:r w:rsidRPr="00AF27DB">
        <w:rPr>
          <w:color w:val="000000"/>
        </w:rPr>
        <w:t xml:space="preserve"> and Fiksel,</w:t>
      </w:r>
      <w:r w:rsidR="00614B60" w:rsidRPr="00AF27DB">
        <w:rPr>
          <w:color w:val="000000"/>
        </w:rPr>
        <w:t xml:space="preserve"> J. 2013.</w:t>
      </w:r>
      <w:r w:rsidRPr="00AF27DB">
        <w:rPr>
          <w:color w:val="000000"/>
        </w:rPr>
        <w:t xml:space="preserve"> “Ensuring </w:t>
      </w:r>
      <w:r w:rsidR="00614B60" w:rsidRPr="00AF27DB">
        <w:rPr>
          <w:color w:val="000000"/>
        </w:rPr>
        <w:t>S</w:t>
      </w:r>
      <w:r w:rsidRPr="00AF27DB">
        <w:rPr>
          <w:color w:val="000000"/>
        </w:rPr>
        <w:t xml:space="preserve">upply </w:t>
      </w:r>
      <w:r w:rsidR="00614B60" w:rsidRPr="00AF27DB">
        <w:rPr>
          <w:color w:val="000000"/>
        </w:rPr>
        <w:t>C</w:t>
      </w:r>
      <w:r w:rsidRPr="00AF27DB">
        <w:rPr>
          <w:color w:val="000000"/>
        </w:rPr>
        <w:t xml:space="preserve">hain </w:t>
      </w:r>
      <w:r w:rsidR="00614B60" w:rsidRPr="00AF27DB">
        <w:rPr>
          <w:color w:val="000000"/>
        </w:rPr>
        <w:t>R</w:t>
      </w:r>
      <w:r w:rsidRPr="00AF27DB">
        <w:rPr>
          <w:color w:val="000000"/>
        </w:rPr>
        <w:t>esilience: Development and</w:t>
      </w:r>
      <w:r w:rsidRPr="00AF27DB">
        <w:rPr>
          <w:color w:val="000000"/>
          <w:lang w:eastAsia="zh-CN"/>
        </w:rPr>
        <w:t xml:space="preserve"> </w:t>
      </w:r>
      <w:r w:rsidR="00614B60" w:rsidRPr="00AF27DB">
        <w:rPr>
          <w:color w:val="000000"/>
        </w:rPr>
        <w:t>I</w:t>
      </w:r>
      <w:r w:rsidRPr="00AF27DB">
        <w:rPr>
          <w:color w:val="000000"/>
        </w:rPr>
        <w:t xml:space="preserve">mplementation of an </w:t>
      </w:r>
      <w:r w:rsidR="00614B60" w:rsidRPr="00AF27DB">
        <w:rPr>
          <w:color w:val="000000"/>
        </w:rPr>
        <w:t>A</w:t>
      </w:r>
      <w:r w:rsidRPr="00AF27DB">
        <w:rPr>
          <w:color w:val="000000"/>
        </w:rPr>
        <w:t xml:space="preserve">ssessment </w:t>
      </w:r>
      <w:r w:rsidR="00614B60" w:rsidRPr="00AF27DB">
        <w:rPr>
          <w:color w:val="000000"/>
        </w:rPr>
        <w:t>T</w:t>
      </w:r>
      <w:r w:rsidRPr="00AF27DB">
        <w:rPr>
          <w:color w:val="000000"/>
        </w:rPr>
        <w:t>ool</w:t>
      </w:r>
      <w:r w:rsidR="00614B60" w:rsidRPr="00AF27DB">
        <w:rPr>
          <w:color w:val="000000"/>
        </w:rPr>
        <w:t>.</w:t>
      </w:r>
      <w:r w:rsidRPr="00AF27DB">
        <w:rPr>
          <w:color w:val="000000"/>
        </w:rPr>
        <w:t>”</w:t>
      </w:r>
      <w:r w:rsidRPr="00AF27DB">
        <w:rPr>
          <w:color w:val="000000"/>
          <w:lang w:eastAsia="zh-CN"/>
        </w:rPr>
        <w:t xml:space="preserve"> </w:t>
      </w:r>
      <w:r w:rsidRPr="00AF27DB">
        <w:rPr>
          <w:i/>
          <w:color w:val="000000"/>
        </w:rPr>
        <w:t>Journal of Business Logistics</w:t>
      </w:r>
      <w:r w:rsidRPr="00AF27DB">
        <w:rPr>
          <w:color w:val="000000"/>
        </w:rPr>
        <w:t xml:space="preserve"> 34</w:t>
      </w:r>
      <w:r w:rsidR="00614B60" w:rsidRPr="00AF27DB">
        <w:rPr>
          <w:color w:val="000000"/>
        </w:rPr>
        <w:t xml:space="preserve"> (</w:t>
      </w:r>
      <w:r w:rsidRPr="00AF27DB">
        <w:rPr>
          <w:color w:val="000000"/>
        </w:rPr>
        <w:t>1</w:t>
      </w:r>
      <w:r w:rsidR="00614B60" w:rsidRPr="00AF27DB">
        <w:rPr>
          <w:color w:val="000000"/>
        </w:rPr>
        <w:t>):</w:t>
      </w:r>
      <w:r w:rsidRPr="00AF27DB">
        <w:rPr>
          <w:color w:val="000000"/>
        </w:rPr>
        <w:t xml:space="preserve"> 46–76</w:t>
      </w:r>
      <w:r w:rsidRPr="00AF27DB">
        <w:rPr>
          <w:color w:val="000000"/>
          <w:lang w:eastAsia="zh-CN"/>
        </w:rPr>
        <w:t>.</w:t>
      </w:r>
    </w:p>
    <w:p w14:paraId="2936901E" w14:textId="77777777" w:rsidR="00CF23FC" w:rsidRPr="00AF27DB" w:rsidRDefault="00CF23FC" w:rsidP="007A1D19">
      <w:pPr>
        <w:spacing w:after="240"/>
        <w:ind w:left="567" w:hanging="567"/>
        <w:jc w:val="both"/>
      </w:pPr>
      <w:r w:rsidRPr="00AF27DB">
        <w:t xml:space="preserve">PwC, </w:t>
      </w:r>
      <w:r w:rsidRPr="00AF27DB">
        <w:rPr>
          <w:i/>
        </w:rPr>
        <w:t>PwC’s Supplier Risk Management Study 2013</w:t>
      </w:r>
      <w:r w:rsidRPr="00AF27DB">
        <w:t>, https://www.pwc.com.au/assurance/assets/supplier-risk-management-study-27nov13.pdf, 2013.</w:t>
      </w:r>
    </w:p>
    <w:p w14:paraId="19441BDC" w14:textId="0859B27C" w:rsidR="00D745DD" w:rsidRPr="00AF27DB" w:rsidRDefault="00D745DD" w:rsidP="007A1D19">
      <w:pPr>
        <w:spacing w:after="240"/>
        <w:ind w:left="567" w:hanging="567"/>
        <w:jc w:val="both"/>
        <w:rPr>
          <w:color w:val="000000"/>
          <w:lang w:eastAsia="zh-CN"/>
        </w:rPr>
      </w:pPr>
      <w:r w:rsidRPr="00AF27DB">
        <w:rPr>
          <w:noProof/>
        </w:rPr>
        <w:t>Rossetti</w:t>
      </w:r>
      <w:r w:rsidR="00866495" w:rsidRPr="00AF27DB">
        <w:rPr>
          <w:noProof/>
        </w:rPr>
        <w:t>, C.,</w:t>
      </w:r>
      <w:r w:rsidRPr="00AF27DB">
        <w:rPr>
          <w:noProof/>
        </w:rPr>
        <w:t xml:space="preserve"> and Choi,</w:t>
      </w:r>
      <w:r w:rsidR="00866495" w:rsidRPr="00AF27DB">
        <w:rPr>
          <w:noProof/>
        </w:rPr>
        <w:t xml:space="preserve"> T.Y. 2005.</w:t>
      </w:r>
      <w:r w:rsidRPr="00AF27DB">
        <w:rPr>
          <w:noProof/>
        </w:rPr>
        <w:t xml:space="preserve"> “On the </w:t>
      </w:r>
      <w:r w:rsidR="00866495" w:rsidRPr="00AF27DB">
        <w:rPr>
          <w:noProof/>
        </w:rPr>
        <w:t>D</w:t>
      </w:r>
      <w:r w:rsidRPr="00AF27DB">
        <w:rPr>
          <w:noProof/>
        </w:rPr>
        <w:t xml:space="preserve">ark </w:t>
      </w:r>
      <w:r w:rsidR="00866495" w:rsidRPr="00AF27DB">
        <w:rPr>
          <w:noProof/>
        </w:rPr>
        <w:t>S</w:t>
      </w:r>
      <w:r w:rsidRPr="00AF27DB">
        <w:rPr>
          <w:noProof/>
        </w:rPr>
        <w:t xml:space="preserve">ide of </w:t>
      </w:r>
      <w:r w:rsidR="00866495" w:rsidRPr="00AF27DB">
        <w:rPr>
          <w:noProof/>
        </w:rPr>
        <w:t>S</w:t>
      </w:r>
      <w:r w:rsidRPr="00AF27DB">
        <w:rPr>
          <w:noProof/>
        </w:rPr>
        <w:t xml:space="preserve">trategic </w:t>
      </w:r>
      <w:r w:rsidR="00866495" w:rsidRPr="00AF27DB">
        <w:rPr>
          <w:noProof/>
        </w:rPr>
        <w:t>S</w:t>
      </w:r>
      <w:r w:rsidRPr="00AF27DB">
        <w:rPr>
          <w:noProof/>
        </w:rPr>
        <w:t xml:space="preserve">ourcing: Experiences from the </w:t>
      </w:r>
      <w:r w:rsidR="00866495" w:rsidRPr="00AF27DB">
        <w:rPr>
          <w:noProof/>
        </w:rPr>
        <w:t>A</w:t>
      </w:r>
      <w:r w:rsidRPr="00AF27DB">
        <w:rPr>
          <w:noProof/>
        </w:rPr>
        <w:t xml:space="preserve">erospace </w:t>
      </w:r>
      <w:r w:rsidR="00866495" w:rsidRPr="00AF27DB">
        <w:rPr>
          <w:noProof/>
        </w:rPr>
        <w:t>I</w:t>
      </w:r>
      <w:r w:rsidRPr="00AF27DB">
        <w:rPr>
          <w:noProof/>
        </w:rPr>
        <w:t>ndustry</w:t>
      </w:r>
      <w:r w:rsidR="00866495" w:rsidRPr="00AF27DB">
        <w:rPr>
          <w:noProof/>
        </w:rPr>
        <w:t>.”</w:t>
      </w:r>
      <w:r w:rsidRPr="00AF27DB">
        <w:rPr>
          <w:noProof/>
        </w:rPr>
        <w:t xml:space="preserve"> </w:t>
      </w:r>
      <w:r w:rsidRPr="00AF27DB">
        <w:rPr>
          <w:i/>
          <w:noProof/>
        </w:rPr>
        <w:t>The Academy of Management Executive</w:t>
      </w:r>
      <w:r w:rsidRPr="00AF27DB">
        <w:rPr>
          <w:b/>
          <w:noProof/>
        </w:rPr>
        <w:t xml:space="preserve"> </w:t>
      </w:r>
      <w:r w:rsidRPr="00AF27DB">
        <w:rPr>
          <w:noProof/>
        </w:rPr>
        <w:t xml:space="preserve">19 </w:t>
      </w:r>
      <w:r w:rsidR="00866495" w:rsidRPr="00AF27DB">
        <w:rPr>
          <w:noProof/>
        </w:rPr>
        <w:t>(</w:t>
      </w:r>
      <w:r w:rsidRPr="00AF27DB">
        <w:rPr>
          <w:noProof/>
        </w:rPr>
        <w:t>1</w:t>
      </w:r>
      <w:r w:rsidR="00866495" w:rsidRPr="00AF27DB">
        <w:rPr>
          <w:noProof/>
        </w:rPr>
        <w:t>):</w:t>
      </w:r>
      <w:r w:rsidRPr="00AF27DB">
        <w:rPr>
          <w:noProof/>
        </w:rPr>
        <w:t xml:space="preserve"> 46</w:t>
      </w:r>
      <w:r w:rsidRPr="00AF27DB">
        <w:t>–</w:t>
      </w:r>
      <w:r w:rsidRPr="00AF27DB">
        <w:rPr>
          <w:noProof/>
        </w:rPr>
        <w:t>60.</w:t>
      </w:r>
    </w:p>
    <w:p w14:paraId="480A3E22" w14:textId="054A863E" w:rsidR="0035014E" w:rsidRPr="00AF27DB" w:rsidRDefault="0035014E" w:rsidP="007A1D19">
      <w:pPr>
        <w:spacing w:after="240"/>
        <w:ind w:left="567" w:hanging="567"/>
        <w:jc w:val="both"/>
        <w:rPr>
          <w:noProof/>
        </w:rPr>
      </w:pPr>
      <w:r w:rsidRPr="00AF27DB">
        <w:rPr>
          <w:noProof/>
        </w:rPr>
        <w:t>Wagner</w:t>
      </w:r>
      <w:r w:rsidR="00E42563" w:rsidRPr="00AF27DB">
        <w:rPr>
          <w:noProof/>
        </w:rPr>
        <w:t>, S.M.,</w:t>
      </w:r>
      <w:r w:rsidRPr="00AF27DB">
        <w:rPr>
          <w:noProof/>
        </w:rPr>
        <w:t xml:space="preserve"> and Bode,</w:t>
      </w:r>
      <w:r w:rsidR="00E42563" w:rsidRPr="00AF27DB">
        <w:rPr>
          <w:noProof/>
        </w:rPr>
        <w:t xml:space="preserve"> C. 2006.</w:t>
      </w:r>
      <w:r w:rsidRPr="00AF27DB">
        <w:rPr>
          <w:noProof/>
        </w:rPr>
        <w:t xml:space="preserve"> “An </w:t>
      </w:r>
      <w:r w:rsidR="00E42563" w:rsidRPr="00AF27DB">
        <w:rPr>
          <w:noProof/>
        </w:rPr>
        <w:t>E</w:t>
      </w:r>
      <w:r w:rsidRPr="00AF27DB">
        <w:rPr>
          <w:noProof/>
        </w:rPr>
        <w:t xml:space="preserve">mpirical </w:t>
      </w:r>
      <w:r w:rsidR="00E42563" w:rsidRPr="00AF27DB">
        <w:rPr>
          <w:noProof/>
        </w:rPr>
        <w:t>I</w:t>
      </w:r>
      <w:r w:rsidRPr="00AF27DB">
        <w:rPr>
          <w:noProof/>
        </w:rPr>
        <w:t xml:space="preserve">nvestigation into </w:t>
      </w:r>
      <w:r w:rsidR="00E42563" w:rsidRPr="00AF27DB">
        <w:rPr>
          <w:noProof/>
        </w:rPr>
        <w:t>S</w:t>
      </w:r>
      <w:r w:rsidRPr="00AF27DB">
        <w:rPr>
          <w:noProof/>
        </w:rPr>
        <w:t xml:space="preserve">upply </w:t>
      </w:r>
      <w:r w:rsidR="00E42563" w:rsidRPr="00AF27DB">
        <w:rPr>
          <w:noProof/>
        </w:rPr>
        <w:t>C</w:t>
      </w:r>
      <w:r w:rsidRPr="00AF27DB">
        <w:rPr>
          <w:noProof/>
        </w:rPr>
        <w:t xml:space="preserve">hain </w:t>
      </w:r>
      <w:r w:rsidR="00E42563" w:rsidRPr="00AF27DB">
        <w:rPr>
          <w:noProof/>
        </w:rPr>
        <w:t>V</w:t>
      </w:r>
      <w:r w:rsidRPr="00AF27DB">
        <w:rPr>
          <w:noProof/>
        </w:rPr>
        <w:t>ulnerability</w:t>
      </w:r>
      <w:r w:rsidR="00E42563" w:rsidRPr="00AF27DB">
        <w:rPr>
          <w:noProof/>
        </w:rPr>
        <w:t>.</w:t>
      </w:r>
      <w:r w:rsidRPr="00AF27DB">
        <w:rPr>
          <w:noProof/>
        </w:rPr>
        <w:t xml:space="preserve">” </w:t>
      </w:r>
      <w:r w:rsidRPr="00AF27DB">
        <w:rPr>
          <w:i/>
          <w:noProof/>
        </w:rPr>
        <w:t>Journal of Purchasing and Supply Management</w:t>
      </w:r>
      <w:r w:rsidRPr="00AF27DB">
        <w:rPr>
          <w:noProof/>
        </w:rPr>
        <w:t xml:space="preserve"> 12 </w:t>
      </w:r>
      <w:r w:rsidR="00E42563" w:rsidRPr="00AF27DB">
        <w:rPr>
          <w:noProof/>
        </w:rPr>
        <w:t>(</w:t>
      </w:r>
      <w:r w:rsidRPr="00AF27DB">
        <w:rPr>
          <w:noProof/>
        </w:rPr>
        <w:t>6</w:t>
      </w:r>
      <w:r w:rsidR="00E42563" w:rsidRPr="00AF27DB">
        <w:rPr>
          <w:noProof/>
        </w:rPr>
        <w:t>):</w:t>
      </w:r>
      <w:r w:rsidRPr="00AF27DB">
        <w:rPr>
          <w:noProof/>
        </w:rPr>
        <w:t xml:space="preserve"> 301</w:t>
      </w:r>
      <w:r w:rsidRPr="00AF27DB">
        <w:t>–</w:t>
      </w:r>
      <w:r w:rsidRPr="00AF27DB">
        <w:rPr>
          <w:noProof/>
        </w:rPr>
        <w:t>12.</w:t>
      </w:r>
    </w:p>
    <w:p w14:paraId="71EDAACB" w14:textId="6C287048" w:rsidR="009B7BAB" w:rsidRDefault="009B7BAB" w:rsidP="007A1D19">
      <w:pPr>
        <w:spacing w:after="240"/>
        <w:ind w:left="567" w:hanging="567"/>
        <w:jc w:val="both"/>
        <w:rPr>
          <w:noProof/>
        </w:rPr>
      </w:pPr>
      <w:r w:rsidRPr="00CD265B">
        <w:rPr>
          <w:noProof/>
        </w:rPr>
        <w:t xml:space="preserve">World-Bank. </w:t>
      </w:r>
      <w:r w:rsidRPr="00CD265B">
        <w:rPr>
          <w:i/>
          <w:noProof/>
        </w:rPr>
        <w:t>GDP 2015</w:t>
      </w:r>
      <w:r w:rsidRPr="00CD265B">
        <w:rPr>
          <w:noProof/>
        </w:rPr>
        <w:t>. http://databank.worldbank.org/data/download/GDP.pdf.</w:t>
      </w:r>
    </w:p>
    <w:p w14:paraId="0CCB6D94" w14:textId="164BB865" w:rsidR="00CF23FC" w:rsidRPr="00AF27DB" w:rsidRDefault="00CF23FC" w:rsidP="007A1D19">
      <w:pPr>
        <w:spacing w:after="240"/>
        <w:ind w:left="567" w:hanging="567"/>
        <w:jc w:val="both"/>
        <w:rPr>
          <w:noProof/>
        </w:rPr>
      </w:pPr>
      <w:r w:rsidRPr="00AF27DB">
        <w:rPr>
          <w:noProof/>
        </w:rPr>
        <w:t>Yin,</w:t>
      </w:r>
      <w:r w:rsidR="00E42563" w:rsidRPr="00AF27DB">
        <w:rPr>
          <w:noProof/>
        </w:rPr>
        <w:t xml:space="preserve"> R.K. 2009.</w:t>
      </w:r>
      <w:r w:rsidRPr="00AF27DB">
        <w:rPr>
          <w:noProof/>
        </w:rPr>
        <w:t xml:space="preserve"> </w:t>
      </w:r>
      <w:r w:rsidRPr="00AF27DB">
        <w:rPr>
          <w:i/>
          <w:noProof/>
        </w:rPr>
        <w:t>Case Study Research</w:t>
      </w:r>
      <w:r w:rsidRPr="00AF27DB">
        <w:rPr>
          <w:noProof/>
        </w:rPr>
        <w:t>. 4th Edition</w:t>
      </w:r>
      <w:r w:rsidR="00E42563" w:rsidRPr="00AF27DB">
        <w:rPr>
          <w:noProof/>
        </w:rPr>
        <w:t>.</w:t>
      </w:r>
      <w:r w:rsidRPr="00AF27DB">
        <w:rPr>
          <w:noProof/>
        </w:rPr>
        <w:t xml:space="preserve"> London, UK: Sage Publication.</w:t>
      </w:r>
    </w:p>
    <w:p w14:paraId="354D6C2F" w14:textId="350A6F24" w:rsidR="00CF23FC" w:rsidRPr="00AF27DB" w:rsidRDefault="00CF23FC" w:rsidP="007A1D19">
      <w:pPr>
        <w:spacing w:after="240"/>
        <w:ind w:left="567" w:hanging="567"/>
        <w:jc w:val="both"/>
        <w:rPr>
          <w:color w:val="000000"/>
          <w:lang w:eastAsia="zh-CN"/>
        </w:rPr>
      </w:pPr>
      <w:r w:rsidRPr="00AF27DB">
        <w:rPr>
          <w:color w:val="000000"/>
          <w:lang w:eastAsia="zh-CN"/>
        </w:rPr>
        <w:t>Yu,</w:t>
      </w:r>
      <w:r w:rsidR="00E42563" w:rsidRPr="00AF27DB">
        <w:rPr>
          <w:color w:val="000000"/>
          <w:lang w:eastAsia="zh-CN"/>
        </w:rPr>
        <w:t xml:space="preserve"> H.,</w:t>
      </w:r>
      <w:r w:rsidRPr="00AF27DB">
        <w:rPr>
          <w:color w:val="000000"/>
          <w:lang w:eastAsia="zh-CN"/>
        </w:rPr>
        <w:t xml:space="preserve"> Zeng,</w:t>
      </w:r>
      <w:r w:rsidR="00E42563" w:rsidRPr="00AF27DB">
        <w:rPr>
          <w:color w:val="000000"/>
          <w:lang w:eastAsia="zh-CN"/>
        </w:rPr>
        <w:t xml:space="preserve"> A.Z.,</w:t>
      </w:r>
      <w:r w:rsidRPr="00AF27DB">
        <w:rPr>
          <w:color w:val="000000"/>
          <w:lang w:eastAsia="zh-CN"/>
        </w:rPr>
        <w:t xml:space="preserve"> and Zhao,</w:t>
      </w:r>
      <w:r w:rsidR="00E42563" w:rsidRPr="00AF27DB">
        <w:rPr>
          <w:color w:val="000000"/>
          <w:lang w:eastAsia="zh-CN"/>
        </w:rPr>
        <w:t xml:space="preserve"> L. 2009.</w:t>
      </w:r>
      <w:r w:rsidRPr="00AF27DB">
        <w:rPr>
          <w:color w:val="000000"/>
          <w:lang w:eastAsia="zh-CN"/>
        </w:rPr>
        <w:t xml:space="preserve"> “Single or </w:t>
      </w:r>
      <w:r w:rsidR="00E42563" w:rsidRPr="00AF27DB">
        <w:rPr>
          <w:color w:val="000000"/>
          <w:lang w:eastAsia="zh-CN"/>
        </w:rPr>
        <w:t>D</w:t>
      </w:r>
      <w:r w:rsidRPr="00AF27DB">
        <w:rPr>
          <w:color w:val="000000"/>
          <w:lang w:eastAsia="zh-CN"/>
        </w:rPr>
        <w:t xml:space="preserve">ual </w:t>
      </w:r>
      <w:r w:rsidR="00E42563" w:rsidRPr="00AF27DB">
        <w:rPr>
          <w:color w:val="000000"/>
          <w:lang w:eastAsia="zh-CN"/>
        </w:rPr>
        <w:t>S</w:t>
      </w:r>
      <w:r w:rsidRPr="00AF27DB">
        <w:rPr>
          <w:color w:val="000000"/>
          <w:lang w:eastAsia="zh-CN"/>
        </w:rPr>
        <w:t xml:space="preserve">ourcing: Decision-making in the </w:t>
      </w:r>
      <w:r w:rsidR="00E42563" w:rsidRPr="00AF27DB">
        <w:rPr>
          <w:color w:val="000000"/>
          <w:lang w:eastAsia="zh-CN"/>
        </w:rPr>
        <w:t>P</w:t>
      </w:r>
      <w:r w:rsidRPr="00AF27DB">
        <w:rPr>
          <w:color w:val="000000"/>
          <w:lang w:eastAsia="zh-CN"/>
        </w:rPr>
        <w:t xml:space="preserve">resence of </w:t>
      </w:r>
      <w:r w:rsidR="00E42563" w:rsidRPr="00AF27DB">
        <w:rPr>
          <w:color w:val="000000"/>
          <w:lang w:eastAsia="zh-CN"/>
        </w:rPr>
        <w:t>S</w:t>
      </w:r>
      <w:r w:rsidRPr="00AF27DB">
        <w:rPr>
          <w:color w:val="000000"/>
          <w:lang w:eastAsia="zh-CN"/>
        </w:rPr>
        <w:t xml:space="preserve">upply </w:t>
      </w:r>
      <w:r w:rsidR="00E42563" w:rsidRPr="00AF27DB">
        <w:rPr>
          <w:color w:val="000000"/>
          <w:lang w:eastAsia="zh-CN"/>
        </w:rPr>
        <w:t>C</w:t>
      </w:r>
      <w:r w:rsidRPr="00AF27DB">
        <w:rPr>
          <w:color w:val="000000"/>
          <w:lang w:eastAsia="zh-CN"/>
        </w:rPr>
        <w:t xml:space="preserve">hain </w:t>
      </w:r>
      <w:r w:rsidR="00E42563" w:rsidRPr="00AF27DB">
        <w:rPr>
          <w:color w:val="000000"/>
          <w:lang w:eastAsia="zh-CN"/>
        </w:rPr>
        <w:t>D</w:t>
      </w:r>
      <w:r w:rsidRPr="00AF27DB">
        <w:rPr>
          <w:color w:val="000000"/>
          <w:lang w:eastAsia="zh-CN"/>
        </w:rPr>
        <w:t xml:space="preserve">isruption </w:t>
      </w:r>
      <w:r w:rsidR="00E42563" w:rsidRPr="00AF27DB">
        <w:rPr>
          <w:color w:val="000000"/>
          <w:lang w:eastAsia="zh-CN"/>
        </w:rPr>
        <w:t>Risks.</w:t>
      </w:r>
      <w:r w:rsidRPr="00AF27DB">
        <w:rPr>
          <w:color w:val="000000"/>
          <w:lang w:eastAsia="zh-CN"/>
        </w:rPr>
        <w:t xml:space="preserve">” </w:t>
      </w:r>
      <w:r w:rsidRPr="00AF27DB">
        <w:rPr>
          <w:i/>
          <w:color w:val="000000"/>
          <w:lang w:eastAsia="zh-CN"/>
        </w:rPr>
        <w:t>Omega</w:t>
      </w:r>
      <w:r w:rsidRPr="00AF27DB">
        <w:rPr>
          <w:color w:val="000000"/>
          <w:lang w:eastAsia="zh-CN"/>
        </w:rPr>
        <w:t xml:space="preserve"> 37 </w:t>
      </w:r>
      <w:r w:rsidR="00E42563" w:rsidRPr="00AF27DB">
        <w:rPr>
          <w:color w:val="000000"/>
          <w:lang w:eastAsia="zh-CN"/>
        </w:rPr>
        <w:t>(</w:t>
      </w:r>
      <w:r w:rsidRPr="00AF27DB">
        <w:rPr>
          <w:color w:val="000000"/>
          <w:lang w:eastAsia="zh-CN"/>
        </w:rPr>
        <w:t>4</w:t>
      </w:r>
      <w:r w:rsidR="00E42563" w:rsidRPr="00AF27DB">
        <w:rPr>
          <w:color w:val="000000"/>
          <w:lang w:eastAsia="zh-CN"/>
        </w:rPr>
        <w:t>):</w:t>
      </w:r>
      <w:r w:rsidRPr="00AF27DB">
        <w:rPr>
          <w:color w:val="000000"/>
          <w:lang w:eastAsia="zh-CN"/>
        </w:rPr>
        <w:t xml:space="preserve"> 788–800.</w:t>
      </w:r>
    </w:p>
    <w:p w14:paraId="7711B940" w14:textId="7358E1AC" w:rsidR="00CF23FC" w:rsidRPr="00CD265B" w:rsidRDefault="00E42563" w:rsidP="007A1D19">
      <w:pPr>
        <w:spacing w:after="240"/>
        <w:ind w:left="567" w:hanging="567"/>
        <w:jc w:val="both"/>
        <w:rPr>
          <w:noProof/>
        </w:rPr>
      </w:pPr>
      <w:r w:rsidRPr="00AF27DB">
        <w:t xml:space="preserve">Zsidisin, G.A., </w:t>
      </w:r>
      <w:r w:rsidR="00CF23FC" w:rsidRPr="00AF27DB">
        <w:rPr>
          <w:noProof/>
        </w:rPr>
        <w:t>Panelli,</w:t>
      </w:r>
      <w:r w:rsidRPr="00AF27DB">
        <w:rPr>
          <w:noProof/>
        </w:rPr>
        <w:t xml:space="preserve"> A.,</w:t>
      </w:r>
      <w:r w:rsidR="00CF23FC" w:rsidRPr="00AF27DB">
        <w:rPr>
          <w:noProof/>
        </w:rPr>
        <w:t xml:space="preserve"> and Upton,</w:t>
      </w:r>
      <w:r w:rsidRPr="00AF27DB">
        <w:rPr>
          <w:noProof/>
        </w:rPr>
        <w:t xml:space="preserve"> R. 2000.</w:t>
      </w:r>
      <w:r w:rsidR="00CF23FC" w:rsidRPr="00AF27DB">
        <w:rPr>
          <w:noProof/>
        </w:rPr>
        <w:t xml:space="preserve"> “Purchasing </w:t>
      </w:r>
      <w:r w:rsidRPr="00AF27DB">
        <w:rPr>
          <w:noProof/>
        </w:rPr>
        <w:t>O</w:t>
      </w:r>
      <w:r w:rsidR="00CF23FC" w:rsidRPr="00AF27DB">
        <w:rPr>
          <w:noProof/>
        </w:rPr>
        <w:t xml:space="preserve">rganization </w:t>
      </w:r>
      <w:r w:rsidRPr="00AF27DB">
        <w:rPr>
          <w:noProof/>
        </w:rPr>
        <w:t>I</w:t>
      </w:r>
      <w:r w:rsidR="00CF23FC" w:rsidRPr="00AF27DB">
        <w:rPr>
          <w:noProof/>
        </w:rPr>
        <w:t xml:space="preserve">nvolvement in </w:t>
      </w:r>
      <w:r w:rsidRPr="00AF27DB">
        <w:rPr>
          <w:noProof/>
        </w:rPr>
        <w:t>R</w:t>
      </w:r>
      <w:r w:rsidR="00CF23FC" w:rsidRPr="00AF27DB">
        <w:rPr>
          <w:noProof/>
        </w:rPr>
        <w:t xml:space="preserve">isk </w:t>
      </w:r>
      <w:r w:rsidRPr="00AF27DB">
        <w:rPr>
          <w:noProof/>
        </w:rPr>
        <w:t>A</w:t>
      </w:r>
      <w:r w:rsidR="00CF23FC" w:rsidRPr="00AF27DB">
        <w:rPr>
          <w:noProof/>
        </w:rPr>
        <w:t xml:space="preserve">ssessments, </w:t>
      </w:r>
      <w:r w:rsidRPr="00AF27DB">
        <w:rPr>
          <w:noProof/>
        </w:rPr>
        <w:t>C</w:t>
      </w:r>
      <w:r w:rsidR="00CF23FC" w:rsidRPr="00AF27DB">
        <w:rPr>
          <w:noProof/>
        </w:rPr>
        <w:t xml:space="preserve">ontingency </w:t>
      </w:r>
      <w:r w:rsidRPr="00AF27DB">
        <w:rPr>
          <w:noProof/>
        </w:rPr>
        <w:t>P</w:t>
      </w:r>
      <w:r w:rsidR="00CF23FC" w:rsidRPr="00AF27DB">
        <w:rPr>
          <w:noProof/>
        </w:rPr>
        <w:t xml:space="preserve">lans, and </w:t>
      </w:r>
      <w:r w:rsidRPr="00AF27DB">
        <w:rPr>
          <w:noProof/>
        </w:rPr>
        <w:t>R</w:t>
      </w:r>
      <w:r w:rsidR="00CF23FC" w:rsidRPr="00AF27DB">
        <w:rPr>
          <w:noProof/>
        </w:rPr>
        <w:t xml:space="preserve">isk </w:t>
      </w:r>
      <w:r w:rsidRPr="00AF27DB">
        <w:rPr>
          <w:noProof/>
        </w:rPr>
        <w:t>M</w:t>
      </w:r>
      <w:r w:rsidR="00CF23FC" w:rsidRPr="00AF27DB">
        <w:rPr>
          <w:noProof/>
        </w:rPr>
        <w:t xml:space="preserve">anagement: </w:t>
      </w:r>
      <w:r w:rsidRPr="00AF27DB">
        <w:rPr>
          <w:noProof/>
        </w:rPr>
        <w:t>A</w:t>
      </w:r>
      <w:r w:rsidR="00CF23FC" w:rsidRPr="00AF27DB">
        <w:rPr>
          <w:noProof/>
        </w:rPr>
        <w:t xml:space="preserve">n </w:t>
      </w:r>
      <w:r w:rsidRPr="00AF27DB">
        <w:rPr>
          <w:noProof/>
        </w:rPr>
        <w:t>E</w:t>
      </w:r>
      <w:r w:rsidR="00CF23FC" w:rsidRPr="00AF27DB">
        <w:rPr>
          <w:noProof/>
        </w:rPr>
        <w:t xml:space="preserve">xploratory </w:t>
      </w:r>
      <w:r w:rsidRPr="00AF27DB">
        <w:rPr>
          <w:noProof/>
        </w:rPr>
        <w:t>S</w:t>
      </w:r>
      <w:r w:rsidR="00CF23FC" w:rsidRPr="00AF27DB">
        <w:rPr>
          <w:noProof/>
        </w:rPr>
        <w:t>tudy</w:t>
      </w:r>
      <w:r w:rsidRPr="00AF27DB">
        <w:rPr>
          <w:noProof/>
        </w:rPr>
        <w:t>.</w:t>
      </w:r>
      <w:r w:rsidR="00CF23FC" w:rsidRPr="00AF27DB">
        <w:rPr>
          <w:noProof/>
        </w:rPr>
        <w:t xml:space="preserve">” </w:t>
      </w:r>
      <w:r w:rsidR="00CF23FC" w:rsidRPr="00AF27DB">
        <w:rPr>
          <w:i/>
          <w:noProof/>
        </w:rPr>
        <w:t>Supply Chain Management: An International Journal</w:t>
      </w:r>
      <w:r w:rsidR="00CF23FC" w:rsidRPr="00AF27DB">
        <w:rPr>
          <w:noProof/>
        </w:rPr>
        <w:t xml:space="preserve"> 5 </w:t>
      </w:r>
      <w:r w:rsidRPr="00AF27DB">
        <w:rPr>
          <w:noProof/>
        </w:rPr>
        <w:t>(</w:t>
      </w:r>
      <w:r w:rsidR="00CF23FC" w:rsidRPr="00AF27DB">
        <w:rPr>
          <w:noProof/>
        </w:rPr>
        <w:t>4</w:t>
      </w:r>
      <w:r w:rsidRPr="00AF27DB">
        <w:rPr>
          <w:noProof/>
        </w:rPr>
        <w:t>):</w:t>
      </w:r>
      <w:r w:rsidR="00CF23FC" w:rsidRPr="00AF27DB">
        <w:rPr>
          <w:noProof/>
        </w:rPr>
        <w:t xml:space="preserve"> 187–97.</w:t>
      </w:r>
    </w:p>
    <w:sectPr w:rsidR="00CF23FC" w:rsidRPr="00CD265B" w:rsidSect="003E6420">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F03A9A" w14:textId="77777777" w:rsidR="00BC2048" w:rsidRDefault="00BC2048" w:rsidP="00694111">
      <w:r>
        <w:separator/>
      </w:r>
    </w:p>
  </w:endnote>
  <w:endnote w:type="continuationSeparator" w:id="0">
    <w:p w14:paraId="21742F1C" w14:textId="77777777" w:rsidR="00BC2048" w:rsidRDefault="00BC2048" w:rsidP="00694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BB5B0" w14:textId="10B5FEA8" w:rsidR="003F14AB" w:rsidRDefault="003F14AB">
    <w:pPr>
      <w:pStyle w:val="Footer"/>
    </w:pPr>
    <w:r>
      <w:t>[</w:t>
    </w:r>
    <w:r>
      <w:fldChar w:fldCharType="begin"/>
    </w:r>
    <w:r>
      <w:instrText xml:space="preserve"> PAGE   \* MERGEFORMAT </w:instrText>
    </w:r>
    <w:r>
      <w:fldChar w:fldCharType="separate"/>
    </w:r>
    <w:r w:rsidR="009F0344">
      <w:rPr>
        <w:noProof/>
      </w:rPr>
      <w:t>2</w:t>
    </w:r>
    <w:r>
      <w:rPr>
        <w:noProof/>
      </w:rPr>
      <w:fldChar w:fldCharType="end"/>
    </w:r>
    <w: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1214998"/>
      <w:docPartObj>
        <w:docPartGallery w:val="Page Numbers (Bottom of Page)"/>
        <w:docPartUnique/>
      </w:docPartObj>
    </w:sdtPr>
    <w:sdtEndPr>
      <w:rPr>
        <w:noProof/>
      </w:rPr>
    </w:sdtEndPr>
    <w:sdtContent>
      <w:p w14:paraId="6E3772DC" w14:textId="10D7ED2E" w:rsidR="003F14AB" w:rsidRDefault="003F14AB">
        <w:pPr>
          <w:pStyle w:val="Footer"/>
          <w:jc w:val="center"/>
        </w:pPr>
        <w:r>
          <w:fldChar w:fldCharType="begin"/>
        </w:r>
        <w:r>
          <w:instrText xml:space="preserve"> PAGE   \* MERGEFORMAT </w:instrText>
        </w:r>
        <w:r>
          <w:fldChar w:fldCharType="separate"/>
        </w:r>
        <w:r w:rsidR="009F0344">
          <w:rPr>
            <w:noProof/>
          </w:rPr>
          <w:t>29</w:t>
        </w:r>
        <w:r>
          <w:rPr>
            <w:noProof/>
          </w:rPr>
          <w:fldChar w:fldCharType="end"/>
        </w:r>
      </w:p>
    </w:sdtContent>
  </w:sdt>
  <w:p w14:paraId="603E4B7F" w14:textId="77777777" w:rsidR="003F14AB" w:rsidRDefault="003F14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A3916F" w14:textId="77777777" w:rsidR="00BC2048" w:rsidRDefault="00BC2048" w:rsidP="00694111">
      <w:r>
        <w:separator/>
      </w:r>
    </w:p>
  </w:footnote>
  <w:footnote w:type="continuationSeparator" w:id="0">
    <w:p w14:paraId="0AF61597" w14:textId="77777777" w:rsidR="00BC2048" w:rsidRDefault="00BC2048" w:rsidP="006941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3467B"/>
    <w:multiLevelType w:val="hybridMultilevel"/>
    <w:tmpl w:val="A09CFB3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28C3A92"/>
    <w:multiLevelType w:val="hybridMultilevel"/>
    <w:tmpl w:val="6A72EED2"/>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 w15:restartNumberingAfterBreak="0">
    <w:nsid w:val="15080BA6"/>
    <w:multiLevelType w:val="hybridMultilevel"/>
    <w:tmpl w:val="5748C3F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5952AF9"/>
    <w:multiLevelType w:val="multilevel"/>
    <w:tmpl w:val="0407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190C07C2"/>
    <w:multiLevelType w:val="hybridMultilevel"/>
    <w:tmpl w:val="F64C8C3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15569D8"/>
    <w:multiLevelType w:val="hybridMultilevel"/>
    <w:tmpl w:val="F8903D5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77C674D"/>
    <w:multiLevelType w:val="multilevel"/>
    <w:tmpl w:val="0407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718"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7" w15:restartNumberingAfterBreak="0">
    <w:nsid w:val="2F5055F0"/>
    <w:multiLevelType w:val="hybridMultilevel"/>
    <w:tmpl w:val="A09CFB3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421603F3"/>
    <w:multiLevelType w:val="hybridMultilevel"/>
    <w:tmpl w:val="4716A6C6"/>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9" w15:restartNumberingAfterBreak="0">
    <w:nsid w:val="43AF61A0"/>
    <w:multiLevelType w:val="hybridMultilevel"/>
    <w:tmpl w:val="E97A71F2"/>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0" w15:restartNumberingAfterBreak="0">
    <w:nsid w:val="4D631344"/>
    <w:multiLevelType w:val="multilevel"/>
    <w:tmpl w:val="B608CD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1B146D3"/>
    <w:multiLevelType w:val="hybridMultilevel"/>
    <w:tmpl w:val="7C7AF4A4"/>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2" w15:restartNumberingAfterBreak="0">
    <w:nsid w:val="54AB5F2C"/>
    <w:multiLevelType w:val="hybridMultilevel"/>
    <w:tmpl w:val="F64C8C3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A2B6673"/>
    <w:multiLevelType w:val="hybridMultilevel"/>
    <w:tmpl w:val="C5A836C8"/>
    <w:lvl w:ilvl="0" w:tplc="32BE33F6">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7880B8D"/>
    <w:multiLevelType w:val="hybridMultilevel"/>
    <w:tmpl w:val="975068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2881D68"/>
    <w:multiLevelType w:val="hybridMultilevel"/>
    <w:tmpl w:val="858CBC42"/>
    <w:lvl w:ilvl="0" w:tplc="D65288B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34B58B2"/>
    <w:multiLevelType w:val="hybridMultilevel"/>
    <w:tmpl w:val="8B886EE0"/>
    <w:lvl w:ilvl="0" w:tplc="73F4DC22">
      <w:start w:val="1"/>
      <w:numFmt w:val="bullet"/>
      <w:pStyle w:val="ListBullet"/>
      <w:lvlText w:val="n"/>
      <w:lvlJc w:val="left"/>
      <w:pPr>
        <w:tabs>
          <w:tab w:val="num" w:pos="284"/>
        </w:tabs>
        <w:ind w:left="284" w:hanging="284"/>
      </w:pPr>
      <w:rPr>
        <w:rFonts w:ascii="Wingdings" w:hAnsi="Wingdings" w:hint="default"/>
        <w:color w:val="999999"/>
        <w:position w:val="-2"/>
        <w:sz w:val="22"/>
        <w:szCs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003DCD"/>
    <w:multiLevelType w:val="hybridMultilevel"/>
    <w:tmpl w:val="31EEDB20"/>
    <w:lvl w:ilvl="0" w:tplc="11428E0E">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6"/>
  </w:num>
  <w:num w:numId="4">
    <w:abstractNumId w:val="2"/>
  </w:num>
  <w:num w:numId="5">
    <w:abstractNumId w:val="13"/>
  </w:num>
  <w:num w:numId="6">
    <w:abstractNumId w:val="4"/>
  </w:num>
  <w:num w:numId="7">
    <w:abstractNumId w:val="12"/>
  </w:num>
  <w:num w:numId="8">
    <w:abstractNumId w:val="7"/>
  </w:num>
  <w:num w:numId="9">
    <w:abstractNumId w:val="0"/>
  </w:num>
  <w:num w:numId="10">
    <w:abstractNumId w:val="5"/>
  </w:num>
  <w:num w:numId="11">
    <w:abstractNumId w:val="15"/>
  </w:num>
  <w:num w:numId="12">
    <w:abstractNumId w:val="9"/>
  </w:num>
  <w:num w:numId="13">
    <w:abstractNumId w:val="8"/>
  </w:num>
  <w:num w:numId="14">
    <w:abstractNumId w:val="11"/>
  </w:num>
  <w:num w:numId="15">
    <w:abstractNumId w:val="1"/>
  </w:num>
  <w:num w:numId="16">
    <w:abstractNumId w:val="14"/>
  </w:num>
  <w:num w:numId="17">
    <w:abstractNumId w:val="17"/>
  </w:num>
  <w:num w:numId="1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567"/>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umber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a0xat0vvvptw5ze2zx1p9rwe20rtrpzp5xvp&quot;&gt;My EndNote Library&lt;record-ids&gt;&lt;item&gt;32&lt;/item&gt;&lt;item&gt;36&lt;/item&gt;&lt;item&gt;37&lt;/item&gt;&lt;item&gt;43&lt;/item&gt;&lt;item&gt;46&lt;/item&gt;&lt;item&gt;47&lt;/item&gt;&lt;item&gt;48&lt;/item&gt;&lt;item&gt;53&lt;/item&gt;&lt;item&gt;55&lt;/item&gt;&lt;item&gt;58&lt;/item&gt;&lt;item&gt;67&lt;/item&gt;&lt;item&gt;91&lt;/item&gt;&lt;item&gt;95&lt;/item&gt;&lt;item&gt;96&lt;/item&gt;&lt;item&gt;156&lt;/item&gt;&lt;item&gt;194&lt;/item&gt;&lt;item&gt;196&lt;/item&gt;&lt;item&gt;199&lt;/item&gt;&lt;item&gt;207&lt;/item&gt;&lt;item&gt;208&lt;/item&gt;&lt;item&gt;209&lt;/item&gt;&lt;item&gt;210&lt;/item&gt;&lt;item&gt;212&lt;/item&gt;&lt;item&gt;221&lt;/item&gt;&lt;item&gt;226&lt;/item&gt;&lt;item&gt;227&lt;/item&gt;&lt;item&gt;274&lt;/item&gt;&lt;item&gt;278&lt;/item&gt;&lt;item&gt;281&lt;/item&gt;&lt;item&gt;282&lt;/item&gt;&lt;item&gt;283&lt;/item&gt;&lt;item&gt;284&lt;/item&gt;&lt;item&gt;289&lt;/item&gt;&lt;item&gt;330&lt;/item&gt;&lt;item&gt;339&lt;/item&gt;&lt;item&gt;350&lt;/item&gt;&lt;item&gt;351&lt;/item&gt;&lt;item&gt;358&lt;/item&gt;&lt;item&gt;359&lt;/item&gt;&lt;item&gt;361&lt;/item&gt;&lt;item&gt;363&lt;/item&gt;&lt;item&gt;364&lt;/item&gt;&lt;item&gt;365&lt;/item&gt;&lt;item&gt;368&lt;/item&gt;&lt;item&gt;369&lt;/item&gt;&lt;item&gt;374&lt;/item&gt;&lt;item&gt;376&lt;/item&gt;&lt;item&gt;377&lt;/item&gt;&lt;item&gt;379&lt;/item&gt;&lt;item&gt;406&lt;/item&gt;&lt;item&gt;416&lt;/item&gt;&lt;item&gt;417&lt;/item&gt;&lt;item&gt;418&lt;/item&gt;&lt;item&gt;419&lt;/item&gt;&lt;item&gt;420&lt;/item&gt;&lt;item&gt;423&lt;/item&gt;&lt;item&gt;424&lt;/item&gt;&lt;item&gt;426&lt;/item&gt;&lt;item&gt;427&lt;/item&gt;&lt;item&gt;429&lt;/item&gt;&lt;item&gt;430&lt;/item&gt;&lt;item&gt;431&lt;/item&gt;&lt;/record-ids&gt;&lt;/item&gt;&lt;/Libraries&gt;"/>
  </w:docVars>
  <w:rsids>
    <w:rsidRoot w:val="0051576E"/>
    <w:rsid w:val="00000723"/>
    <w:rsid w:val="000011E3"/>
    <w:rsid w:val="00001EC4"/>
    <w:rsid w:val="000037D2"/>
    <w:rsid w:val="00004599"/>
    <w:rsid w:val="000072A8"/>
    <w:rsid w:val="00007392"/>
    <w:rsid w:val="000074A6"/>
    <w:rsid w:val="0001064C"/>
    <w:rsid w:val="00011B26"/>
    <w:rsid w:val="00013314"/>
    <w:rsid w:val="00014546"/>
    <w:rsid w:val="0001457A"/>
    <w:rsid w:val="000154E9"/>
    <w:rsid w:val="0001585C"/>
    <w:rsid w:val="00015F75"/>
    <w:rsid w:val="000163E9"/>
    <w:rsid w:val="00017D5E"/>
    <w:rsid w:val="00021327"/>
    <w:rsid w:val="00021695"/>
    <w:rsid w:val="00021C48"/>
    <w:rsid w:val="00021EEE"/>
    <w:rsid w:val="00022FD2"/>
    <w:rsid w:val="00024E22"/>
    <w:rsid w:val="0003431C"/>
    <w:rsid w:val="00034DEF"/>
    <w:rsid w:val="0003616F"/>
    <w:rsid w:val="0004062E"/>
    <w:rsid w:val="000416B9"/>
    <w:rsid w:val="00041913"/>
    <w:rsid w:val="00041E3A"/>
    <w:rsid w:val="00043022"/>
    <w:rsid w:val="000433C4"/>
    <w:rsid w:val="00047ED4"/>
    <w:rsid w:val="00050FEE"/>
    <w:rsid w:val="000530A5"/>
    <w:rsid w:val="0005324D"/>
    <w:rsid w:val="00054A8C"/>
    <w:rsid w:val="0005566E"/>
    <w:rsid w:val="00055F0B"/>
    <w:rsid w:val="000576EE"/>
    <w:rsid w:val="00064F7D"/>
    <w:rsid w:val="00070EA0"/>
    <w:rsid w:val="00071060"/>
    <w:rsid w:val="0007308A"/>
    <w:rsid w:val="00073336"/>
    <w:rsid w:val="00074C3E"/>
    <w:rsid w:val="0007546A"/>
    <w:rsid w:val="00076502"/>
    <w:rsid w:val="00077A0C"/>
    <w:rsid w:val="0008071F"/>
    <w:rsid w:val="000827E7"/>
    <w:rsid w:val="00082E81"/>
    <w:rsid w:val="0008372D"/>
    <w:rsid w:val="000869E1"/>
    <w:rsid w:val="00087D79"/>
    <w:rsid w:val="00091562"/>
    <w:rsid w:val="0009273A"/>
    <w:rsid w:val="000928F8"/>
    <w:rsid w:val="000958BC"/>
    <w:rsid w:val="00095EE4"/>
    <w:rsid w:val="000A0994"/>
    <w:rsid w:val="000A0BA2"/>
    <w:rsid w:val="000A316F"/>
    <w:rsid w:val="000A5518"/>
    <w:rsid w:val="000A6F6E"/>
    <w:rsid w:val="000B0EAF"/>
    <w:rsid w:val="000B4FEF"/>
    <w:rsid w:val="000B5E26"/>
    <w:rsid w:val="000C09EE"/>
    <w:rsid w:val="000C337C"/>
    <w:rsid w:val="000C43B4"/>
    <w:rsid w:val="000D25D7"/>
    <w:rsid w:val="000D4AA8"/>
    <w:rsid w:val="000D4AEA"/>
    <w:rsid w:val="000D6CC6"/>
    <w:rsid w:val="000E02E3"/>
    <w:rsid w:val="000E158D"/>
    <w:rsid w:val="000E3063"/>
    <w:rsid w:val="000E34B1"/>
    <w:rsid w:val="000E5AA1"/>
    <w:rsid w:val="000E606B"/>
    <w:rsid w:val="000E78EE"/>
    <w:rsid w:val="000E7C66"/>
    <w:rsid w:val="000E7D2D"/>
    <w:rsid w:val="000F0685"/>
    <w:rsid w:val="000F2B35"/>
    <w:rsid w:val="000F2CCF"/>
    <w:rsid w:val="000F3AD7"/>
    <w:rsid w:val="000F5E08"/>
    <w:rsid w:val="000F69AD"/>
    <w:rsid w:val="000F6F5D"/>
    <w:rsid w:val="001001C6"/>
    <w:rsid w:val="001013F4"/>
    <w:rsid w:val="00105560"/>
    <w:rsid w:val="001056FF"/>
    <w:rsid w:val="00105D37"/>
    <w:rsid w:val="00106D5B"/>
    <w:rsid w:val="00107580"/>
    <w:rsid w:val="00107B7D"/>
    <w:rsid w:val="00107F74"/>
    <w:rsid w:val="00110CB3"/>
    <w:rsid w:val="00110EDB"/>
    <w:rsid w:val="00112BA5"/>
    <w:rsid w:val="0011542F"/>
    <w:rsid w:val="00115D76"/>
    <w:rsid w:val="001203B5"/>
    <w:rsid w:val="00120AA4"/>
    <w:rsid w:val="00122CA7"/>
    <w:rsid w:val="00126B2E"/>
    <w:rsid w:val="00126CCD"/>
    <w:rsid w:val="00132FDA"/>
    <w:rsid w:val="00134825"/>
    <w:rsid w:val="00137283"/>
    <w:rsid w:val="00137836"/>
    <w:rsid w:val="00137944"/>
    <w:rsid w:val="001435D3"/>
    <w:rsid w:val="001440EC"/>
    <w:rsid w:val="00144282"/>
    <w:rsid w:val="00144B0D"/>
    <w:rsid w:val="00145842"/>
    <w:rsid w:val="00145EBA"/>
    <w:rsid w:val="00146172"/>
    <w:rsid w:val="0014645A"/>
    <w:rsid w:val="001472EC"/>
    <w:rsid w:val="00147314"/>
    <w:rsid w:val="00147859"/>
    <w:rsid w:val="00147D4B"/>
    <w:rsid w:val="00147FAD"/>
    <w:rsid w:val="0015316F"/>
    <w:rsid w:val="00155683"/>
    <w:rsid w:val="00155A7F"/>
    <w:rsid w:val="00156C15"/>
    <w:rsid w:val="0015788D"/>
    <w:rsid w:val="00160889"/>
    <w:rsid w:val="00162BF4"/>
    <w:rsid w:val="001632DA"/>
    <w:rsid w:val="0016391E"/>
    <w:rsid w:val="00165475"/>
    <w:rsid w:val="00166A7D"/>
    <w:rsid w:val="00173CAA"/>
    <w:rsid w:val="00174749"/>
    <w:rsid w:val="00174921"/>
    <w:rsid w:val="00176581"/>
    <w:rsid w:val="00180723"/>
    <w:rsid w:val="001831BD"/>
    <w:rsid w:val="00183557"/>
    <w:rsid w:val="00187719"/>
    <w:rsid w:val="00192204"/>
    <w:rsid w:val="001932D3"/>
    <w:rsid w:val="00193AF4"/>
    <w:rsid w:val="00196D3F"/>
    <w:rsid w:val="001A05E7"/>
    <w:rsid w:val="001A21C4"/>
    <w:rsid w:val="001A2534"/>
    <w:rsid w:val="001A39A4"/>
    <w:rsid w:val="001A4E87"/>
    <w:rsid w:val="001A6B81"/>
    <w:rsid w:val="001B10CB"/>
    <w:rsid w:val="001B40D5"/>
    <w:rsid w:val="001B779C"/>
    <w:rsid w:val="001C222F"/>
    <w:rsid w:val="001C42A9"/>
    <w:rsid w:val="001C5ECE"/>
    <w:rsid w:val="001C6C02"/>
    <w:rsid w:val="001C7446"/>
    <w:rsid w:val="001C773B"/>
    <w:rsid w:val="001D0CD5"/>
    <w:rsid w:val="001D10A3"/>
    <w:rsid w:val="001D16B6"/>
    <w:rsid w:val="001D27BF"/>
    <w:rsid w:val="001D31D3"/>
    <w:rsid w:val="001D3B08"/>
    <w:rsid w:val="001D4467"/>
    <w:rsid w:val="001D7405"/>
    <w:rsid w:val="001E1ABC"/>
    <w:rsid w:val="001E1ABF"/>
    <w:rsid w:val="001E49CE"/>
    <w:rsid w:val="001E5787"/>
    <w:rsid w:val="001E6693"/>
    <w:rsid w:val="001E6F76"/>
    <w:rsid w:val="001E71B5"/>
    <w:rsid w:val="001F148F"/>
    <w:rsid w:val="001F230D"/>
    <w:rsid w:val="001F31AC"/>
    <w:rsid w:val="001F5694"/>
    <w:rsid w:val="001F5A39"/>
    <w:rsid w:val="001F63C8"/>
    <w:rsid w:val="001F6C76"/>
    <w:rsid w:val="00202DBC"/>
    <w:rsid w:val="00205325"/>
    <w:rsid w:val="0020571B"/>
    <w:rsid w:val="002063DA"/>
    <w:rsid w:val="00206C4A"/>
    <w:rsid w:val="00206FF6"/>
    <w:rsid w:val="0021097C"/>
    <w:rsid w:val="002117F4"/>
    <w:rsid w:val="0021215D"/>
    <w:rsid w:val="0021477A"/>
    <w:rsid w:val="00217AE9"/>
    <w:rsid w:val="00221F50"/>
    <w:rsid w:val="00223021"/>
    <w:rsid w:val="00224275"/>
    <w:rsid w:val="002307A5"/>
    <w:rsid w:val="00230A54"/>
    <w:rsid w:val="002351EB"/>
    <w:rsid w:val="00236747"/>
    <w:rsid w:val="00241CE1"/>
    <w:rsid w:val="00242B61"/>
    <w:rsid w:val="00244B72"/>
    <w:rsid w:val="00252900"/>
    <w:rsid w:val="00254B9D"/>
    <w:rsid w:val="00255219"/>
    <w:rsid w:val="00255A82"/>
    <w:rsid w:val="002648BE"/>
    <w:rsid w:val="0026528D"/>
    <w:rsid w:val="00266CC5"/>
    <w:rsid w:val="00267694"/>
    <w:rsid w:val="0027004D"/>
    <w:rsid w:val="00270308"/>
    <w:rsid w:val="002721A8"/>
    <w:rsid w:val="00272F18"/>
    <w:rsid w:val="0027339A"/>
    <w:rsid w:val="00274045"/>
    <w:rsid w:val="0027688E"/>
    <w:rsid w:val="00280AE2"/>
    <w:rsid w:val="00281A7D"/>
    <w:rsid w:val="00284028"/>
    <w:rsid w:val="002858E1"/>
    <w:rsid w:val="00287EBF"/>
    <w:rsid w:val="0029061C"/>
    <w:rsid w:val="002940C9"/>
    <w:rsid w:val="002946F5"/>
    <w:rsid w:val="0029665E"/>
    <w:rsid w:val="00296A02"/>
    <w:rsid w:val="002A0693"/>
    <w:rsid w:val="002A0790"/>
    <w:rsid w:val="002A34A8"/>
    <w:rsid w:val="002A3ED0"/>
    <w:rsid w:val="002A4E00"/>
    <w:rsid w:val="002A5E9B"/>
    <w:rsid w:val="002B29C7"/>
    <w:rsid w:val="002B5F58"/>
    <w:rsid w:val="002B60BD"/>
    <w:rsid w:val="002B77BD"/>
    <w:rsid w:val="002C4609"/>
    <w:rsid w:val="002C46FA"/>
    <w:rsid w:val="002C48B6"/>
    <w:rsid w:val="002C6327"/>
    <w:rsid w:val="002C64DF"/>
    <w:rsid w:val="002C7148"/>
    <w:rsid w:val="002D0CF1"/>
    <w:rsid w:val="002D3909"/>
    <w:rsid w:val="002D470C"/>
    <w:rsid w:val="002D4E6C"/>
    <w:rsid w:val="002D5F29"/>
    <w:rsid w:val="002D5FD8"/>
    <w:rsid w:val="002D6B94"/>
    <w:rsid w:val="002D7066"/>
    <w:rsid w:val="002D7924"/>
    <w:rsid w:val="002D7FD3"/>
    <w:rsid w:val="002E0396"/>
    <w:rsid w:val="002E4127"/>
    <w:rsid w:val="002E7936"/>
    <w:rsid w:val="002E7B82"/>
    <w:rsid w:val="002F0806"/>
    <w:rsid w:val="002F0B68"/>
    <w:rsid w:val="002F23C1"/>
    <w:rsid w:val="002F5BE7"/>
    <w:rsid w:val="002F75F0"/>
    <w:rsid w:val="003013F5"/>
    <w:rsid w:val="0030162E"/>
    <w:rsid w:val="003040A9"/>
    <w:rsid w:val="00305874"/>
    <w:rsid w:val="003065DF"/>
    <w:rsid w:val="003073DD"/>
    <w:rsid w:val="00307E95"/>
    <w:rsid w:val="00310BB5"/>
    <w:rsid w:val="00312D6D"/>
    <w:rsid w:val="00315D11"/>
    <w:rsid w:val="0031666E"/>
    <w:rsid w:val="00316CF7"/>
    <w:rsid w:val="003211F6"/>
    <w:rsid w:val="0032363A"/>
    <w:rsid w:val="00324F42"/>
    <w:rsid w:val="003250B9"/>
    <w:rsid w:val="003259D7"/>
    <w:rsid w:val="0032734F"/>
    <w:rsid w:val="0033006A"/>
    <w:rsid w:val="00332FEB"/>
    <w:rsid w:val="003347E3"/>
    <w:rsid w:val="0033610C"/>
    <w:rsid w:val="00336B37"/>
    <w:rsid w:val="003371DB"/>
    <w:rsid w:val="00342986"/>
    <w:rsid w:val="00344EFC"/>
    <w:rsid w:val="0034588E"/>
    <w:rsid w:val="003461F4"/>
    <w:rsid w:val="00347D64"/>
    <w:rsid w:val="0035014E"/>
    <w:rsid w:val="00350852"/>
    <w:rsid w:val="003520F5"/>
    <w:rsid w:val="00353F9A"/>
    <w:rsid w:val="003551BB"/>
    <w:rsid w:val="00356FA0"/>
    <w:rsid w:val="003571C9"/>
    <w:rsid w:val="003573F4"/>
    <w:rsid w:val="003601D8"/>
    <w:rsid w:val="00361236"/>
    <w:rsid w:val="00361E1C"/>
    <w:rsid w:val="0036204E"/>
    <w:rsid w:val="003620A0"/>
    <w:rsid w:val="00363D40"/>
    <w:rsid w:val="00367ACA"/>
    <w:rsid w:val="00371CF3"/>
    <w:rsid w:val="00371D17"/>
    <w:rsid w:val="00371EE2"/>
    <w:rsid w:val="0037354D"/>
    <w:rsid w:val="00373829"/>
    <w:rsid w:val="003752C4"/>
    <w:rsid w:val="003762F3"/>
    <w:rsid w:val="00380605"/>
    <w:rsid w:val="00383366"/>
    <w:rsid w:val="00390E55"/>
    <w:rsid w:val="003938B2"/>
    <w:rsid w:val="003959C1"/>
    <w:rsid w:val="00395F4F"/>
    <w:rsid w:val="00397472"/>
    <w:rsid w:val="003A0CF7"/>
    <w:rsid w:val="003A14AF"/>
    <w:rsid w:val="003A19C2"/>
    <w:rsid w:val="003A1B2C"/>
    <w:rsid w:val="003A27C1"/>
    <w:rsid w:val="003A3C98"/>
    <w:rsid w:val="003B582C"/>
    <w:rsid w:val="003B630B"/>
    <w:rsid w:val="003B7CC9"/>
    <w:rsid w:val="003B7FC1"/>
    <w:rsid w:val="003C0F25"/>
    <w:rsid w:val="003C14BA"/>
    <w:rsid w:val="003C18F2"/>
    <w:rsid w:val="003C1DE4"/>
    <w:rsid w:val="003C21D3"/>
    <w:rsid w:val="003C2425"/>
    <w:rsid w:val="003C48D3"/>
    <w:rsid w:val="003C5CB1"/>
    <w:rsid w:val="003D2B01"/>
    <w:rsid w:val="003D59FB"/>
    <w:rsid w:val="003D79A3"/>
    <w:rsid w:val="003E3D42"/>
    <w:rsid w:val="003E51AE"/>
    <w:rsid w:val="003E6420"/>
    <w:rsid w:val="003E6C6F"/>
    <w:rsid w:val="003F042B"/>
    <w:rsid w:val="003F0E07"/>
    <w:rsid w:val="003F14AB"/>
    <w:rsid w:val="003F173D"/>
    <w:rsid w:val="003F3CCE"/>
    <w:rsid w:val="003F3DD9"/>
    <w:rsid w:val="003F444D"/>
    <w:rsid w:val="003F5E12"/>
    <w:rsid w:val="004011BD"/>
    <w:rsid w:val="00404D1D"/>
    <w:rsid w:val="00404D3D"/>
    <w:rsid w:val="004057E7"/>
    <w:rsid w:val="004060AD"/>
    <w:rsid w:val="00406344"/>
    <w:rsid w:val="0040791D"/>
    <w:rsid w:val="00407CD4"/>
    <w:rsid w:val="004115EE"/>
    <w:rsid w:val="00415896"/>
    <w:rsid w:val="00416E06"/>
    <w:rsid w:val="0042759E"/>
    <w:rsid w:val="0042781A"/>
    <w:rsid w:val="004310B0"/>
    <w:rsid w:val="00432AAA"/>
    <w:rsid w:val="00432BA2"/>
    <w:rsid w:val="00433257"/>
    <w:rsid w:val="00433285"/>
    <w:rsid w:val="004339F3"/>
    <w:rsid w:val="004342BF"/>
    <w:rsid w:val="004441AE"/>
    <w:rsid w:val="0044436E"/>
    <w:rsid w:val="004453D7"/>
    <w:rsid w:val="00445FAB"/>
    <w:rsid w:val="00447DEC"/>
    <w:rsid w:val="0045007A"/>
    <w:rsid w:val="00452F6A"/>
    <w:rsid w:val="0045341C"/>
    <w:rsid w:val="00454BE0"/>
    <w:rsid w:val="004567B1"/>
    <w:rsid w:val="00456DB6"/>
    <w:rsid w:val="00457A2C"/>
    <w:rsid w:val="004611DD"/>
    <w:rsid w:val="00461531"/>
    <w:rsid w:val="00464E32"/>
    <w:rsid w:val="004668E0"/>
    <w:rsid w:val="00467FFC"/>
    <w:rsid w:val="00470292"/>
    <w:rsid w:val="00475B2F"/>
    <w:rsid w:val="00476531"/>
    <w:rsid w:val="004774EE"/>
    <w:rsid w:val="004815A6"/>
    <w:rsid w:val="00482539"/>
    <w:rsid w:val="00484069"/>
    <w:rsid w:val="004845C5"/>
    <w:rsid w:val="00485F6A"/>
    <w:rsid w:val="004865F0"/>
    <w:rsid w:val="004867B9"/>
    <w:rsid w:val="0048733E"/>
    <w:rsid w:val="004873E5"/>
    <w:rsid w:val="0049044C"/>
    <w:rsid w:val="00490ADE"/>
    <w:rsid w:val="00492259"/>
    <w:rsid w:val="00493B7E"/>
    <w:rsid w:val="004947A9"/>
    <w:rsid w:val="0049562D"/>
    <w:rsid w:val="00497245"/>
    <w:rsid w:val="004A1C89"/>
    <w:rsid w:val="004A3DF0"/>
    <w:rsid w:val="004A7378"/>
    <w:rsid w:val="004B01BE"/>
    <w:rsid w:val="004B1951"/>
    <w:rsid w:val="004B1B21"/>
    <w:rsid w:val="004C1E12"/>
    <w:rsid w:val="004C2D47"/>
    <w:rsid w:val="004C4FDE"/>
    <w:rsid w:val="004C59FF"/>
    <w:rsid w:val="004C7396"/>
    <w:rsid w:val="004C73B9"/>
    <w:rsid w:val="004C7E04"/>
    <w:rsid w:val="004C7E2A"/>
    <w:rsid w:val="004C7F29"/>
    <w:rsid w:val="004D033B"/>
    <w:rsid w:val="004D07D2"/>
    <w:rsid w:val="004D1E69"/>
    <w:rsid w:val="004D2A97"/>
    <w:rsid w:val="004D5693"/>
    <w:rsid w:val="004D7674"/>
    <w:rsid w:val="004D7D7C"/>
    <w:rsid w:val="004E002D"/>
    <w:rsid w:val="004E002F"/>
    <w:rsid w:val="004E2171"/>
    <w:rsid w:val="004E2EC5"/>
    <w:rsid w:val="004E33B4"/>
    <w:rsid w:val="004E3E89"/>
    <w:rsid w:val="004E55AE"/>
    <w:rsid w:val="004F0379"/>
    <w:rsid w:val="004F1453"/>
    <w:rsid w:val="004F256B"/>
    <w:rsid w:val="004F284E"/>
    <w:rsid w:val="004F4180"/>
    <w:rsid w:val="0050036B"/>
    <w:rsid w:val="005017CF"/>
    <w:rsid w:val="00501F9B"/>
    <w:rsid w:val="005027C0"/>
    <w:rsid w:val="0050382F"/>
    <w:rsid w:val="00503CBE"/>
    <w:rsid w:val="0051127C"/>
    <w:rsid w:val="00511429"/>
    <w:rsid w:val="00511476"/>
    <w:rsid w:val="00511761"/>
    <w:rsid w:val="00513BE5"/>
    <w:rsid w:val="0051417B"/>
    <w:rsid w:val="005144B8"/>
    <w:rsid w:val="00514C71"/>
    <w:rsid w:val="00514FC1"/>
    <w:rsid w:val="0051576E"/>
    <w:rsid w:val="00517F4C"/>
    <w:rsid w:val="005222FF"/>
    <w:rsid w:val="0052332D"/>
    <w:rsid w:val="00525F8C"/>
    <w:rsid w:val="0052790F"/>
    <w:rsid w:val="00527A2C"/>
    <w:rsid w:val="00527BE0"/>
    <w:rsid w:val="0053408F"/>
    <w:rsid w:val="00535787"/>
    <w:rsid w:val="005375B6"/>
    <w:rsid w:val="0054026A"/>
    <w:rsid w:val="00542710"/>
    <w:rsid w:val="005428CE"/>
    <w:rsid w:val="00542900"/>
    <w:rsid w:val="00546B74"/>
    <w:rsid w:val="00546C5F"/>
    <w:rsid w:val="00553A3E"/>
    <w:rsid w:val="005542F7"/>
    <w:rsid w:val="00554EF3"/>
    <w:rsid w:val="005566B9"/>
    <w:rsid w:val="00556D14"/>
    <w:rsid w:val="00560150"/>
    <w:rsid w:val="00561AB1"/>
    <w:rsid w:val="00562E69"/>
    <w:rsid w:val="00566B59"/>
    <w:rsid w:val="005733D8"/>
    <w:rsid w:val="00573EEF"/>
    <w:rsid w:val="005807D6"/>
    <w:rsid w:val="00581071"/>
    <w:rsid w:val="0058373F"/>
    <w:rsid w:val="00587EA9"/>
    <w:rsid w:val="00591147"/>
    <w:rsid w:val="005918FA"/>
    <w:rsid w:val="005931CE"/>
    <w:rsid w:val="005937CC"/>
    <w:rsid w:val="00593A33"/>
    <w:rsid w:val="00593AC4"/>
    <w:rsid w:val="005A13EE"/>
    <w:rsid w:val="005A14B0"/>
    <w:rsid w:val="005A375C"/>
    <w:rsid w:val="005A430A"/>
    <w:rsid w:val="005A5B16"/>
    <w:rsid w:val="005A6D81"/>
    <w:rsid w:val="005A7B5D"/>
    <w:rsid w:val="005A7D20"/>
    <w:rsid w:val="005B22F9"/>
    <w:rsid w:val="005B627F"/>
    <w:rsid w:val="005B6339"/>
    <w:rsid w:val="005B79DA"/>
    <w:rsid w:val="005C07F4"/>
    <w:rsid w:val="005C0BDD"/>
    <w:rsid w:val="005C1731"/>
    <w:rsid w:val="005C2B6E"/>
    <w:rsid w:val="005C4AD7"/>
    <w:rsid w:val="005C4F4C"/>
    <w:rsid w:val="005C6AF3"/>
    <w:rsid w:val="005D0F66"/>
    <w:rsid w:val="005D2025"/>
    <w:rsid w:val="005D2148"/>
    <w:rsid w:val="005D411C"/>
    <w:rsid w:val="005D6CAA"/>
    <w:rsid w:val="005D6EB3"/>
    <w:rsid w:val="005E0CAB"/>
    <w:rsid w:val="005E2079"/>
    <w:rsid w:val="005E3FEC"/>
    <w:rsid w:val="005E43ED"/>
    <w:rsid w:val="005E5354"/>
    <w:rsid w:val="005E6302"/>
    <w:rsid w:val="005E75E6"/>
    <w:rsid w:val="005E7C16"/>
    <w:rsid w:val="005F08DE"/>
    <w:rsid w:val="005F0BD2"/>
    <w:rsid w:val="005F39B7"/>
    <w:rsid w:val="005F6C37"/>
    <w:rsid w:val="00600CD0"/>
    <w:rsid w:val="00600FA5"/>
    <w:rsid w:val="006010F8"/>
    <w:rsid w:val="00602D28"/>
    <w:rsid w:val="006046B8"/>
    <w:rsid w:val="0060506E"/>
    <w:rsid w:val="006055F5"/>
    <w:rsid w:val="00605A4E"/>
    <w:rsid w:val="006067DC"/>
    <w:rsid w:val="00606C99"/>
    <w:rsid w:val="00607BAC"/>
    <w:rsid w:val="00613752"/>
    <w:rsid w:val="006143ED"/>
    <w:rsid w:val="00614B60"/>
    <w:rsid w:val="00616404"/>
    <w:rsid w:val="00616748"/>
    <w:rsid w:val="00616E83"/>
    <w:rsid w:val="00616EBC"/>
    <w:rsid w:val="006203EB"/>
    <w:rsid w:val="006221A5"/>
    <w:rsid w:val="00623017"/>
    <w:rsid w:val="00625BE3"/>
    <w:rsid w:val="00627EF0"/>
    <w:rsid w:val="00630562"/>
    <w:rsid w:val="00635D91"/>
    <w:rsid w:val="00640667"/>
    <w:rsid w:val="0064664D"/>
    <w:rsid w:val="00650DC8"/>
    <w:rsid w:val="00655984"/>
    <w:rsid w:val="00662E4A"/>
    <w:rsid w:val="006659C4"/>
    <w:rsid w:val="00665C88"/>
    <w:rsid w:val="00667382"/>
    <w:rsid w:val="006677AE"/>
    <w:rsid w:val="00672632"/>
    <w:rsid w:val="00674D82"/>
    <w:rsid w:val="00680DB9"/>
    <w:rsid w:val="00680FE6"/>
    <w:rsid w:val="00682962"/>
    <w:rsid w:val="00685F26"/>
    <w:rsid w:val="006869DC"/>
    <w:rsid w:val="0069146F"/>
    <w:rsid w:val="00694111"/>
    <w:rsid w:val="006976C8"/>
    <w:rsid w:val="006A22D9"/>
    <w:rsid w:val="006A6505"/>
    <w:rsid w:val="006A7A7A"/>
    <w:rsid w:val="006B29FB"/>
    <w:rsid w:val="006B3B87"/>
    <w:rsid w:val="006B5F32"/>
    <w:rsid w:val="006B6D2D"/>
    <w:rsid w:val="006B6F0D"/>
    <w:rsid w:val="006B7043"/>
    <w:rsid w:val="006B77AE"/>
    <w:rsid w:val="006C0C67"/>
    <w:rsid w:val="006C1195"/>
    <w:rsid w:val="006C22E7"/>
    <w:rsid w:val="006C724B"/>
    <w:rsid w:val="006C7600"/>
    <w:rsid w:val="006D0307"/>
    <w:rsid w:val="006D047E"/>
    <w:rsid w:val="006D2DBB"/>
    <w:rsid w:val="006D31AD"/>
    <w:rsid w:val="006D56BC"/>
    <w:rsid w:val="006D630A"/>
    <w:rsid w:val="006D63B0"/>
    <w:rsid w:val="006D7114"/>
    <w:rsid w:val="006D7821"/>
    <w:rsid w:val="006E0597"/>
    <w:rsid w:val="006E25DB"/>
    <w:rsid w:val="006E328E"/>
    <w:rsid w:val="006E454A"/>
    <w:rsid w:val="006E4CC9"/>
    <w:rsid w:val="006E64FE"/>
    <w:rsid w:val="006F1112"/>
    <w:rsid w:val="006F16FA"/>
    <w:rsid w:val="006F2A6A"/>
    <w:rsid w:val="006F3B12"/>
    <w:rsid w:val="006F4816"/>
    <w:rsid w:val="006F6BE4"/>
    <w:rsid w:val="0070130A"/>
    <w:rsid w:val="007060F4"/>
    <w:rsid w:val="00707187"/>
    <w:rsid w:val="00710D42"/>
    <w:rsid w:val="00711AA6"/>
    <w:rsid w:val="0071287C"/>
    <w:rsid w:val="007146A2"/>
    <w:rsid w:val="0071605E"/>
    <w:rsid w:val="00717CC5"/>
    <w:rsid w:val="007211FC"/>
    <w:rsid w:val="007212D8"/>
    <w:rsid w:val="00721479"/>
    <w:rsid w:val="00721DF7"/>
    <w:rsid w:val="00722DF0"/>
    <w:rsid w:val="00723488"/>
    <w:rsid w:val="00725F42"/>
    <w:rsid w:val="00727BC2"/>
    <w:rsid w:val="00731ED9"/>
    <w:rsid w:val="00731F51"/>
    <w:rsid w:val="0073251B"/>
    <w:rsid w:val="00737682"/>
    <w:rsid w:val="00737AA3"/>
    <w:rsid w:val="00737EA1"/>
    <w:rsid w:val="00740601"/>
    <w:rsid w:val="00742AC5"/>
    <w:rsid w:val="0074320E"/>
    <w:rsid w:val="00744A35"/>
    <w:rsid w:val="0074539A"/>
    <w:rsid w:val="00747575"/>
    <w:rsid w:val="007503A7"/>
    <w:rsid w:val="00750E0C"/>
    <w:rsid w:val="00751D13"/>
    <w:rsid w:val="00751DB2"/>
    <w:rsid w:val="00751E49"/>
    <w:rsid w:val="00753773"/>
    <w:rsid w:val="00757014"/>
    <w:rsid w:val="00760F6C"/>
    <w:rsid w:val="007614B0"/>
    <w:rsid w:val="00761EA4"/>
    <w:rsid w:val="00764FC6"/>
    <w:rsid w:val="0076503E"/>
    <w:rsid w:val="00767A3F"/>
    <w:rsid w:val="00767C8F"/>
    <w:rsid w:val="00770423"/>
    <w:rsid w:val="00772506"/>
    <w:rsid w:val="00773A56"/>
    <w:rsid w:val="00774AEB"/>
    <w:rsid w:val="007750DB"/>
    <w:rsid w:val="0077672D"/>
    <w:rsid w:val="00777ABA"/>
    <w:rsid w:val="00777ECE"/>
    <w:rsid w:val="007844FC"/>
    <w:rsid w:val="00784FA0"/>
    <w:rsid w:val="00785332"/>
    <w:rsid w:val="007856C0"/>
    <w:rsid w:val="007858BD"/>
    <w:rsid w:val="00787F3E"/>
    <w:rsid w:val="00791765"/>
    <w:rsid w:val="00791BF9"/>
    <w:rsid w:val="00792EB0"/>
    <w:rsid w:val="00793993"/>
    <w:rsid w:val="00797B65"/>
    <w:rsid w:val="00797D9B"/>
    <w:rsid w:val="007A04B5"/>
    <w:rsid w:val="007A0A1D"/>
    <w:rsid w:val="007A1D19"/>
    <w:rsid w:val="007A30E3"/>
    <w:rsid w:val="007A7386"/>
    <w:rsid w:val="007B0EBC"/>
    <w:rsid w:val="007B659E"/>
    <w:rsid w:val="007B710C"/>
    <w:rsid w:val="007B77B1"/>
    <w:rsid w:val="007C02FC"/>
    <w:rsid w:val="007C1283"/>
    <w:rsid w:val="007C1FF0"/>
    <w:rsid w:val="007C37CE"/>
    <w:rsid w:val="007C6495"/>
    <w:rsid w:val="007C7D23"/>
    <w:rsid w:val="007D0366"/>
    <w:rsid w:val="007D1653"/>
    <w:rsid w:val="007D1BA7"/>
    <w:rsid w:val="007D1DAC"/>
    <w:rsid w:val="007D230C"/>
    <w:rsid w:val="007D23C7"/>
    <w:rsid w:val="007D28E7"/>
    <w:rsid w:val="007D3379"/>
    <w:rsid w:val="007E1EEE"/>
    <w:rsid w:val="007E33C7"/>
    <w:rsid w:val="007E3F38"/>
    <w:rsid w:val="007F22A5"/>
    <w:rsid w:val="007F2A04"/>
    <w:rsid w:val="007F2C8A"/>
    <w:rsid w:val="007F5040"/>
    <w:rsid w:val="007F5FE2"/>
    <w:rsid w:val="007F7A7E"/>
    <w:rsid w:val="00801BA7"/>
    <w:rsid w:val="00802230"/>
    <w:rsid w:val="008028A0"/>
    <w:rsid w:val="0080294E"/>
    <w:rsid w:val="008038AA"/>
    <w:rsid w:val="00803BF2"/>
    <w:rsid w:val="00803C48"/>
    <w:rsid w:val="00803EAA"/>
    <w:rsid w:val="00804182"/>
    <w:rsid w:val="008041DC"/>
    <w:rsid w:val="00804B44"/>
    <w:rsid w:val="0080525F"/>
    <w:rsid w:val="00811F46"/>
    <w:rsid w:val="00812B81"/>
    <w:rsid w:val="00813365"/>
    <w:rsid w:val="00813B61"/>
    <w:rsid w:val="00813C05"/>
    <w:rsid w:val="00813D52"/>
    <w:rsid w:val="008210B2"/>
    <w:rsid w:val="00824A56"/>
    <w:rsid w:val="00831034"/>
    <w:rsid w:val="008317FB"/>
    <w:rsid w:val="0083225B"/>
    <w:rsid w:val="00837821"/>
    <w:rsid w:val="00837F35"/>
    <w:rsid w:val="008421E8"/>
    <w:rsid w:val="00842992"/>
    <w:rsid w:val="008457AC"/>
    <w:rsid w:val="00847502"/>
    <w:rsid w:val="00850F06"/>
    <w:rsid w:val="00851E8B"/>
    <w:rsid w:val="00853EB5"/>
    <w:rsid w:val="008566A9"/>
    <w:rsid w:val="00857373"/>
    <w:rsid w:val="008617DF"/>
    <w:rsid w:val="00861B03"/>
    <w:rsid w:val="00863502"/>
    <w:rsid w:val="008636FB"/>
    <w:rsid w:val="00863FAA"/>
    <w:rsid w:val="00864ABA"/>
    <w:rsid w:val="00866495"/>
    <w:rsid w:val="00866A19"/>
    <w:rsid w:val="00867FF0"/>
    <w:rsid w:val="008707CA"/>
    <w:rsid w:val="008715EC"/>
    <w:rsid w:val="0087214E"/>
    <w:rsid w:val="00874369"/>
    <w:rsid w:val="00874834"/>
    <w:rsid w:val="00881309"/>
    <w:rsid w:val="00882131"/>
    <w:rsid w:val="00885603"/>
    <w:rsid w:val="00885688"/>
    <w:rsid w:val="00886FBB"/>
    <w:rsid w:val="00887324"/>
    <w:rsid w:val="00887494"/>
    <w:rsid w:val="00892559"/>
    <w:rsid w:val="00892B2E"/>
    <w:rsid w:val="00894D66"/>
    <w:rsid w:val="00894E6F"/>
    <w:rsid w:val="008A24D8"/>
    <w:rsid w:val="008A5942"/>
    <w:rsid w:val="008A6255"/>
    <w:rsid w:val="008A6552"/>
    <w:rsid w:val="008B320B"/>
    <w:rsid w:val="008B594E"/>
    <w:rsid w:val="008B63F9"/>
    <w:rsid w:val="008B6686"/>
    <w:rsid w:val="008B7773"/>
    <w:rsid w:val="008C3826"/>
    <w:rsid w:val="008C4635"/>
    <w:rsid w:val="008C5EC9"/>
    <w:rsid w:val="008D0E5E"/>
    <w:rsid w:val="008D1C53"/>
    <w:rsid w:val="008D2BF8"/>
    <w:rsid w:val="008D37E8"/>
    <w:rsid w:val="008D6B0B"/>
    <w:rsid w:val="008D7CDF"/>
    <w:rsid w:val="008E1B7F"/>
    <w:rsid w:val="008E24D6"/>
    <w:rsid w:val="008E2974"/>
    <w:rsid w:val="008E3A43"/>
    <w:rsid w:val="008E5F1E"/>
    <w:rsid w:val="008E5FE2"/>
    <w:rsid w:val="008E6F52"/>
    <w:rsid w:val="008F23E7"/>
    <w:rsid w:val="008F2457"/>
    <w:rsid w:val="008F26B5"/>
    <w:rsid w:val="008F280B"/>
    <w:rsid w:val="008F514C"/>
    <w:rsid w:val="008F61FF"/>
    <w:rsid w:val="00900150"/>
    <w:rsid w:val="0090065B"/>
    <w:rsid w:val="00900CD5"/>
    <w:rsid w:val="00901CB3"/>
    <w:rsid w:val="00901E46"/>
    <w:rsid w:val="009037DB"/>
    <w:rsid w:val="00905FA9"/>
    <w:rsid w:val="009100EC"/>
    <w:rsid w:val="009111B2"/>
    <w:rsid w:val="00915151"/>
    <w:rsid w:val="00916838"/>
    <w:rsid w:val="009177EC"/>
    <w:rsid w:val="009213DB"/>
    <w:rsid w:val="00923625"/>
    <w:rsid w:val="00923CB6"/>
    <w:rsid w:val="00925EA3"/>
    <w:rsid w:val="0093168E"/>
    <w:rsid w:val="009319B2"/>
    <w:rsid w:val="009327F5"/>
    <w:rsid w:val="009356BC"/>
    <w:rsid w:val="00945241"/>
    <w:rsid w:val="00945BF2"/>
    <w:rsid w:val="00947DCF"/>
    <w:rsid w:val="00950205"/>
    <w:rsid w:val="00953156"/>
    <w:rsid w:val="0095523C"/>
    <w:rsid w:val="0095570D"/>
    <w:rsid w:val="009640BA"/>
    <w:rsid w:val="009647EB"/>
    <w:rsid w:val="00964945"/>
    <w:rsid w:val="00965168"/>
    <w:rsid w:val="009654BC"/>
    <w:rsid w:val="00972C3D"/>
    <w:rsid w:val="00972D14"/>
    <w:rsid w:val="00975828"/>
    <w:rsid w:val="00975A51"/>
    <w:rsid w:val="00977735"/>
    <w:rsid w:val="00981092"/>
    <w:rsid w:val="00981CB7"/>
    <w:rsid w:val="00984DF0"/>
    <w:rsid w:val="009856AF"/>
    <w:rsid w:val="00985906"/>
    <w:rsid w:val="009869D3"/>
    <w:rsid w:val="00990B7D"/>
    <w:rsid w:val="00991611"/>
    <w:rsid w:val="00994F33"/>
    <w:rsid w:val="009962BD"/>
    <w:rsid w:val="009A18C0"/>
    <w:rsid w:val="009A4EFF"/>
    <w:rsid w:val="009B2702"/>
    <w:rsid w:val="009B3AEE"/>
    <w:rsid w:val="009B453B"/>
    <w:rsid w:val="009B7BAB"/>
    <w:rsid w:val="009B7F2C"/>
    <w:rsid w:val="009C0F00"/>
    <w:rsid w:val="009C15F9"/>
    <w:rsid w:val="009C37F7"/>
    <w:rsid w:val="009C5044"/>
    <w:rsid w:val="009C5C29"/>
    <w:rsid w:val="009C6315"/>
    <w:rsid w:val="009D4929"/>
    <w:rsid w:val="009D4DB8"/>
    <w:rsid w:val="009D60D1"/>
    <w:rsid w:val="009D78FA"/>
    <w:rsid w:val="009E12B9"/>
    <w:rsid w:val="009E7481"/>
    <w:rsid w:val="009F0344"/>
    <w:rsid w:val="009F0866"/>
    <w:rsid w:val="009F2AC5"/>
    <w:rsid w:val="009F2F96"/>
    <w:rsid w:val="009F36B1"/>
    <w:rsid w:val="009F563E"/>
    <w:rsid w:val="009F776F"/>
    <w:rsid w:val="009F7CC0"/>
    <w:rsid w:val="00A05B07"/>
    <w:rsid w:val="00A0770E"/>
    <w:rsid w:val="00A10811"/>
    <w:rsid w:val="00A11FB6"/>
    <w:rsid w:val="00A13077"/>
    <w:rsid w:val="00A1467B"/>
    <w:rsid w:val="00A14D40"/>
    <w:rsid w:val="00A15408"/>
    <w:rsid w:val="00A16A3C"/>
    <w:rsid w:val="00A16B82"/>
    <w:rsid w:val="00A16DAC"/>
    <w:rsid w:val="00A2090A"/>
    <w:rsid w:val="00A21605"/>
    <w:rsid w:val="00A24457"/>
    <w:rsid w:val="00A24772"/>
    <w:rsid w:val="00A30719"/>
    <w:rsid w:val="00A31BC9"/>
    <w:rsid w:val="00A33DB8"/>
    <w:rsid w:val="00A370F2"/>
    <w:rsid w:val="00A4034E"/>
    <w:rsid w:val="00A4176F"/>
    <w:rsid w:val="00A43AFA"/>
    <w:rsid w:val="00A45B10"/>
    <w:rsid w:val="00A46C32"/>
    <w:rsid w:val="00A50B1D"/>
    <w:rsid w:val="00A529C0"/>
    <w:rsid w:val="00A55E02"/>
    <w:rsid w:val="00A61C54"/>
    <w:rsid w:val="00A62E62"/>
    <w:rsid w:val="00A636CF"/>
    <w:rsid w:val="00A63C6D"/>
    <w:rsid w:val="00A7753F"/>
    <w:rsid w:val="00A8107F"/>
    <w:rsid w:val="00A90231"/>
    <w:rsid w:val="00A90A66"/>
    <w:rsid w:val="00A92854"/>
    <w:rsid w:val="00A93745"/>
    <w:rsid w:val="00A96F6B"/>
    <w:rsid w:val="00A97072"/>
    <w:rsid w:val="00A97C20"/>
    <w:rsid w:val="00A97DD5"/>
    <w:rsid w:val="00AA0970"/>
    <w:rsid w:val="00AA1E16"/>
    <w:rsid w:val="00AA3C60"/>
    <w:rsid w:val="00AA4864"/>
    <w:rsid w:val="00AA4F05"/>
    <w:rsid w:val="00AA5C2D"/>
    <w:rsid w:val="00AA5D9B"/>
    <w:rsid w:val="00AA7329"/>
    <w:rsid w:val="00AB0C6D"/>
    <w:rsid w:val="00AB24A0"/>
    <w:rsid w:val="00AB41C0"/>
    <w:rsid w:val="00AB4697"/>
    <w:rsid w:val="00AB6EC8"/>
    <w:rsid w:val="00AB7913"/>
    <w:rsid w:val="00AC011D"/>
    <w:rsid w:val="00AC2F9A"/>
    <w:rsid w:val="00AC3BFC"/>
    <w:rsid w:val="00AC4A14"/>
    <w:rsid w:val="00AC5944"/>
    <w:rsid w:val="00AC5B6D"/>
    <w:rsid w:val="00AC6A49"/>
    <w:rsid w:val="00AC7FB4"/>
    <w:rsid w:val="00AD1634"/>
    <w:rsid w:val="00AD251A"/>
    <w:rsid w:val="00AD47A1"/>
    <w:rsid w:val="00AD4D5C"/>
    <w:rsid w:val="00AD4E50"/>
    <w:rsid w:val="00AD56B2"/>
    <w:rsid w:val="00AD6098"/>
    <w:rsid w:val="00AD7254"/>
    <w:rsid w:val="00AE0345"/>
    <w:rsid w:val="00AE164F"/>
    <w:rsid w:val="00AE2905"/>
    <w:rsid w:val="00AE4F96"/>
    <w:rsid w:val="00AE50B9"/>
    <w:rsid w:val="00AE57B9"/>
    <w:rsid w:val="00AF14C3"/>
    <w:rsid w:val="00AF1FDF"/>
    <w:rsid w:val="00AF27DB"/>
    <w:rsid w:val="00AF60AF"/>
    <w:rsid w:val="00AF6E42"/>
    <w:rsid w:val="00AF705C"/>
    <w:rsid w:val="00AF75D5"/>
    <w:rsid w:val="00AF7C67"/>
    <w:rsid w:val="00AF7D2E"/>
    <w:rsid w:val="00B00291"/>
    <w:rsid w:val="00B0416F"/>
    <w:rsid w:val="00B04DC1"/>
    <w:rsid w:val="00B05469"/>
    <w:rsid w:val="00B0550C"/>
    <w:rsid w:val="00B05984"/>
    <w:rsid w:val="00B05FB0"/>
    <w:rsid w:val="00B10206"/>
    <w:rsid w:val="00B11123"/>
    <w:rsid w:val="00B1158D"/>
    <w:rsid w:val="00B11FAA"/>
    <w:rsid w:val="00B15FAF"/>
    <w:rsid w:val="00B178F6"/>
    <w:rsid w:val="00B217D3"/>
    <w:rsid w:val="00B219E8"/>
    <w:rsid w:val="00B228E6"/>
    <w:rsid w:val="00B306D1"/>
    <w:rsid w:val="00B30E51"/>
    <w:rsid w:val="00B32B6F"/>
    <w:rsid w:val="00B350B6"/>
    <w:rsid w:val="00B35124"/>
    <w:rsid w:val="00B35C9E"/>
    <w:rsid w:val="00B36548"/>
    <w:rsid w:val="00B453EC"/>
    <w:rsid w:val="00B464D5"/>
    <w:rsid w:val="00B479D2"/>
    <w:rsid w:val="00B5011B"/>
    <w:rsid w:val="00B50B1E"/>
    <w:rsid w:val="00B53C8B"/>
    <w:rsid w:val="00B5470A"/>
    <w:rsid w:val="00B5503A"/>
    <w:rsid w:val="00B55C71"/>
    <w:rsid w:val="00B568E1"/>
    <w:rsid w:val="00B56A6F"/>
    <w:rsid w:val="00B60232"/>
    <w:rsid w:val="00B60AE1"/>
    <w:rsid w:val="00B6584E"/>
    <w:rsid w:val="00B65F96"/>
    <w:rsid w:val="00B674D5"/>
    <w:rsid w:val="00B7024C"/>
    <w:rsid w:val="00B70E9F"/>
    <w:rsid w:val="00B7701B"/>
    <w:rsid w:val="00B80192"/>
    <w:rsid w:val="00B80D0A"/>
    <w:rsid w:val="00B81DDC"/>
    <w:rsid w:val="00B842B3"/>
    <w:rsid w:val="00B90321"/>
    <w:rsid w:val="00B91334"/>
    <w:rsid w:val="00B918EF"/>
    <w:rsid w:val="00B93280"/>
    <w:rsid w:val="00B93825"/>
    <w:rsid w:val="00B9388C"/>
    <w:rsid w:val="00BA02A7"/>
    <w:rsid w:val="00BA0886"/>
    <w:rsid w:val="00BA10A6"/>
    <w:rsid w:val="00BA1185"/>
    <w:rsid w:val="00BA3C77"/>
    <w:rsid w:val="00BA6235"/>
    <w:rsid w:val="00BA7E91"/>
    <w:rsid w:val="00BB0E86"/>
    <w:rsid w:val="00BB3618"/>
    <w:rsid w:val="00BB4DEB"/>
    <w:rsid w:val="00BB5189"/>
    <w:rsid w:val="00BB5F82"/>
    <w:rsid w:val="00BB716B"/>
    <w:rsid w:val="00BC078D"/>
    <w:rsid w:val="00BC1894"/>
    <w:rsid w:val="00BC1A7E"/>
    <w:rsid w:val="00BC1D63"/>
    <w:rsid w:val="00BC2048"/>
    <w:rsid w:val="00BC2592"/>
    <w:rsid w:val="00BC5CA6"/>
    <w:rsid w:val="00BC62B2"/>
    <w:rsid w:val="00BC7459"/>
    <w:rsid w:val="00BC79E3"/>
    <w:rsid w:val="00BC7D47"/>
    <w:rsid w:val="00BD05BE"/>
    <w:rsid w:val="00BD31F4"/>
    <w:rsid w:val="00BD34B1"/>
    <w:rsid w:val="00BD3C3D"/>
    <w:rsid w:val="00BD62BA"/>
    <w:rsid w:val="00BE01E1"/>
    <w:rsid w:val="00BE174D"/>
    <w:rsid w:val="00BE30A1"/>
    <w:rsid w:val="00BE4703"/>
    <w:rsid w:val="00BE74EE"/>
    <w:rsid w:val="00BE7B4F"/>
    <w:rsid w:val="00BF037C"/>
    <w:rsid w:val="00BF34C6"/>
    <w:rsid w:val="00BF4112"/>
    <w:rsid w:val="00BF5EFD"/>
    <w:rsid w:val="00BF6145"/>
    <w:rsid w:val="00BF6646"/>
    <w:rsid w:val="00BF6E75"/>
    <w:rsid w:val="00BF7A64"/>
    <w:rsid w:val="00C007B7"/>
    <w:rsid w:val="00C01474"/>
    <w:rsid w:val="00C02FE1"/>
    <w:rsid w:val="00C06B8B"/>
    <w:rsid w:val="00C13D7B"/>
    <w:rsid w:val="00C14352"/>
    <w:rsid w:val="00C1697B"/>
    <w:rsid w:val="00C210C2"/>
    <w:rsid w:val="00C21B7A"/>
    <w:rsid w:val="00C24ADB"/>
    <w:rsid w:val="00C25FD7"/>
    <w:rsid w:val="00C27524"/>
    <w:rsid w:val="00C2785A"/>
    <w:rsid w:val="00C31A25"/>
    <w:rsid w:val="00C320A8"/>
    <w:rsid w:val="00C33F46"/>
    <w:rsid w:val="00C34454"/>
    <w:rsid w:val="00C34A05"/>
    <w:rsid w:val="00C35537"/>
    <w:rsid w:val="00C36636"/>
    <w:rsid w:val="00C36FD2"/>
    <w:rsid w:val="00C37787"/>
    <w:rsid w:val="00C41721"/>
    <w:rsid w:val="00C421AB"/>
    <w:rsid w:val="00C4437F"/>
    <w:rsid w:val="00C450D3"/>
    <w:rsid w:val="00C500F2"/>
    <w:rsid w:val="00C52B69"/>
    <w:rsid w:val="00C56802"/>
    <w:rsid w:val="00C575DD"/>
    <w:rsid w:val="00C61B0C"/>
    <w:rsid w:val="00C61C87"/>
    <w:rsid w:val="00C62A13"/>
    <w:rsid w:val="00C63716"/>
    <w:rsid w:val="00C654F3"/>
    <w:rsid w:val="00C65A58"/>
    <w:rsid w:val="00C6622A"/>
    <w:rsid w:val="00C66489"/>
    <w:rsid w:val="00C70AC3"/>
    <w:rsid w:val="00C71813"/>
    <w:rsid w:val="00C738CF"/>
    <w:rsid w:val="00C75AFD"/>
    <w:rsid w:val="00C76489"/>
    <w:rsid w:val="00C77488"/>
    <w:rsid w:val="00C7766F"/>
    <w:rsid w:val="00C77676"/>
    <w:rsid w:val="00C77E01"/>
    <w:rsid w:val="00C82114"/>
    <w:rsid w:val="00C83035"/>
    <w:rsid w:val="00C83984"/>
    <w:rsid w:val="00C86592"/>
    <w:rsid w:val="00C86F5A"/>
    <w:rsid w:val="00C90879"/>
    <w:rsid w:val="00C910A2"/>
    <w:rsid w:val="00C93506"/>
    <w:rsid w:val="00C94795"/>
    <w:rsid w:val="00C970B2"/>
    <w:rsid w:val="00C978D0"/>
    <w:rsid w:val="00CA285A"/>
    <w:rsid w:val="00CA3F68"/>
    <w:rsid w:val="00CA4B50"/>
    <w:rsid w:val="00CA50DE"/>
    <w:rsid w:val="00CA5D1C"/>
    <w:rsid w:val="00CB24E3"/>
    <w:rsid w:val="00CB2804"/>
    <w:rsid w:val="00CB3ACF"/>
    <w:rsid w:val="00CB4918"/>
    <w:rsid w:val="00CB650C"/>
    <w:rsid w:val="00CB69B8"/>
    <w:rsid w:val="00CC2251"/>
    <w:rsid w:val="00CC5BAE"/>
    <w:rsid w:val="00CC606C"/>
    <w:rsid w:val="00CC78A8"/>
    <w:rsid w:val="00CD1819"/>
    <w:rsid w:val="00CD265B"/>
    <w:rsid w:val="00CD38B0"/>
    <w:rsid w:val="00CD4697"/>
    <w:rsid w:val="00CD5962"/>
    <w:rsid w:val="00CE1A01"/>
    <w:rsid w:val="00CE36B8"/>
    <w:rsid w:val="00CE6075"/>
    <w:rsid w:val="00CE6A6E"/>
    <w:rsid w:val="00CE6CC6"/>
    <w:rsid w:val="00CF0BC7"/>
    <w:rsid w:val="00CF2337"/>
    <w:rsid w:val="00CF23FC"/>
    <w:rsid w:val="00CF3E49"/>
    <w:rsid w:val="00CF48D2"/>
    <w:rsid w:val="00CF4A19"/>
    <w:rsid w:val="00CF64A7"/>
    <w:rsid w:val="00CF78AC"/>
    <w:rsid w:val="00D000EF"/>
    <w:rsid w:val="00D01947"/>
    <w:rsid w:val="00D01F85"/>
    <w:rsid w:val="00D05D0E"/>
    <w:rsid w:val="00D06E02"/>
    <w:rsid w:val="00D107DD"/>
    <w:rsid w:val="00D20DBB"/>
    <w:rsid w:val="00D24B61"/>
    <w:rsid w:val="00D25791"/>
    <w:rsid w:val="00D278D8"/>
    <w:rsid w:val="00D30C15"/>
    <w:rsid w:val="00D34F94"/>
    <w:rsid w:val="00D3558D"/>
    <w:rsid w:val="00D3562E"/>
    <w:rsid w:val="00D35DCB"/>
    <w:rsid w:val="00D36F9F"/>
    <w:rsid w:val="00D42143"/>
    <w:rsid w:val="00D45B8F"/>
    <w:rsid w:val="00D47EEF"/>
    <w:rsid w:val="00D50869"/>
    <w:rsid w:val="00D50BE1"/>
    <w:rsid w:val="00D51D7D"/>
    <w:rsid w:val="00D53992"/>
    <w:rsid w:val="00D56541"/>
    <w:rsid w:val="00D56856"/>
    <w:rsid w:val="00D579AE"/>
    <w:rsid w:val="00D61EDD"/>
    <w:rsid w:val="00D62234"/>
    <w:rsid w:val="00D624F6"/>
    <w:rsid w:val="00D630CC"/>
    <w:rsid w:val="00D6398D"/>
    <w:rsid w:val="00D64409"/>
    <w:rsid w:val="00D67671"/>
    <w:rsid w:val="00D706DF"/>
    <w:rsid w:val="00D70E55"/>
    <w:rsid w:val="00D713F9"/>
    <w:rsid w:val="00D72033"/>
    <w:rsid w:val="00D73367"/>
    <w:rsid w:val="00D745DD"/>
    <w:rsid w:val="00D77112"/>
    <w:rsid w:val="00D826E4"/>
    <w:rsid w:val="00D82B22"/>
    <w:rsid w:val="00D82D52"/>
    <w:rsid w:val="00D83717"/>
    <w:rsid w:val="00D85CD7"/>
    <w:rsid w:val="00D86D02"/>
    <w:rsid w:val="00D904DE"/>
    <w:rsid w:val="00D907F8"/>
    <w:rsid w:val="00D93107"/>
    <w:rsid w:val="00D93685"/>
    <w:rsid w:val="00D9430F"/>
    <w:rsid w:val="00D946CA"/>
    <w:rsid w:val="00D95CCB"/>
    <w:rsid w:val="00D95F6B"/>
    <w:rsid w:val="00DA11D5"/>
    <w:rsid w:val="00DA141D"/>
    <w:rsid w:val="00DA360C"/>
    <w:rsid w:val="00DA46A6"/>
    <w:rsid w:val="00DA6CB5"/>
    <w:rsid w:val="00DA7A58"/>
    <w:rsid w:val="00DA7BEB"/>
    <w:rsid w:val="00DB042B"/>
    <w:rsid w:val="00DB1364"/>
    <w:rsid w:val="00DB3518"/>
    <w:rsid w:val="00DB7ED0"/>
    <w:rsid w:val="00DC0F1D"/>
    <w:rsid w:val="00DC16ED"/>
    <w:rsid w:val="00DC19BE"/>
    <w:rsid w:val="00DC2AE0"/>
    <w:rsid w:val="00DC3155"/>
    <w:rsid w:val="00DC3993"/>
    <w:rsid w:val="00DC4B03"/>
    <w:rsid w:val="00DC52C9"/>
    <w:rsid w:val="00DC6293"/>
    <w:rsid w:val="00DC7EAE"/>
    <w:rsid w:val="00DD1834"/>
    <w:rsid w:val="00DD23A3"/>
    <w:rsid w:val="00DD2632"/>
    <w:rsid w:val="00DD3680"/>
    <w:rsid w:val="00DD51C5"/>
    <w:rsid w:val="00DD5D62"/>
    <w:rsid w:val="00DD5E24"/>
    <w:rsid w:val="00DD79F7"/>
    <w:rsid w:val="00DE0276"/>
    <w:rsid w:val="00DE2847"/>
    <w:rsid w:val="00DE2878"/>
    <w:rsid w:val="00DE4871"/>
    <w:rsid w:val="00DE4FB9"/>
    <w:rsid w:val="00DE7180"/>
    <w:rsid w:val="00DE748E"/>
    <w:rsid w:val="00DF422E"/>
    <w:rsid w:val="00DF437A"/>
    <w:rsid w:val="00DF49C2"/>
    <w:rsid w:val="00DF665D"/>
    <w:rsid w:val="00E0040E"/>
    <w:rsid w:val="00E02183"/>
    <w:rsid w:val="00E02519"/>
    <w:rsid w:val="00E032D6"/>
    <w:rsid w:val="00E05984"/>
    <w:rsid w:val="00E10D7F"/>
    <w:rsid w:val="00E11E9A"/>
    <w:rsid w:val="00E11F60"/>
    <w:rsid w:val="00E149D0"/>
    <w:rsid w:val="00E15C3A"/>
    <w:rsid w:val="00E15F67"/>
    <w:rsid w:val="00E218B7"/>
    <w:rsid w:val="00E23A96"/>
    <w:rsid w:val="00E273A2"/>
    <w:rsid w:val="00E30652"/>
    <w:rsid w:val="00E309E7"/>
    <w:rsid w:val="00E30A74"/>
    <w:rsid w:val="00E31479"/>
    <w:rsid w:val="00E3148F"/>
    <w:rsid w:val="00E319C1"/>
    <w:rsid w:val="00E332D9"/>
    <w:rsid w:val="00E34C9B"/>
    <w:rsid w:val="00E35330"/>
    <w:rsid w:val="00E36861"/>
    <w:rsid w:val="00E36E9D"/>
    <w:rsid w:val="00E37612"/>
    <w:rsid w:val="00E41956"/>
    <w:rsid w:val="00E42563"/>
    <w:rsid w:val="00E4525E"/>
    <w:rsid w:val="00E45B45"/>
    <w:rsid w:val="00E4775F"/>
    <w:rsid w:val="00E5185B"/>
    <w:rsid w:val="00E52313"/>
    <w:rsid w:val="00E528F2"/>
    <w:rsid w:val="00E56BF7"/>
    <w:rsid w:val="00E57F06"/>
    <w:rsid w:val="00E63454"/>
    <w:rsid w:val="00E6401E"/>
    <w:rsid w:val="00E6770A"/>
    <w:rsid w:val="00E712B4"/>
    <w:rsid w:val="00E7354D"/>
    <w:rsid w:val="00E74556"/>
    <w:rsid w:val="00E74D31"/>
    <w:rsid w:val="00E76E7A"/>
    <w:rsid w:val="00E77DD7"/>
    <w:rsid w:val="00E82BD7"/>
    <w:rsid w:val="00E8576B"/>
    <w:rsid w:val="00E86402"/>
    <w:rsid w:val="00E87B13"/>
    <w:rsid w:val="00E91014"/>
    <w:rsid w:val="00E92A80"/>
    <w:rsid w:val="00E9508E"/>
    <w:rsid w:val="00E9584B"/>
    <w:rsid w:val="00E9744D"/>
    <w:rsid w:val="00EA4E4E"/>
    <w:rsid w:val="00EA5946"/>
    <w:rsid w:val="00EA7E13"/>
    <w:rsid w:val="00EA7EB5"/>
    <w:rsid w:val="00EB4E26"/>
    <w:rsid w:val="00EB7027"/>
    <w:rsid w:val="00EB743C"/>
    <w:rsid w:val="00EC0938"/>
    <w:rsid w:val="00EC231F"/>
    <w:rsid w:val="00EC3A7C"/>
    <w:rsid w:val="00EC3C58"/>
    <w:rsid w:val="00EC701C"/>
    <w:rsid w:val="00ED0032"/>
    <w:rsid w:val="00ED11E0"/>
    <w:rsid w:val="00ED33E4"/>
    <w:rsid w:val="00ED5342"/>
    <w:rsid w:val="00ED7E83"/>
    <w:rsid w:val="00EE0366"/>
    <w:rsid w:val="00EE2C07"/>
    <w:rsid w:val="00EE406D"/>
    <w:rsid w:val="00EE56F6"/>
    <w:rsid w:val="00EE5AAF"/>
    <w:rsid w:val="00EE5DE8"/>
    <w:rsid w:val="00EE5F3E"/>
    <w:rsid w:val="00EE6EFE"/>
    <w:rsid w:val="00EF031F"/>
    <w:rsid w:val="00EF0D81"/>
    <w:rsid w:val="00EF2EEB"/>
    <w:rsid w:val="00EF3674"/>
    <w:rsid w:val="00EF41E9"/>
    <w:rsid w:val="00EF592E"/>
    <w:rsid w:val="00F00569"/>
    <w:rsid w:val="00F0613D"/>
    <w:rsid w:val="00F0653D"/>
    <w:rsid w:val="00F0766E"/>
    <w:rsid w:val="00F130ED"/>
    <w:rsid w:val="00F140C8"/>
    <w:rsid w:val="00F141E6"/>
    <w:rsid w:val="00F168C8"/>
    <w:rsid w:val="00F1773D"/>
    <w:rsid w:val="00F17DF2"/>
    <w:rsid w:val="00F20BEA"/>
    <w:rsid w:val="00F24B55"/>
    <w:rsid w:val="00F256E9"/>
    <w:rsid w:val="00F31909"/>
    <w:rsid w:val="00F31F72"/>
    <w:rsid w:val="00F32981"/>
    <w:rsid w:val="00F32BA0"/>
    <w:rsid w:val="00F36994"/>
    <w:rsid w:val="00F373A7"/>
    <w:rsid w:val="00F43067"/>
    <w:rsid w:val="00F437BB"/>
    <w:rsid w:val="00F474FF"/>
    <w:rsid w:val="00F4795D"/>
    <w:rsid w:val="00F47AF1"/>
    <w:rsid w:val="00F47C21"/>
    <w:rsid w:val="00F50358"/>
    <w:rsid w:val="00F51AC9"/>
    <w:rsid w:val="00F53EA1"/>
    <w:rsid w:val="00F53FE9"/>
    <w:rsid w:val="00F573B2"/>
    <w:rsid w:val="00F57CC7"/>
    <w:rsid w:val="00F61084"/>
    <w:rsid w:val="00F61337"/>
    <w:rsid w:val="00F633FF"/>
    <w:rsid w:val="00F63754"/>
    <w:rsid w:val="00F66439"/>
    <w:rsid w:val="00F67816"/>
    <w:rsid w:val="00F705D8"/>
    <w:rsid w:val="00F74F57"/>
    <w:rsid w:val="00F7583B"/>
    <w:rsid w:val="00F8116D"/>
    <w:rsid w:val="00F84083"/>
    <w:rsid w:val="00F850D9"/>
    <w:rsid w:val="00F87F0E"/>
    <w:rsid w:val="00F90455"/>
    <w:rsid w:val="00F90F87"/>
    <w:rsid w:val="00F94078"/>
    <w:rsid w:val="00F94A37"/>
    <w:rsid w:val="00F94F80"/>
    <w:rsid w:val="00F95386"/>
    <w:rsid w:val="00FA04E3"/>
    <w:rsid w:val="00FA0533"/>
    <w:rsid w:val="00FA0B8D"/>
    <w:rsid w:val="00FA11D0"/>
    <w:rsid w:val="00FA3EB8"/>
    <w:rsid w:val="00FA3FEB"/>
    <w:rsid w:val="00FA464B"/>
    <w:rsid w:val="00FA4C6C"/>
    <w:rsid w:val="00FA7207"/>
    <w:rsid w:val="00FB134A"/>
    <w:rsid w:val="00FB4A8E"/>
    <w:rsid w:val="00FB4AF2"/>
    <w:rsid w:val="00FB4C45"/>
    <w:rsid w:val="00FB5317"/>
    <w:rsid w:val="00FB5750"/>
    <w:rsid w:val="00FB5E5A"/>
    <w:rsid w:val="00FB5FB2"/>
    <w:rsid w:val="00FB760C"/>
    <w:rsid w:val="00FC16A3"/>
    <w:rsid w:val="00FC54D8"/>
    <w:rsid w:val="00FC5BD4"/>
    <w:rsid w:val="00FC6451"/>
    <w:rsid w:val="00FD1569"/>
    <w:rsid w:val="00FD4E82"/>
    <w:rsid w:val="00FD58D6"/>
    <w:rsid w:val="00FD6E47"/>
    <w:rsid w:val="00FD7009"/>
    <w:rsid w:val="00FE39F2"/>
    <w:rsid w:val="00FE6E88"/>
    <w:rsid w:val="00FF124E"/>
    <w:rsid w:val="00FF271B"/>
    <w:rsid w:val="00FF2986"/>
    <w:rsid w:val="00FF42C7"/>
    <w:rsid w:val="00FF489C"/>
    <w:rsid w:val="00FF732A"/>
    <w:rsid w:val="00FF7A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B8997"/>
  <w15:docId w15:val="{317A2773-F3F6-4395-870A-041037C57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76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607BAC"/>
    <w:pPr>
      <w:keepNext/>
      <w:numPr>
        <w:numId w:val="1"/>
      </w:numPr>
      <w:spacing w:before="240" w:after="60"/>
      <w:outlineLvl w:val="0"/>
    </w:pPr>
    <w:rPr>
      <w:rFonts w:ascii="Book Antiqua" w:hAnsi="Book Antiqua"/>
      <w:b/>
      <w:kern w:val="28"/>
      <w:sz w:val="28"/>
    </w:rPr>
  </w:style>
  <w:style w:type="paragraph" w:styleId="Heading2">
    <w:name w:val="heading 2"/>
    <w:basedOn w:val="Normal"/>
    <w:next w:val="Normal"/>
    <w:link w:val="Heading2Char"/>
    <w:uiPriority w:val="99"/>
    <w:qFormat/>
    <w:rsid w:val="00607BAC"/>
    <w:pPr>
      <w:keepNext/>
      <w:numPr>
        <w:ilvl w:val="1"/>
        <w:numId w:val="1"/>
      </w:numPr>
      <w:spacing w:before="240" w:after="60"/>
      <w:outlineLvl w:val="1"/>
    </w:pPr>
    <w:rPr>
      <w:rFonts w:ascii="Book Antiqua" w:hAnsi="Book Antiqua"/>
      <w:b/>
      <w:i/>
    </w:rPr>
  </w:style>
  <w:style w:type="paragraph" w:styleId="Heading3">
    <w:name w:val="heading 3"/>
    <w:basedOn w:val="Normal"/>
    <w:next w:val="Normal"/>
    <w:link w:val="Heading3Char"/>
    <w:uiPriority w:val="99"/>
    <w:qFormat/>
    <w:rsid w:val="00607BAC"/>
    <w:pPr>
      <w:keepNext/>
      <w:numPr>
        <w:ilvl w:val="2"/>
        <w:numId w:val="1"/>
      </w:numPr>
      <w:spacing w:before="240" w:after="60"/>
      <w:outlineLvl w:val="2"/>
    </w:pPr>
    <w:rPr>
      <w:rFonts w:ascii="Book Antiqua" w:hAnsi="Book Antiq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07BAC"/>
    <w:rPr>
      <w:rFonts w:ascii="Book Antiqua" w:eastAsia="Times New Roman" w:hAnsi="Book Antiqua" w:cs="Times New Roman"/>
      <w:b/>
      <w:kern w:val="28"/>
      <w:sz w:val="28"/>
      <w:szCs w:val="24"/>
    </w:rPr>
  </w:style>
  <w:style w:type="character" w:customStyle="1" w:styleId="Heading2Char">
    <w:name w:val="Heading 2 Char"/>
    <w:basedOn w:val="DefaultParagraphFont"/>
    <w:link w:val="Heading2"/>
    <w:uiPriority w:val="99"/>
    <w:rsid w:val="00607BAC"/>
    <w:rPr>
      <w:rFonts w:ascii="Book Antiqua" w:eastAsia="Times New Roman" w:hAnsi="Book Antiqua" w:cs="Times New Roman"/>
      <w:b/>
      <w:i/>
      <w:sz w:val="24"/>
      <w:szCs w:val="24"/>
    </w:rPr>
  </w:style>
  <w:style w:type="character" w:customStyle="1" w:styleId="Heading3Char">
    <w:name w:val="Heading 3 Char"/>
    <w:basedOn w:val="DefaultParagraphFont"/>
    <w:link w:val="Heading3"/>
    <w:uiPriority w:val="99"/>
    <w:rsid w:val="00607BAC"/>
    <w:rPr>
      <w:rFonts w:ascii="Book Antiqua" w:eastAsia="Times New Roman" w:hAnsi="Book Antiqua" w:cs="Times New Roman"/>
      <w:sz w:val="24"/>
      <w:szCs w:val="24"/>
    </w:rPr>
  </w:style>
  <w:style w:type="paragraph" w:styleId="NormalWeb">
    <w:name w:val="Normal (Web)"/>
    <w:basedOn w:val="Normal"/>
    <w:uiPriority w:val="99"/>
    <w:unhideWhenUsed/>
    <w:rsid w:val="00E76E7A"/>
    <w:rPr>
      <w:rFonts w:ascii="SimSun" w:eastAsia="SimSun" w:hAnsi="SimSun" w:cs="SimSun"/>
      <w:lang w:val="en-US" w:eastAsia="zh-CN"/>
    </w:rPr>
  </w:style>
  <w:style w:type="character" w:styleId="Strong">
    <w:name w:val="Strong"/>
    <w:basedOn w:val="DefaultParagraphFont"/>
    <w:uiPriority w:val="22"/>
    <w:qFormat/>
    <w:rsid w:val="00E76E7A"/>
    <w:rPr>
      <w:b/>
      <w:bCs/>
    </w:rPr>
  </w:style>
  <w:style w:type="paragraph" w:styleId="Caption">
    <w:name w:val="caption"/>
    <w:aliases w:val="Caption Char1,Caption Char Char,Caption Char1 Char Char,Caption Char Char Char Char,Caption Char2 Char Char Char Char,Caption Char1 Char Char Char Char Char,Caption Char Char Char Char Char Char Char,Caption Char Char1 Char Char Char Char"/>
    <w:basedOn w:val="Normal"/>
    <w:next w:val="Normal"/>
    <w:autoRedefine/>
    <w:qFormat/>
    <w:rsid w:val="001B10CB"/>
    <w:pPr>
      <w:overflowPunct w:val="0"/>
      <w:autoSpaceDE w:val="0"/>
      <w:autoSpaceDN w:val="0"/>
      <w:adjustRightInd w:val="0"/>
      <w:spacing w:line="480" w:lineRule="auto"/>
      <w:textAlignment w:val="baseline"/>
    </w:pPr>
    <w:rPr>
      <w:b/>
      <w:bCs/>
    </w:rPr>
  </w:style>
  <w:style w:type="table" w:styleId="TableGrid">
    <w:name w:val="Table Grid"/>
    <w:basedOn w:val="TableNormal"/>
    <w:uiPriority w:val="99"/>
    <w:rsid w:val="00607BAC"/>
    <w:pPr>
      <w:spacing w:after="0" w:line="240" w:lineRule="auto"/>
    </w:pPr>
    <w:rPr>
      <w:rFonts w:ascii="Times New Roman" w:eastAsia="Times New Roman" w:hAnsi="Times New Roman" w:cs="Times New Roman"/>
      <w:sz w:val="20"/>
      <w:szCs w:val="20"/>
      <w:lang w:val="de-DE"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607BAC"/>
    <w:pPr>
      <w:spacing w:line="480" w:lineRule="auto"/>
      <w:ind w:left="720"/>
      <w:contextualSpacing/>
    </w:pPr>
    <w:rPr>
      <w:rFonts w:ascii="Arial" w:hAnsi="Arial"/>
      <w:sz w:val="22"/>
    </w:rPr>
  </w:style>
  <w:style w:type="character" w:styleId="CommentReference">
    <w:name w:val="annotation reference"/>
    <w:basedOn w:val="DefaultParagraphFont"/>
    <w:uiPriority w:val="99"/>
    <w:semiHidden/>
    <w:rsid w:val="00616EBC"/>
    <w:rPr>
      <w:rFonts w:cs="Times New Roman"/>
      <w:sz w:val="16"/>
      <w:szCs w:val="16"/>
    </w:rPr>
  </w:style>
  <w:style w:type="paragraph" w:styleId="BalloonText">
    <w:name w:val="Balloon Text"/>
    <w:basedOn w:val="Normal"/>
    <w:link w:val="BalloonTextChar"/>
    <w:uiPriority w:val="99"/>
    <w:semiHidden/>
    <w:unhideWhenUsed/>
    <w:rsid w:val="00616EBC"/>
    <w:rPr>
      <w:rFonts w:ascii="Tahoma" w:hAnsi="Tahoma" w:cs="Tahoma"/>
      <w:sz w:val="16"/>
      <w:szCs w:val="16"/>
    </w:rPr>
  </w:style>
  <w:style w:type="character" w:customStyle="1" w:styleId="BalloonTextChar">
    <w:name w:val="Balloon Text Char"/>
    <w:basedOn w:val="DefaultParagraphFont"/>
    <w:link w:val="BalloonText"/>
    <w:uiPriority w:val="99"/>
    <w:semiHidden/>
    <w:rsid w:val="00616EBC"/>
    <w:rPr>
      <w:rFonts w:ascii="Tahoma" w:eastAsia="Times New Roman" w:hAnsi="Tahoma" w:cs="Tahoma"/>
      <w:sz w:val="16"/>
      <w:szCs w:val="16"/>
    </w:rPr>
  </w:style>
  <w:style w:type="paragraph" w:customStyle="1" w:styleId="ABLOCKPARA">
    <w:name w:val="A BLOCK PARA"/>
    <w:basedOn w:val="Normal"/>
    <w:uiPriority w:val="99"/>
    <w:rsid w:val="00616EBC"/>
    <w:pPr>
      <w:spacing w:line="480" w:lineRule="auto"/>
    </w:pPr>
    <w:rPr>
      <w:rFonts w:ascii="Book Antiqua" w:hAnsi="Book Antiqua"/>
      <w:sz w:val="22"/>
    </w:rPr>
  </w:style>
  <w:style w:type="paragraph" w:customStyle="1" w:styleId="ABULLET">
    <w:name w:val="A BULLET"/>
    <w:basedOn w:val="ABLOCKPARA"/>
    <w:uiPriority w:val="99"/>
    <w:rsid w:val="00616EBC"/>
    <w:pPr>
      <w:ind w:left="331" w:hanging="331"/>
    </w:pPr>
  </w:style>
  <w:style w:type="paragraph" w:customStyle="1" w:styleId="AINDENTEDBULLET">
    <w:name w:val="A INDENTED BULLET"/>
    <w:basedOn w:val="ABLOCKPARA"/>
    <w:uiPriority w:val="99"/>
    <w:rsid w:val="00616EBC"/>
    <w:pPr>
      <w:tabs>
        <w:tab w:val="left" w:pos="1080"/>
      </w:tabs>
      <w:ind w:left="662" w:hanging="331"/>
    </w:pPr>
  </w:style>
  <w:style w:type="paragraph" w:customStyle="1" w:styleId="AINDENTEDPARA">
    <w:name w:val="A INDENTED PARA"/>
    <w:basedOn w:val="ABLOCKPARA"/>
    <w:uiPriority w:val="99"/>
    <w:rsid w:val="00616EBC"/>
    <w:pPr>
      <w:ind w:left="331"/>
    </w:pPr>
  </w:style>
  <w:style w:type="paragraph" w:styleId="Footer">
    <w:name w:val="footer"/>
    <w:basedOn w:val="Normal"/>
    <w:link w:val="FooterChar"/>
    <w:uiPriority w:val="99"/>
    <w:rsid w:val="00616EBC"/>
    <w:pPr>
      <w:tabs>
        <w:tab w:val="center" w:pos="4320"/>
        <w:tab w:val="right" w:pos="9781"/>
      </w:tabs>
      <w:spacing w:line="480" w:lineRule="auto"/>
    </w:pPr>
    <w:rPr>
      <w:rFonts w:ascii="Arial" w:hAnsi="Arial"/>
      <w:sz w:val="16"/>
      <w:szCs w:val="16"/>
    </w:rPr>
  </w:style>
  <w:style w:type="character" w:customStyle="1" w:styleId="FooterChar">
    <w:name w:val="Footer Char"/>
    <w:basedOn w:val="DefaultParagraphFont"/>
    <w:link w:val="Footer"/>
    <w:uiPriority w:val="99"/>
    <w:rsid w:val="00616EBC"/>
    <w:rPr>
      <w:rFonts w:ascii="Arial" w:eastAsia="Times New Roman" w:hAnsi="Arial" w:cs="Times New Roman"/>
      <w:sz w:val="16"/>
      <w:szCs w:val="16"/>
    </w:rPr>
  </w:style>
  <w:style w:type="paragraph" w:styleId="Header">
    <w:name w:val="header"/>
    <w:basedOn w:val="Normal"/>
    <w:link w:val="HeaderChar"/>
    <w:uiPriority w:val="99"/>
    <w:rsid w:val="00616EBC"/>
    <w:pPr>
      <w:tabs>
        <w:tab w:val="center" w:pos="4320"/>
        <w:tab w:val="right" w:pos="8640"/>
      </w:tabs>
      <w:spacing w:line="480" w:lineRule="auto"/>
    </w:pPr>
    <w:rPr>
      <w:rFonts w:ascii="Arial" w:hAnsi="Arial"/>
      <w:sz w:val="22"/>
    </w:rPr>
  </w:style>
  <w:style w:type="character" w:customStyle="1" w:styleId="HeaderChar">
    <w:name w:val="Header Char"/>
    <w:basedOn w:val="DefaultParagraphFont"/>
    <w:link w:val="Header"/>
    <w:uiPriority w:val="99"/>
    <w:rsid w:val="00616EBC"/>
    <w:rPr>
      <w:rFonts w:ascii="Arial" w:eastAsia="Times New Roman" w:hAnsi="Arial" w:cs="Times New Roman"/>
      <w:szCs w:val="24"/>
    </w:rPr>
  </w:style>
  <w:style w:type="paragraph" w:styleId="CommentText">
    <w:name w:val="annotation text"/>
    <w:basedOn w:val="Normal"/>
    <w:link w:val="CommentTextChar"/>
    <w:uiPriority w:val="99"/>
    <w:rsid w:val="00616EBC"/>
    <w:pPr>
      <w:spacing w:line="480" w:lineRule="auto"/>
    </w:pPr>
    <w:rPr>
      <w:rFonts w:ascii="Arial" w:hAnsi="Arial"/>
      <w:sz w:val="20"/>
      <w:szCs w:val="20"/>
    </w:rPr>
  </w:style>
  <w:style w:type="character" w:customStyle="1" w:styleId="CommentTextChar">
    <w:name w:val="Comment Text Char"/>
    <w:basedOn w:val="DefaultParagraphFont"/>
    <w:link w:val="CommentText"/>
    <w:uiPriority w:val="99"/>
    <w:rsid w:val="00616EBC"/>
    <w:rPr>
      <w:rFonts w:ascii="Arial" w:eastAsia="Times New Roman" w:hAnsi="Arial" w:cs="Times New Roman"/>
      <w:sz w:val="20"/>
      <w:szCs w:val="20"/>
    </w:rPr>
  </w:style>
  <w:style w:type="character" w:customStyle="1" w:styleId="CommentSubjectChar">
    <w:name w:val="Comment Subject Char"/>
    <w:basedOn w:val="CommentTextChar"/>
    <w:link w:val="CommentSubject"/>
    <w:uiPriority w:val="99"/>
    <w:semiHidden/>
    <w:rsid w:val="00616EBC"/>
    <w:rPr>
      <w:rFonts w:ascii="Arial" w:eastAsia="Times New Roman" w:hAnsi="Arial" w:cs="Times New Roman"/>
      <w:b/>
      <w:bCs/>
      <w:sz w:val="20"/>
      <w:szCs w:val="20"/>
    </w:rPr>
  </w:style>
  <w:style w:type="paragraph" w:styleId="CommentSubject">
    <w:name w:val="annotation subject"/>
    <w:basedOn w:val="CommentText"/>
    <w:next w:val="CommentText"/>
    <w:link w:val="CommentSubjectChar"/>
    <w:uiPriority w:val="99"/>
    <w:semiHidden/>
    <w:rsid w:val="00616EBC"/>
    <w:rPr>
      <w:b/>
      <w:bCs/>
    </w:rPr>
  </w:style>
  <w:style w:type="paragraph" w:customStyle="1" w:styleId="KeinLeerraum1">
    <w:name w:val="Kein Leerraum1"/>
    <w:link w:val="NoSpacingChar"/>
    <w:uiPriority w:val="99"/>
    <w:rsid w:val="00616EBC"/>
    <w:pPr>
      <w:spacing w:after="0" w:line="240" w:lineRule="auto"/>
    </w:pPr>
    <w:rPr>
      <w:rFonts w:ascii="Calibri" w:eastAsia="Times New Roman" w:hAnsi="Calibri" w:cs="Times New Roman"/>
      <w:lang w:val="de-DE"/>
    </w:rPr>
  </w:style>
  <w:style w:type="character" w:customStyle="1" w:styleId="NoSpacingChar">
    <w:name w:val="No Spacing Char"/>
    <w:basedOn w:val="DefaultParagraphFont"/>
    <w:link w:val="KeinLeerraum1"/>
    <w:uiPriority w:val="99"/>
    <w:locked/>
    <w:rsid w:val="00616EBC"/>
    <w:rPr>
      <w:rFonts w:ascii="Calibri" w:eastAsia="Times New Roman" w:hAnsi="Calibri" w:cs="Times New Roman"/>
      <w:lang w:val="de-DE"/>
    </w:rPr>
  </w:style>
  <w:style w:type="character" w:styleId="Hyperlink">
    <w:name w:val="Hyperlink"/>
    <w:basedOn w:val="DefaultParagraphFont"/>
    <w:uiPriority w:val="99"/>
    <w:rsid w:val="00616EBC"/>
    <w:rPr>
      <w:rFonts w:cs="Times New Roman"/>
      <w:color w:val="0000FF"/>
      <w:u w:val="single"/>
    </w:rPr>
  </w:style>
  <w:style w:type="paragraph" w:customStyle="1" w:styleId="Listenabsatz1">
    <w:name w:val="Listenabsatz1"/>
    <w:basedOn w:val="Normal"/>
    <w:uiPriority w:val="99"/>
    <w:rsid w:val="00616EBC"/>
    <w:pPr>
      <w:spacing w:after="200" w:line="276" w:lineRule="auto"/>
      <w:ind w:left="720"/>
    </w:pPr>
    <w:rPr>
      <w:rFonts w:ascii="Calibri" w:hAnsi="Calibri"/>
      <w:sz w:val="22"/>
      <w:szCs w:val="22"/>
      <w:lang w:val="de-DE"/>
    </w:rPr>
  </w:style>
  <w:style w:type="paragraph" w:styleId="BodyText">
    <w:name w:val="Body Text"/>
    <w:basedOn w:val="Normal"/>
    <w:link w:val="BodyTextChar"/>
    <w:uiPriority w:val="99"/>
    <w:rsid w:val="00616EBC"/>
    <w:pPr>
      <w:autoSpaceDE w:val="0"/>
      <w:autoSpaceDN w:val="0"/>
      <w:adjustRightInd w:val="0"/>
      <w:spacing w:line="480" w:lineRule="auto"/>
    </w:pPr>
    <w:rPr>
      <w:rFonts w:ascii="Helvetica" w:hAnsi="Helvetica"/>
      <w:color w:val="000000"/>
      <w:sz w:val="20"/>
      <w:szCs w:val="20"/>
      <w:lang w:val="en-US"/>
    </w:rPr>
  </w:style>
  <w:style w:type="character" w:customStyle="1" w:styleId="BodyTextChar">
    <w:name w:val="Body Text Char"/>
    <w:basedOn w:val="DefaultParagraphFont"/>
    <w:link w:val="BodyText"/>
    <w:uiPriority w:val="99"/>
    <w:rsid w:val="00616EBC"/>
    <w:rPr>
      <w:rFonts w:ascii="Helvetica" w:eastAsia="Times New Roman" w:hAnsi="Helvetica" w:cs="Times New Roman"/>
      <w:color w:val="000000"/>
      <w:sz w:val="20"/>
      <w:szCs w:val="20"/>
      <w:lang w:val="en-US"/>
    </w:rPr>
  </w:style>
  <w:style w:type="paragraph" w:customStyle="1" w:styleId="Listenabsatz2">
    <w:name w:val="Listenabsatz2"/>
    <w:basedOn w:val="Normal"/>
    <w:uiPriority w:val="99"/>
    <w:rsid w:val="00616EBC"/>
    <w:pPr>
      <w:spacing w:line="480" w:lineRule="auto"/>
      <w:ind w:left="708"/>
    </w:pPr>
    <w:rPr>
      <w:rFonts w:ascii="Arial" w:hAnsi="Arial"/>
      <w:sz w:val="22"/>
    </w:rPr>
  </w:style>
  <w:style w:type="paragraph" w:styleId="TOC1">
    <w:name w:val="toc 1"/>
    <w:basedOn w:val="Normal"/>
    <w:next w:val="Normal"/>
    <w:autoRedefine/>
    <w:uiPriority w:val="39"/>
    <w:rsid w:val="00616EBC"/>
    <w:pPr>
      <w:spacing w:line="480" w:lineRule="auto"/>
    </w:pPr>
    <w:rPr>
      <w:rFonts w:ascii="Arial" w:hAnsi="Arial"/>
      <w:sz w:val="22"/>
    </w:rPr>
  </w:style>
  <w:style w:type="paragraph" w:styleId="TOC2">
    <w:name w:val="toc 2"/>
    <w:basedOn w:val="Normal"/>
    <w:next w:val="Normal"/>
    <w:autoRedefine/>
    <w:uiPriority w:val="39"/>
    <w:rsid w:val="00616EBC"/>
    <w:pPr>
      <w:spacing w:line="480" w:lineRule="auto"/>
      <w:ind w:left="240"/>
    </w:pPr>
    <w:rPr>
      <w:rFonts w:ascii="Arial" w:hAnsi="Arial"/>
      <w:sz w:val="22"/>
    </w:rPr>
  </w:style>
  <w:style w:type="paragraph" w:styleId="TOC3">
    <w:name w:val="toc 3"/>
    <w:basedOn w:val="Normal"/>
    <w:next w:val="Normal"/>
    <w:autoRedefine/>
    <w:uiPriority w:val="39"/>
    <w:rsid w:val="00616EBC"/>
    <w:pPr>
      <w:spacing w:line="480" w:lineRule="auto"/>
      <w:ind w:left="480"/>
    </w:pPr>
    <w:rPr>
      <w:rFonts w:ascii="Arial" w:hAnsi="Arial"/>
      <w:sz w:val="22"/>
    </w:rPr>
  </w:style>
  <w:style w:type="paragraph" w:styleId="TableofFigures">
    <w:name w:val="table of figures"/>
    <w:basedOn w:val="Normal"/>
    <w:next w:val="Normal"/>
    <w:uiPriority w:val="99"/>
    <w:unhideWhenUsed/>
    <w:rsid w:val="00616EBC"/>
    <w:pPr>
      <w:spacing w:line="480" w:lineRule="auto"/>
    </w:pPr>
    <w:rPr>
      <w:rFonts w:ascii="Arial" w:hAnsi="Arial"/>
      <w:sz w:val="22"/>
    </w:rPr>
  </w:style>
  <w:style w:type="table" w:customStyle="1" w:styleId="HelleSchattierung1">
    <w:name w:val="Helle Schattierung1"/>
    <w:basedOn w:val="TableNormal"/>
    <w:uiPriority w:val="60"/>
    <w:rsid w:val="00616EBC"/>
    <w:pPr>
      <w:spacing w:after="0" w:line="240" w:lineRule="auto"/>
    </w:pPr>
    <w:rPr>
      <w:rFonts w:ascii="Times New Roman" w:eastAsia="Times New Roman" w:hAnsi="Times New Roman" w:cs="Times New Roman"/>
      <w:color w:val="000000" w:themeColor="text1" w:themeShade="BF"/>
      <w:sz w:val="20"/>
      <w:szCs w:val="20"/>
      <w:lang w:val="de-DE"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bold1">
    <w:name w:val="bold1"/>
    <w:basedOn w:val="DefaultParagraphFont"/>
    <w:rsid w:val="00616EBC"/>
    <w:rPr>
      <w:b/>
      <w:bCs/>
    </w:rPr>
  </w:style>
  <w:style w:type="paragraph" w:styleId="Revision">
    <w:name w:val="Revision"/>
    <w:hidden/>
    <w:uiPriority w:val="99"/>
    <w:semiHidden/>
    <w:rsid w:val="00616EBC"/>
    <w:pPr>
      <w:spacing w:after="0" w:line="240" w:lineRule="auto"/>
    </w:pPr>
    <w:rPr>
      <w:rFonts w:ascii="Arial" w:eastAsia="Times New Roman" w:hAnsi="Arial" w:cs="Times New Roman"/>
      <w:szCs w:val="24"/>
    </w:rPr>
  </w:style>
  <w:style w:type="table" w:customStyle="1" w:styleId="HelleSchattierung2">
    <w:name w:val="Helle Schattierung2"/>
    <w:basedOn w:val="TableNormal"/>
    <w:uiPriority w:val="60"/>
    <w:rsid w:val="00616EBC"/>
    <w:pPr>
      <w:spacing w:after="0" w:line="240" w:lineRule="auto"/>
    </w:pPr>
    <w:rPr>
      <w:rFonts w:ascii="Times New Roman" w:eastAsia="Times New Roman" w:hAnsi="Times New Roman" w:cs="Times New Roman"/>
      <w:color w:val="000000" w:themeColor="text1" w:themeShade="BF"/>
      <w:sz w:val="20"/>
      <w:szCs w:val="20"/>
      <w:lang w:val="de-DE"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DocumentMapChar">
    <w:name w:val="Document Map Char"/>
    <w:basedOn w:val="DefaultParagraphFont"/>
    <w:link w:val="DocumentMap"/>
    <w:uiPriority w:val="99"/>
    <w:semiHidden/>
    <w:rsid w:val="00616EBC"/>
    <w:rPr>
      <w:rFonts w:ascii="Tahoma" w:eastAsia="Times New Roman" w:hAnsi="Tahoma" w:cs="Tahoma"/>
      <w:sz w:val="16"/>
      <w:szCs w:val="16"/>
    </w:rPr>
  </w:style>
  <w:style w:type="paragraph" w:styleId="DocumentMap">
    <w:name w:val="Document Map"/>
    <w:basedOn w:val="Normal"/>
    <w:link w:val="DocumentMapChar"/>
    <w:uiPriority w:val="99"/>
    <w:semiHidden/>
    <w:unhideWhenUsed/>
    <w:rsid w:val="00616EBC"/>
    <w:rPr>
      <w:rFonts w:ascii="Tahoma" w:hAnsi="Tahoma" w:cs="Tahoma"/>
      <w:sz w:val="16"/>
      <w:szCs w:val="16"/>
    </w:rPr>
  </w:style>
  <w:style w:type="table" w:customStyle="1" w:styleId="HelleSchattierung3">
    <w:name w:val="Helle Schattierung3"/>
    <w:basedOn w:val="TableNormal"/>
    <w:uiPriority w:val="60"/>
    <w:rsid w:val="00616EBC"/>
    <w:pPr>
      <w:spacing w:after="0" w:line="240" w:lineRule="auto"/>
    </w:pPr>
    <w:rPr>
      <w:rFonts w:ascii="Times New Roman" w:eastAsia="Times New Roman" w:hAnsi="Times New Roman" w:cs="Times New Roman"/>
      <w:color w:val="000000" w:themeColor="text1" w:themeShade="BF"/>
      <w:sz w:val="20"/>
      <w:szCs w:val="20"/>
      <w:lang w:val="de-DE"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4">
    <w:name w:val="toc 4"/>
    <w:basedOn w:val="Normal"/>
    <w:next w:val="Normal"/>
    <w:autoRedefine/>
    <w:uiPriority w:val="39"/>
    <w:unhideWhenUsed/>
    <w:rsid w:val="00616EBC"/>
    <w:pPr>
      <w:spacing w:after="100" w:line="276" w:lineRule="auto"/>
      <w:ind w:left="660"/>
    </w:pPr>
    <w:rPr>
      <w:rFonts w:asciiTheme="minorHAnsi" w:eastAsiaTheme="minorEastAsia" w:hAnsiTheme="minorHAnsi" w:cstheme="minorBidi"/>
      <w:sz w:val="22"/>
      <w:szCs w:val="22"/>
      <w:lang w:val="de-DE" w:eastAsia="de-DE"/>
    </w:rPr>
  </w:style>
  <w:style w:type="paragraph" w:styleId="TOC5">
    <w:name w:val="toc 5"/>
    <w:basedOn w:val="Normal"/>
    <w:next w:val="Normal"/>
    <w:autoRedefine/>
    <w:uiPriority w:val="39"/>
    <w:unhideWhenUsed/>
    <w:rsid w:val="00616EBC"/>
    <w:pPr>
      <w:spacing w:after="100" w:line="276" w:lineRule="auto"/>
      <w:ind w:left="880"/>
    </w:pPr>
    <w:rPr>
      <w:rFonts w:asciiTheme="minorHAnsi" w:eastAsiaTheme="minorEastAsia" w:hAnsiTheme="minorHAnsi" w:cstheme="minorBidi"/>
      <w:sz w:val="22"/>
      <w:szCs w:val="22"/>
      <w:lang w:val="de-DE" w:eastAsia="de-DE"/>
    </w:rPr>
  </w:style>
  <w:style w:type="paragraph" w:styleId="TOC6">
    <w:name w:val="toc 6"/>
    <w:basedOn w:val="Normal"/>
    <w:next w:val="Normal"/>
    <w:autoRedefine/>
    <w:uiPriority w:val="39"/>
    <w:unhideWhenUsed/>
    <w:rsid w:val="00616EBC"/>
    <w:pPr>
      <w:spacing w:after="100" w:line="276" w:lineRule="auto"/>
      <w:ind w:left="1100"/>
    </w:pPr>
    <w:rPr>
      <w:rFonts w:asciiTheme="minorHAnsi" w:eastAsiaTheme="minorEastAsia" w:hAnsiTheme="minorHAnsi" w:cstheme="minorBidi"/>
      <w:sz w:val="22"/>
      <w:szCs w:val="22"/>
      <w:lang w:val="de-DE" w:eastAsia="de-DE"/>
    </w:rPr>
  </w:style>
  <w:style w:type="paragraph" w:styleId="TOC7">
    <w:name w:val="toc 7"/>
    <w:basedOn w:val="Normal"/>
    <w:next w:val="Normal"/>
    <w:autoRedefine/>
    <w:uiPriority w:val="39"/>
    <w:unhideWhenUsed/>
    <w:rsid w:val="00616EBC"/>
    <w:pPr>
      <w:spacing w:after="100" w:line="276" w:lineRule="auto"/>
      <w:ind w:left="1320"/>
    </w:pPr>
    <w:rPr>
      <w:rFonts w:asciiTheme="minorHAnsi" w:eastAsiaTheme="minorEastAsia" w:hAnsiTheme="minorHAnsi" w:cstheme="minorBidi"/>
      <w:sz w:val="22"/>
      <w:szCs w:val="22"/>
      <w:lang w:val="de-DE" w:eastAsia="de-DE"/>
    </w:rPr>
  </w:style>
  <w:style w:type="paragraph" w:styleId="TOC8">
    <w:name w:val="toc 8"/>
    <w:basedOn w:val="Normal"/>
    <w:next w:val="Normal"/>
    <w:autoRedefine/>
    <w:uiPriority w:val="39"/>
    <w:unhideWhenUsed/>
    <w:rsid w:val="00616EBC"/>
    <w:pPr>
      <w:spacing w:after="100" w:line="276" w:lineRule="auto"/>
      <w:ind w:left="1540"/>
    </w:pPr>
    <w:rPr>
      <w:rFonts w:asciiTheme="minorHAnsi" w:eastAsiaTheme="minorEastAsia" w:hAnsiTheme="minorHAnsi" w:cstheme="minorBidi"/>
      <w:sz w:val="22"/>
      <w:szCs w:val="22"/>
      <w:lang w:val="de-DE" w:eastAsia="de-DE"/>
    </w:rPr>
  </w:style>
  <w:style w:type="paragraph" w:styleId="TOC9">
    <w:name w:val="toc 9"/>
    <w:basedOn w:val="Normal"/>
    <w:next w:val="Normal"/>
    <w:autoRedefine/>
    <w:uiPriority w:val="39"/>
    <w:unhideWhenUsed/>
    <w:rsid w:val="00616EBC"/>
    <w:pPr>
      <w:spacing w:after="100" w:line="276" w:lineRule="auto"/>
      <w:ind w:left="1760"/>
    </w:pPr>
    <w:rPr>
      <w:rFonts w:asciiTheme="minorHAnsi" w:eastAsiaTheme="minorEastAsia" w:hAnsiTheme="minorHAnsi" w:cstheme="minorBidi"/>
      <w:sz w:val="22"/>
      <w:szCs w:val="22"/>
      <w:lang w:val="de-DE" w:eastAsia="de-DE"/>
    </w:rPr>
  </w:style>
  <w:style w:type="table" w:customStyle="1" w:styleId="HelleSchattierung24">
    <w:name w:val="Helle Schattierung24"/>
    <w:basedOn w:val="TableNormal"/>
    <w:uiPriority w:val="60"/>
    <w:rsid w:val="00091562"/>
    <w:pPr>
      <w:spacing w:after="0" w:line="240" w:lineRule="auto"/>
    </w:pPr>
    <w:rPr>
      <w:rFonts w:ascii="Times New Roman" w:eastAsia="Times New Roman" w:hAnsi="Times New Roman" w:cs="Times New Roman"/>
      <w:color w:val="000000" w:themeColor="text1" w:themeShade="BF"/>
      <w:sz w:val="20"/>
      <w:szCs w:val="20"/>
      <w:lang w:val="de-DE"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Classic1">
    <w:name w:val="Table Classic 1"/>
    <w:basedOn w:val="TableNormal"/>
    <w:uiPriority w:val="99"/>
    <w:rsid w:val="001632DA"/>
    <w:pPr>
      <w:spacing w:after="0" w:line="240" w:lineRule="auto"/>
    </w:pPr>
    <w:rPr>
      <w:rFonts w:ascii="Times New Roman" w:eastAsia="Times New Roman" w:hAnsi="Times New Roman" w:cs="Times New Roman"/>
      <w:sz w:val="20"/>
      <w:szCs w:val="20"/>
      <w:lang w:val="de-DE" w:eastAsia="de-DE"/>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ListBullet">
    <w:name w:val="List Bullet"/>
    <w:basedOn w:val="Normal"/>
    <w:rsid w:val="002721A8"/>
    <w:pPr>
      <w:numPr>
        <w:numId w:val="3"/>
      </w:numPr>
      <w:spacing w:after="120"/>
      <w:jc w:val="both"/>
    </w:pPr>
    <w:rPr>
      <w:rFonts w:ascii="Palatino Linotype" w:hAnsi="Palatino Linotype"/>
      <w:kern w:val="12"/>
      <w:sz w:val="18"/>
      <w:szCs w:val="18"/>
      <w:lang w:val="de-DE" w:eastAsia="de-DE"/>
    </w:rPr>
  </w:style>
  <w:style w:type="paragraph" w:customStyle="1" w:styleId="Normal0">
    <w:name w:val="[Normal]"/>
    <w:uiPriority w:val="99"/>
    <w:rsid w:val="000011E3"/>
    <w:pPr>
      <w:widowControl w:val="0"/>
      <w:autoSpaceDE w:val="0"/>
      <w:autoSpaceDN w:val="0"/>
      <w:adjustRightInd w:val="0"/>
      <w:spacing w:after="0" w:line="240" w:lineRule="auto"/>
    </w:pPr>
    <w:rPr>
      <w:rFonts w:ascii="Arial" w:hAnsi="Arial" w:cs="Arial"/>
      <w:sz w:val="24"/>
      <w:szCs w:val="24"/>
      <w:lang w:val="de-DE"/>
    </w:rPr>
  </w:style>
  <w:style w:type="character" w:customStyle="1" w:styleId="apple-style-span">
    <w:name w:val="apple-style-span"/>
    <w:basedOn w:val="DefaultParagraphFont"/>
    <w:rsid w:val="008C3826"/>
  </w:style>
  <w:style w:type="paragraph" w:styleId="FootnoteText">
    <w:name w:val="footnote text"/>
    <w:basedOn w:val="Normal"/>
    <w:link w:val="FootnoteTextChar"/>
    <w:uiPriority w:val="99"/>
    <w:unhideWhenUsed/>
    <w:rsid w:val="008C3826"/>
    <w:rPr>
      <w:rFonts w:asciiTheme="minorHAnsi" w:eastAsiaTheme="minorEastAsia" w:hAnsiTheme="minorHAnsi" w:cstheme="minorBidi"/>
      <w:sz w:val="20"/>
      <w:szCs w:val="20"/>
      <w:lang w:val="en-US" w:eastAsia="ko-KR"/>
    </w:rPr>
  </w:style>
  <w:style w:type="character" w:customStyle="1" w:styleId="FootnoteTextChar">
    <w:name w:val="Footnote Text Char"/>
    <w:basedOn w:val="DefaultParagraphFont"/>
    <w:link w:val="FootnoteText"/>
    <w:uiPriority w:val="99"/>
    <w:rsid w:val="008C3826"/>
    <w:rPr>
      <w:rFonts w:eastAsiaTheme="minorEastAsia"/>
      <w:sz w:val="20"/>
      <w:szCs w:val="20"/>
      <w:lang w:val="en-US" w:eastAsia="ko-KR"/>
    </w:rPr>
  </w:style>
  <w:style w:type="character" w:styleId="FootnoteReference">
    <w:name w:val="footnote reference"/>
    <w:basedOn w:val="DefaultParagraphFont"/>
    <w:uiPriority w:val="99"/>
    <w:semiHidden/>
    <w:unhideWhenUsed/>
    <w:rsid w:val="008C38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291108">
      <w:bodyDiv w:val="1"/>
      <w:marLeft w:val="0"/>
      <w:marRight w:val="0"/>
      <w:marTop w:val="0"/>
      <w:marBottom w:val="0"/>
      <w:divBdr>
        <w:top w:val="none" w:sz="0" w:space="0" w:color="auto"/>
        <w:left w:val="none" w:sz="0" w:space="0" w:color="auto"/>
        <w:bottom w:val="none" w:sz="0" w:space="0" w:color="auto"/>
        <w:right w:val="none" w:sz="0" w:space="0" w:color="auto"/>
      </w:divBdr>
    </w:div>
    <w:div w:id="1842817242">
      <w:bodyDiv w:val="1"/>
      <w:marLeft w:val="0"/>
      <w:marRight w:val="0"/>
      <w:marTop w:val="0"/>
      <w:marBottom w:val="0"/>
      <w:divBdr>
        <w:top w:val="none" w:sz="0" w:space="0" w:color="auto"/>
        <w:left w:val="none" w:sz="0" w:space="0" w:color="auto"/>
        <w:bottom w:val="none" w:sz="0" w:space="0" w:color="auto"/>
        <w:right w:val="none" w:sz="0" w:space="0" w:color="auto"/>
      </w:divBdr>
    </w:div>
    <w:div w:id="190155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D113D-2708-4B0A-9773-A63D406B9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7460</Words>
  <Characters>42528</Characters>
  <Application>Microsoft Office Word</Application>
  <DocSecurity>0</DocSecurity>
  <Lines>354</Lines>
  <Paragraphs>99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Aston University</Company>
  <LinksUpToDate>false</LinksUpToDate>
  <CharactersWithSpaces>49889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 William</dc:creator>
  <cp:lastModifiedBy>Stork, Leigh</cp:lastModifiedBy>
  <cp:revision>2</cp:revision>
  <cp:lastPrinted>2018-05-22T00:11:00Z</cp:lastPrinted>
  <dcterms:created xsi:type="dcterms:W3CDTF">2018-07-12T07:17:00Z</dcterms:created>
  <dcterms:modified xsi:type="dcterms:W3CDTF">2018-07-12T07:17:00Z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