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C4658" w14:textId="77777777" w:rsidR="00F23422" w:rsidRPr="00DF3EF0" w:rsidRDefault="00F23422" w:rsidP="003E1C68">
      <w:pPr>
        <w:jc w:val="center"/>
        <w:rPr>
          <w:rFonts w:ascii="Arial" w:eastAsia="Calibri" w:hAnsi="Arial" w:cs="Arial"/>
          <w:b/>
          <w:sz w:val="28"/>
          <w:szCs w:val="28"/>
        </w:rPr>
      </w:pPr>
    </w:p>
    <w:p w14:paraId="62A38152" w14:textId="466FFD47" w:rsidR="00F23422" w:rsidRPr="00DF3EF0" w:rsidRDefault="00F23422" w:rsidP="003E1C68">
      <w:pPr>
        <w:jc w:val="center"/>
        <w:rPr>
          <w:rFonts w:ascii="Arial" w:eastAsia="Calibri" w:hAnsi="Arial" w:cs="Arial"/>
          <w:b/>
          <w:sz w:val="28"/>
          <w:szCs w:val="28"/>
        </w:rPr>
      </w:pPr>
      <w:r w:rsidRPr="00DF3EF0">
        <w:rPr>
          <w:rFonts w:ascii="Arial" w:eastAsia="Calibri" w:hAnsi="Arial" w:cs="Arial"/>
          <w:b/>
          <w:sz w:val="28"/>
          <w:szCs w:val="28"/>
        </w:rPr>
        <w:t>Learning and Teaching E</w:t>
      </w:r>
      <w:r w:rsidR="000849C5">
        <w:rPr>
          <w:rFonts w:ascii="Arial" w:eastAsia="Calibri" w:hAnsi="Arial" w:cs="Arial"/>
          <w:b/>
          <w:sz w:val="28"/>
          <w:szCs w:val="28"/>
        </w:rPr>
        <w:t xml:space="preserve">ngineering Mathematics within an Active Learning </w:t>
      </w:r>
      <w:r w:rsidRPr="00DF3EF0">
        <w:rPr>
          <w:rFonts w:ascii="Arial" w:eastAsia="Calibri" w:hAnsi="Arial" w:cs="Arial"/>
          <w:b/>
          <w:sz w:val="28"/>
          <w:szCs w:val="28"/>
        </w:rPr>
        <w:t>Paradigm.</w:t>
      </w:r>
    </w:p>
    <w:p w14:paraId="3570F59E" w14:textId="498B8670" w:rsidR="003E1C68" w:rsidRPr="00DF3EF0" w:rsidRDefault="003E1C68" w:rsidP="003E1C68">
      <w:pPr>
        <w:jc w:val="center"/>
        <w:rPr>
          <w:rFonts w:ascii="Arial" w:eastAsia="Calibri" w:hAnsi="Arial" w:cs="Arial"/>
          <w:b/>
          <w:sz w:val="22"/>
        </w:rPr>
      </w:pPr>
    </w:p>
    <w:p w14:paraId="08B160F1" w14:textId="77777777" w:rsidR="003E1C68" w:rsidRPr="00DF3EF0" w:rsidRDefault="003E1C68" w:rsidP="00DF3EF0">
      <w:pPr>
        <w:spacing w:before="0" w:after="0"/>
        <w:jc w:val="center"/>
        <w:rPr>
          <w:rFonts w:ascii="Arial" w:eastAsia="Calibri" w:hAnsi="Arial" w:cs="Arial"/>
          <w:b/>
          <w:sz w:val="22"/>
        </w:rPr>
      </w:pPr>
    </w:p>
    <w:p w14:paraId="368DF021" w14:textId="77777777" w:rsidR="003E1C68" w:rsidRPr="00DF3EF0" w:rsidRDefault="00F23422" w:rsidP="003E1C68">
      <w:pPr>
        <w:spacing w:after="0"/>
        <w:jc w:val="center"/>
        <w:rPr>
          <w:rFonts w:ascii="Arial" w:eastAsia="Calibri" w:hAnsi="Arial" w:cs="Arial"/>
          <w:sz w:val="22"/>
        </w:rPr>
      </w:pPr>
      <w:r w:rsidRPr="00DF3EF0">
        <w:rPr>
          <w:rFonts w:ascii="Arial" w:eastAsia="Calibri" w:hAnsi="Arial" w:cs="Arial"/>
          <w:b/>
          <w:sz w:val="22"/>
        </w:rPr>
        <w:t>Michael Peters</w:t>
      </w:r>
      <w:r w:rsidR="003E1C68" w:rsidRPr="00DF3EF0">
        <w:rPr>
          <w:rFonts w:ascii="Arial" w:eastAsia="Calibri" w:hAnsi="Arial" w:cs="Arial"/>
          <w:b/>
          <w:sz w:val="22"/>
        </w:rPr>
        <w:t xml:space="preserve">, </w:t>
      </w:r>
      <w:r w:rsidR="003E1C68" w:rsidRPr="00DF3EF0">
        <w:rPr>
          <w:rFonts w:ascii="Arial" w:eastAsia="Calibri" w:hAnsi="Arial" w:cs="Arial"/>
          <w:b/>
          <w:sz w:val="22"/>
        </w:rPr>
        <w:t>Mark Prince</w:t>
      </w:r>
    </w:p>
    <w:p w14:paraId="1B00F985" w14:textId="03526FC5" w:rsidR="00F23422" w:rsidRPr="00DF3EF0" w:rsidRDefault="003E1C68" w:rsidP="003E1C68">
      <w:pPr>
        <w:spacing w:after="0"/>
        <w:jc w:val="center"/>
        <w:rPr>
          <w:rFonts w:ascii="Arial" w:eastAsia="Calibri" w:hAnsi="Arial" w:cs="Arial"/>
          <w:sz w:val="22"/>
        </w:rPr>
      </w:pPr>
      <w:r w:rsidRPr="00DF3EF0">
        <w:rPr>
          <w:rFonts w:ascii="Arial" w:eastAsia="Calibri" w:hAnsi="Arial" w:cs="Arial"/>
          <w:sz w:val="22"/>
        </w:rPr>
        <w:t>S</w:t>
      </w:r>
      <w:r w:rsidR="00F23422" w:rsidRPr="00DF3EF0">
        <w:rPr>
          <w:rFonts w:ascii="Arial" w:eastAsia="Calibri" w:hAnsi="Arial" w:cs="Arial"/>
          <w:sz w:val="22"/>
        </w:rPr>
        <w:t>chool of Engineering &amp; Applied Science, Aston University, UK.</w:t>
      </w:r>
    </w:p>
    <w:p w14:paraId="75109C9E" w14:textId="77777777" w:rsidR="00F23422" w:rsidRPr="00DF3EF0" w:rsidRDefault="00F23422" w:rsidP="003E1C68">
      <w:pPr>
        <w:spacing w:after="0"/>
        <w:rPr>
          <w:rFonts w:ascii="Arial" w:eastAsia="Calibri" w:hAnsi="Arial" w:cs="Arial"/>
          <w:sz w:val="22"/>
        </w:rPr>
      </w:pPr>
    </w:p>
    <w:p w14:paraId="7952C696" w14:textId="3D2397ED" w:rsidR="00F23422" w:rsidRPr="00DF3EF0" w:rsidRDefault="00DF3EF0" w:rsidP="003E1C68">
      <w:pPr>
        <w:rPr>
          <w:rFonts w:ascii="Arial" w:hAnsi="Arial" w:cs="Arial"/>
          <w:sz w:val="22"/>
        </w:rPr>
      </w:pPr>
      <w:r>
        <w:rPr>
          <w:rFonts w:ascii="Arial" w:hAnsi="Arial" w:cs="Arial"/>
          <w:b/>
          <w:sz w:val="22"/>
        </w:rPr>
        <w:t xml:space="preserve">ABSTRACT </w:t>
      </w:r>
    </w:p>
    <w:p w14:paraId="77996AB7" w14:textId="75D32686" w:rsidR="00F23422" w:rsidRDefault="00F23422" w:rsidP="003E1C68">
      <w:pPr>
        <w:rPr>
          <w:rFonts w:ascii="Arial" w:hAnsi="Arial" w:cs="Arial"/>
          <w:sz w:val="22"/>
        </w:rPr>
      </w:pPr>
      <w:r w:rsidRPr="00DF3EF0">
        <w:rPr>
          <w:rFonts w:ascii="Arial" w:hAnsi="Arial" w:cs="Arial"/>
          <w:sz w:val="22"/>
        </w:rPr>
        <w:t xml:space="preserve">The purpose of this paper is to report upon how using open ended, ill formed problems </w:t>
      </w:r>
      <w:r w:rsidR="000849C5">
        <w:rPr>
          <w:rFonts w:ascii="Arial" w:hAnsi="Arial" w:cs="Arial"/>
          <w:sz w:val="22"/>
        </w:rPr>
        <w:t xml:space="preserve">were </w:t>
      </w:r>
      <w:r w:rsidRPr="00DF3EF0">
        <w:rPr>
          <w:rFonts w:ascii="Arial" w:hAnsi="Arial" w:cs="Arial"/>
          <w:sz w:val="22"/>
        </w:rPr>
        <w:t>used to enhance students’ higher order thinking skills and complement the competencies they develop through a</w:t>
      </w:r>
      <w:r w:rsidR="000849C5">
        <w:rPr>
          <w:rFonts w:ascii="Arial" w:hAnsi="Arial" w:cs="Arial"/>
          <w:sz w:val="22"/>
        </w:rPr>
        <w:t>n active learning model.</w:t>
      </w:r>
      <w:r w:rsidRPr="00DF3EF0">
        <w:rPr>
          <w:rFonts w:ascii="Arial" w:hAnsi="Arial" w:cs="Arial"/>
          <w:sz w:val="22"/>
        </w:rPr>
        <w:t xml:space="preserve">  Specifically it provided students with the opportunities to think mathematically, reason mathematically, pose and resolve mathematical problems, to use technology to model resolutions, interpret and handle mathematical symbolism and to communicate their resolutions to peers and staff.</w:t>
      </w:r>
    </w:p>
    <w:p w14:paraId="4DF008B4" w14:textId="1C0ED645" w:rsidR="008D3EAC" w:rsidRDefault="008D3EAC" w:rsidP="008D3EAC">
      <w:pPr>
        <w:spacing w:before="0" w:after="0"/>
        <w:rPr>
          <w:rFonts w:ascii="Arial" w:hAnsi="Arial" w:cs="Arial"/>
          <w:sz w:val="22"/>
        </w:rPr>
      </w:pPr>
      <w:r w:rsidRPr="00DF3EF0">
        <w:rPr>
          <w:rFonts w:ascii="Arial" w:hAnsi="Arial" w:cs="Arial"/>
          <w:sz w:val="22"/>
        </w:rPr>
        <w:t>The evidence from this investigation concludes that the majority of students found the experience challenging but worthwhile.  They considered they had learnt important skills including the ability to form assumptions, persistence, time management, project management and an enhancement of their mathematical skills in relation to engineering.</w:t>
      </w:r>
      <w:r w:rsidR="000849C5">
        <w:rPr>
          <w:rFonts w:ascii="Arial" w:hAnsi="Arial" w:cs="Arial"/>
          <w:sz w:val="22"/>
        </w:rPr>
        <w:t xml:space="preserve">  Many students also thought it was a useful experience in their development as professional engineers.</w:t>
      </w:r>
    </w:p>
    <w:p w14:paraId="3F57E5F2" w14:textId="2A1D59C5" w:rsidR="008D3EAC" w:rsidRDefault="008D3EAC" w:rsidP="008D3EAC">
      <w:pPr>
        <w:spacing w:before="0" w:after="0"/>
        <w:rPr>
          <w:rFonts w:ascii="Arial" w:hAnsi="Arial" w:cs="Arial"/>
          <w:sz w:val="22"/>
        </w:rPr>
      </w:pPr>
    </w:p>
    <w:p w14:paraId="21788798" w14:textId="77777777" w:rsidR="009A3B8C" w:rsidRPr="00DF3EF0" w:rsidRDefault="009A3B8C" w:rsidP="003E1C68">
      <w:pPr>
        <w:pStyle w:val="AAEEHeading1"/>
        <w:spacing w:before="0" w:after="0"/>
        <w:ind w:left="0"/>
        <w:rPr>
          <w:rFonts w:ascii="Arial" w:hAnsi="Arial" w:cs="Arial"/>
          <w:sz w:val="22"/>
        </w:rPr>
      </w:pPr>
    </w:p>
    <w:p w14:paraId="4CA536DC" w14:textId="0D577F53" w:rsidR="00CF214B" w:rsidRPr="00DF3EF0" w:rsidRDefault="00293A84" w:rsidP="003E1C68">
      <w:pPr>
        <w:pStyle w:val="AAEEHeading1"/>
        <w:spacing w:before="0" w:after="0"/>
        <w:ind w:left="0"/>
        <w:rPr>
          <w:rFonts w:ascii="Arial" w:hAnsi="Arial" w:cs="Arial"/>
          <w:sz w:val="22"/>
        </w:rPr>
      </w:pPr>
      <w:r w:rsidRPr="00DF3EF0">
        <w:rPr>
          <w:rFonts w:ascii="Arial" w:hAnsi="Arial" w:cs="Arial"/>
          <w:sz w:val="22"/>
        </w:rPr>
        <w:t>KEY WORDS</w:t>
      </w:r>
      <w:r w:rsidR="005C0C0F" w:rsidRPr="00DF3EF0">
        <w:rPr>
          <w:rFonts w:ascii="Arial" w:hAnsi="Arial" w:cs="Arial"/>
          <w:sz w:val="22"/>
        </w:rPr>
        <w:t xml:space="preserve">: </w:t>
      </w:r>
      <w:r w:rsidR="00986DFA" w:rsidRPr="00DF3EF0">
        <w:rPr>
          <w:rFonts w:ascii="Arial" w:hAnsi="Arial" w:cs="Arial"/>
          <w:sz w:val="22"/>
        </w:rPr>
        <w:t>Problem resolution, modelling, analysis, evaluation, synthesis</w:t>
      </w:r>
      <w:r w:rsidR="00986DFA" w:rsidRPr="00DF3EF0" w:rsidDel="00986DFA">
        <w:rPr>
          <w:rFonts w:ascii="Arial" w:hAnsi="Arial" w:cs="Arial"/>
          <w:sz w:val="22"/>
        </w:rPr>
        <w:t xml:space="preserve"> </w:t>
      </w:r>
    </w:p>
    <w:p w14:paraId="79368590" w14:textId="70BC523D" w:rsidR="00CF214B" w:rsidRPr="00DF3EF0" w:rsidRDefault="00CF214B" w:rsidP="003E1C68">
      <w:pPr>
        <w:spacing w:before="0" w:after="0"/>
        <w:jc w:val="center"/>
        <w:rPr>
          <w:rFonts w:ascii="Arial" w:hAnsi="Arial" w:cs="Arial"/>
          <w:sz w:val="22"/>
        </w:rPr>
      </w:pPr>
    </w:p>
    <w:p w14:paraId="7C8E7728" w14:textId="278A8C1B" w:rsidR="00293A84" w:rsidRPr="00DF3EF0" w:rsidRDefault="00293A84" w:rsidP="003E1C68">
      <w:pPr>
        <w:spacing w:before="0" w:after="0"/>
        <w:rPr>
          <w:rFonts w:ascii="Arial" w:hAnsi="Arial" w:cs="Arial"/>
          <w:b/>
          <w:sz w:val="22"/>
        </w:rPr>
      </w:pPr>
      <w:r w:rsidRPr="00DF3EF0">
        <w:rPr>
          <w:rFonts w:ascii="Arial" w:hAnsi="Arial" w:cs="Arial"/>
          <w:b/>
          <w:sz w:val="22"/>
        </w:rPr>
        <w:t>BACKGROUND</w:t>
      </w:r>
    </w:p>
    <w:p w14:paraId="4D37A337" w14:textId="5EB4C884" w:rsidR="00DF70C9" w:rsidRPr="00DF3EF0" w:rsidRDefault="00DF70C9" w:rsidP="003E1C68">
      <w:pPr>
        <w:spacing w:before="0" w:after="0"/>
        <w:jc w:val="center"/>
        <w:rPr>
          <w:rFonts w:ascii="Arial" w:hAnsi="Arial" w:cs="Arial"/>
          <w:sz w:val="22"/>
        </w:rPr>
      </w:pPr>
    </w:p>
    <w:p w14:paraId="3093D864" w14:textId="01536ED3" w:rsidR="008D3EAC" w:rsidRDefault="008D3EAC" w:rsidP="003E1C68">
      <w:pPr>
        <w:spacing w:after="0"/>
        <w:rPr>
          <w:rFonts w:ascii="Arial" w:hAnsi="Arial" w:cs="Arial"/>
          <w:sz w:val="22"/>
        </w:rPr>
      </w:pPr>
      <w:r>
        <w:rPr>
          <w:rFonts w:ascii="Arial" w:hAnsi="Arial" w:cs="Arial"/>
          <w:sz w:val="22"/>
        </w:rPr>
        <w:t>An Active Learning paradigm as been at the heart of Mechanical Engineering and Design programmes for many years</w:t>
      </w:r>
      <w:r w:rsidR="002006D0">
        <w:rPr>
          <w:rFonts w:ascii="Arial" w:hAnsi="Arial" w:cs="Arial"/>
          <w:sz w:val="22"/>
        </w:rPr>
        <w:t xml:space="preserve"> at Aston University</w:t>
      </w:r>
      <w:r>
        <w:rPr>
          <w:rFonts w:ascii="Arial" w:hAnsi="Arial" w:cs="Arial"/>
          <w:sz w:val="22"/>
        </w:rPr>
        <w:t xml:space="preserve">. It was developed in order to afford students the opportunity to learn engineering skills in a more practical manner than the ‘traditional’ lecture approach. </w:t>
      </w:r>
      <w:r w:rsidR="00507234">
        <w:rPr>
          <w:rFonts w:ascii="Arial" w:hAnsi="Arial" w:cs="Arial"/>
          <w:sz w:val="22"/>
        </w:rPr>
        <w:t xml:space="preserve">It was also recognised that, due to the nature of the students, underpinning theoretical concepts still needed to be taught.  Due to this consideration, two theory modules, engineering science and engineering mathematics, were taught separately within the programme.  The outcome from this approach was that students seemed to ‘compartmentalise’ their knowledge and skills i.e. the mathematics </w:t>
      </w:r>
      <w:r w:rsidR="006B1985">
        <w:rPr>
          <w:rFonts w:ascii="Arial" w:hAnsi="Arial" w:cs="Arial"/>
          <w:sz w:val="22"/>
        </w:rPr>
        <w:t xml:space="preserve">knowledge and associated skills </w:t>
      </w:r>
      <w:r w:rsidR="00507234">
        <w:rPr>
          <w:rFonts w:ascii="Arial" w:hAnsi="Arial" w:cs="Arial"/>
          <w:sz w:val="22"/>
        </w:rPr>
        <w:t xml:space="preserve">they </w:t>
      </w:r>
      <w:r w:rsidR="006B1985">
        <w:rPr>
          <w:rFonts w:ascii="Arial" w:hAnsi="Arial" w:cs="Arial"/>
          <w:sz w:val="22"/>
        </w:rPr>
        <w:t>acquired were</w:t>
      </w:r>
      <w:r w:rsidR="00507234">
        <w:rPr>
          <w:rFonts w:ascii="Arial" w:hAnsi="Arial" w:cs="Arial"/>
          <w:sz w:val="22"/>
        </w:rPr>
        <w:t xml:space="preserve"> not necessarily transferred to other modules.  Also, in many cases, students questioned the need to learn </w:t>
      </w:r>
      <w:r w:rsidR="00FB09F7">
        <w:rPr>
          <w:rFonts w:ascii="Arial" w:hAnsi="Arial" w:cs="Arial"/>
          <w:sz w:val="22"/>
        </w:rPr>
        <w:t xml:space="preserve">mathematics and its appropriateness for engineering.  In order to ameliorate this situation, it was decided to align the engineering mathematics module closer to the approach taken in the Experimentation and Design module. In other words, adopt a more active learning approach to the delivery of engineering mathematics.  </w:t>
      </w:r>
      <w:r w:rsidR="006A5588">
        <w:rPr>
          <w:rFonts w:ascii="Arial" w:hAnsi="Arial" w:cs="Arial"/>
          <w:sz w:val="22"/>
        </w:rPr>
        <w:t>Figure 1 depicts this alignment.</w:t>
      </w:r>
      <w:r w:rsidR="008F4B6A">
        <w:rPr>
          <w:rFonts w:ascii="Arial" w:hAnsi="Arial" w:cs="Arial"/>
          <w:sz w:val="22"/>
        </w:rPr>
        <w:t xml:space="preserve">  This alignment also resonates with the core philosophy of the CDIO syllabus.  The CDIO syllabus states ‘…the three modes of thought most practiced by professional engineers are explicitly called out:  Engineering Reasoning and Problem Solving, Experimentation and Knowledge Discovery, and System Thinking’ </w:t>
      </w:r>
      <w:sdt>
        <w:sdtPr>
          <w:rPr>
            <w:rFonts w:ascii="Arial" w:hAnsi="Arial" w:cs="Arial"/>
            <w:sz w:val="22"/>
          </w:rPr>
          <w:id w:val="-1575122885"/>
          <w:citation/>
        </w:sdtPr>
        <w:sdtContent>
          <w:r w:rsidR="008F4B6A">
            <w:rPr>
              <w:rFonts w:ascii="Arial" w:hAnsi="Arial" w:cs="Arial"/>
              <w:sz w:val="22"/>
            </w:rPr>
            <w:fldChar w:fldCharType="begin"/>
          </w:r>
          <w:r w:rsidR="00C9618D">
            <w:rPr>
              <w:rFonts w:ascii="Arial" w:hAnsi="Arial" w:cs="Arial"/>
              <w:sz w:val="22"/>
              <w:lang w:val="en-GB"/>
            </w:rPr>
            <w:instrText xml:space="preserve">CITATION Cra01 \p 5 \l 2057 </w:instrText>
          </w:r>
          <w:r w:rsidR="008F4B6A">
            <w:rPr>
              <w:rFonts w:ascii="Arial" w:hAnsi="Arial" w:cs="Arial"/>
              <w:sz w:val="22"/>
            </w:rPr>
            <w:fldChar w:fldCharType="separate"/>
          </w:r>
          <w:r w:rsidR="00C9618D">
            <w:rPr>
              <w:rFonts w:ascii="Arial" w:hAnsi="Arial" w:cs="Arial"/>
              <w:noProof/>
              <w:sz w:val="22"/>
              <w:lang w:val="en-GB"/>
            </w:rPr>
            <w:t xml:space="preserve"> </w:t>
          </w:r>
          <w:r w:rsidR="00C9618D" w:rsidRPr="00C9618D">
            <w:rPr>
              <w:rFonts w:ascii="Arial" w:hAnsi="Arial" w:cs="Arial"/>
              <w:noProof/>
              <w:sz w:val="22"/>
              <w:lang w:val="en-GB"/>
            </w:rPr>
            <w:t>(Crawley, 2001, p. 5)</w:t>
          </w:r>
          <w:r w:rsidR="008F4B6A">
            <w:rPr>
              <w:rFonts w:ascii="Arial" w:hAnsi="Arial" w:cs="Arial"/>
              <w:sz w:val="22"/>
            </w:rPr>
            <w:fldChar w:fldCharType="end"/>
          </w:r>
        </w:sdtContent>
      </w:sdt>
      <w:r w:rsidR="006003D2">
        <w:rPr>
          <w:rFonts w:ascii="Arial" w:hAnsi="Arial" w:cs="Arial"/>
          <w:sz w:val="22"/>
        </w:rPr>
        <w:t>.  This</w:t>
      </w:r>
      <w:r w:rsidR="00C9618D">
        <w:rPr>
          <w:rFonts w:ascii="Arial" w:hAnsi="Arial" w:cs="Arial"/>
          <w:sz w:val="22"/>
        </w:rPr>
        <w:t xml:space="preserve"> has parallels with the Engineering Habits of Mind (</w:t>
      </w:r>
      <w:proofErr w:type="spellStart"/>
      <w:r w:rsidR="00C9618D">
        <w:rPr>
          <w:rFonts w:ascii="Arial" w:hAnsi="Arial" w:cs="Arial"/>
          <w:sz w:val="22"/>
        </w:rPr>
        <w:t>EHoM</w:t>
      </w:r>
      <w:proofErr w:type="spellEnd"/>
      <w:r w:rsidR="00C9618D">
        <w:rPr>
          <w:rFonts w:ascii="Arial" w:hAnsi="Arial" w:cs="Arial"/>
          <w:sz w:val="22"/>
        </w:rPr>
        <w:t xml:space="preserve">) philosophy advocated by the Royal Academy of </w:t>
      </w:r>
      <w:bookmarkStart w:id="0" w:name="_GoBack"/>
      <w:bookmarkEnd w:id="0"/>
      <w:r w:rsidR="004243A3">
        <w:rPr>
          <w:rFonts w:ascii="Arial" w:hAnsi="Arial" w:cs="Arial"/>
          <w:sz w:val="22"/>
        </w:rPr>
        <w:t xml:space="preserve">Engineering </w:t>
      </w:r>
      <w:sdt>
        <w:sdtPr>
          <w:rPr>
            <w:rFonts w:ascii="Arial" w:hAnsi="Arial" w:cs="Arial"/>
            <w:sz w:val="22"/>
          </w:rPr>
          <w:id w:val="-798071757"/>
          <w:citation/>
        </w:sdtPr>
        <w:sdtContent>
          <w:r w:rsidR="00C9618D">
            <w:rPr>
              <w:rFonts w:ascii="Arial" w:hAnsi="Arial" w:cs="Arial"/>
              <w:sz w:val="22"/>
            </w:rPr>
            <w:fldChar w:fldCharType="begin"/>
          </w:r>
          <w:r w:rsidR="0069628D">
            <w:rPr>
              <w:rFonts w:ascii="Arial" w:hAnsi="Arial" w:cs="Arial"/>
              <w:sz w:val="22"/>
              <w:lang w:val="en-GB"/>
            </w:rPr>
            <w:instrText xml:space="preserve">CITATION Luc14 \l 2057 </w:instrText>
          </w:r>
          <w:r w:rsidR="00C9618D">
            <w:rPr>
              <w:rFonts w:ascii="Arial" w:hAnsi="Arial" w:cs="Arial"/>
              <w:sz w:val="22"/>
            </w:rPr>
            <w:fldChar w:fldCharType="separate"/>
          </w:r>
          <w:r w:rsidR="0069628D" w:rsidRPr="0069628D">
            <w:rPr>
              <w:rFonts w:ascii="Arial" w:hAnsi="Arial" w:cs="Arial"/>
              <w:noProof/>
              <w:sz w:val="22"/>
              <w:lang w:val="en-GB"/>
            </w:rPr>
            <w:t>(Lucas, Hanson, &amp; Glaxton, 2014)</w:t>
          </w:r>
          <w:r w:rsidR="00C9618D">
            <w:rPr>
              <w:rFonts w:ascii="Arial" w:hAnsi="Arial" w:cs="Arial"/>
              <w:sz w:val="22"/>
            </w:rPr>
            <w:fldChar w:fldCharType="end"/>
          </w:r>
        </w:sdtContent>
      </w:sdt>
      <w:r w:rsidR="00687557">
        <w:rPr>
          <w:rFonts w:ascii="Arial" w:hAnsi="Arial" w:cs="Arial"/>
          <w:sz w:val="22"/>
        </w:rPr>
        <w:t xml:space="preserve">.  This report defines the </w:t>
      </w:r>
      <w:proofErr w:type="spellStart"/>
      <w:r w:rsidR="00687557">
        <w:rPr>
          <w:rFonts w:ascii="Arial" w:hAnsi="Arial" w:cs="Arial"/>
          <w:sz w:val="22"/>
        </w:rPr>
        <w:t>EHoM</w:t>
      </w:r>
      <w:proofErr w:type="spellEnd"/>
      <w:r w:rsidR="00687557">
        <w:rPr>
          <w:rFonts w:ascii="Arial" w:hAnsi="Arial" w:cs="Arial"/>
          <w:sz w:val="22"/>
        </w:rPr>
        <w:t xml:space="preserve"> as: Problem finding, creative problem solving, visualising, improving, systems thinking and adapting.</w:t>
      </w:r>
      <w:r w:rsidR="0069628D">
        <w:rPr>
          <w:rFonts w:ascii="Arial" w:hAnsi="Arial" w:cs="Arial"/>
          <w:sz w:val="22"/>
        </w:rPr>
        <w:t xml:space="preserve"> </w:t>
      </w:r>
    </w:p>
    <w:p w14:paraId="7DB77749" w14:textId="62DA2C99" w:rsidR="00687557" w:rsidRDefault="00687557" w:rsidP="003E1C68">
      <w:pPr>
        <w:spacing w:after="0"/>
        <w:rPr>
          <w:rFonts w:ascii="Arial" w:hAnsi="Arial" w:cs="Arial"/>
          <w:sz w:val="22"/>
        </w:rPr>
      </w:pPr>
      <w:r>
        <w:rPr>
          <w:rFonts w:ascii="Arial" w:hAnsi="Arial" w:cs="Arial"/>
          <w:sz w:val="22"/>
        </w:rPr>
        <w:lastRenderedPageBreak/>
        <w:t>The implementation of ‘engineering thinking’ in a mainly practical module such as the Experimentation and Design, is reasonably straightforward but by no means unproblematic. Translating this approach to a theory based module such as engineering mathematics</w:t>
      </w:r>
      <w:r w:rsidR="006003D2">
        <w:rPr>
          <w:rFonts w:ascii="Arial" w:hAnsi="Arial" w:cs="Arial"/>
          <w:sz w:val="22"/>
        </w:rPr>
        <w:t xml:space="preserve"> is</w:t>
      </w:r>
      <w:r>
        <w:rPr>
          <w:rFonts w:ascii="Arial" w:hAnsi="Arial" w:cs="Arial"/>
          <w:sz w:val="22"/>
        </w:rPr>
        <w:t xml:space="preserve"> challenging.  </w:t>
      </w:r>
    </w:p>
    <w:p w14:paraId="6F83859E" w14:textId="62F57711" w:rsidR="00B8076F" w:rsidRDefault="00B8076F" w:rsidP="003E1C68">
      <w:pPr>
        <w:spacing w:after="0"/>
        <w:rPr>
          <w:rFonts w:ascii="Arial" w:hAnsi="Arial" w:cs="Arial"/>
          <w:sz w:val="22"/>
        </w:rPr>
      </w:pPr>
      <w:r>
        <w:rPr>
          <w:rFonts w:ascii="Arial" w:hAnsi="Arial" w:cs="Arial"/>
          <w:sz w:val="22"/>
        </w:rPr>
        <w:t>The report produced by the European Society for Engineering Education (SEFI</w:t>
      </w:r>
      <w:r w:rsidR="00125F71">
        <w:rPr>
          <w:rFonts w:ascii="Arial" w:hAnsi="Arial" w:cs="Arial"/>
          <w:sz w:val="22"/>
        </w:rPr>
        <w:t>) Mathematics</w:t>
      </w:r>
      <w:r>
        <w:rPr>
          <w:rFonts w:ascii="Arial" w:hAnsi="Arial" w:cs="Arial"/>
          <w:sz w:val="22"/>
        </w:rPr>
        <w:t xml:space="preserve"> Working Group </w:t>
      </w:r>
      <w:sdt>
        <w:sdtPr>
          <w:rPr>
            <w:rFonts w:ascii="Arial" w:hAnsi="Arial" w:cs="Arial"/>
            <w:sz w:val="22"/>
          </w:rPr>
          <w:id w:val="1773582888"/>
          <w:citation/>
        </w:sdtPr>
        <w:sdtContent>
          <w:r w:rsidR="00B23A7F">
            <w:rPr>
              <w:rFonts w:ascii="Arial" w:hAnsi="Arial" w:cs="Arial"/>
              <w:sz w:val="22"/>
            </w:rPr>
            <w:fldChar w:fldCharType="begin"/>
          </w:r>
          <w:r w:rsidR="00B23A7F">
            <w:rPr>
              <w:rFonts w:ascii="Arial" w:hAnsi="Arial" w:cs="Arial"/>
              <w:sz w:val="22"/>
              <w:lang w:val="en-GB"/>
            </w:rPr>
            <w:instrText xml:space="preserve">CITATION SEF131 \n  \t  \l 2057 </w:instrText>
          </w:r>
          <w:r w:rsidR="00B23A7F">
            <w:rPr>
              <w:rFonts w:ascii="Arial" w:hAnsi="Arial" w:cs="Arial"/>
              <w:sz w:val="22"/>
            </w:rPr>
            <w:fldChar w:fldCharType="separate"/>
          </w:r>
          <w:r w:rsidR="00B23A7F" w:rsidRPr="00B23A7F">
            <w:rPr>
              <w:rFonts w:ascii="Arial" w:hAnsi="Arial" w:cs="Arial"/>
              <w:noProof/>
              <w:sz w:val="22"/>
              <w:lang w:val="en-GB"/>
            </w:rPr>
            <w:t>(2013)</w:t>
          </w:r>
          <w:r w:rsidR="00B23A7F">
            <w:rPr>
              <w:rFonts w:ascii="Arial" w:hAnsi="Arial" w:cs="Arial"/>
              <w:sz w:val="22"/>
            </w:rPr>
            <w:fldChar w:fldCharType="end"/>
          </w:r>
        </w:sdtContent>
      </w:sdt>
      <w:r w:rsidR="00B23A7F">
        <w:rPr>
          <w:rFonts w:ascii="Arial" w:hAnsi="Arial" w:cs="Arial"/>
          <w:sz w:val="22"/>
        </w:rPr>
        <w:t xml:space="preserve"> </w:t>
      </w:r>
      <w:r>
        <w:rPr>
          <w:rFonts w:ascii="Arial" w:hAnsi="Arial" w:cs="Arial"/>
          <w:sz w:val="22"/>
        </w:rPr>
        <w:t>was used as a starting point to identify the skills required by a contemporary engineer in terms of mathematical competencies.</w:t>
      </w:r>
      <w:r w:rsidR="00B23A7F">
        <w:rPr>
          <w:rFonts w:ascii="Arial" w:hAnsi="Arial" w:cs="Arial"/>
          <w:sz w:val="22"/>
        </w:rPr>
        <w:t xml:space="preserve">  This report identified the key competencies as: thinking mathematically, reasoning mathematically, posing and solving mathematical problems, </w:t>
      </w:r>
      <w:r w:rsidR="00125F71">
        <w:rPr>
          <w:rFonts w:ascii="Arial" w:hAnsi="Arial" w:cs="Arial"/>
          <w:sz w:val="22"/>
        </w:rPr>
        <w:t>modelling</w:t>
      </w:r>
      <w:r w:rsidR="00B23A7F">
        <w:rPr>
          <w:rFonts w:ascii="Arial" w:hAnsi="Arial" w:cs="Arial"/>
          <w:sz w:val="22"/>
        </w:rPr>
        <w:t xml:space="preserve"> mathematically, representing mathematical entities, handling mathematical symbols and formalism, communicating in, with, and about mathematics and, making use of aids and tools (p 14). </w:t>
      </w:r>
      <w:r w:rsidR="006003D2">
        <w:rPr>
          <w:rFonts w:ascii="Arial" w:hAnsi="Arial" w:cs="Arial"/>
          <w:sz w:val="22"/>
        </w:rPr>
        <w:t xml:space="preserve"> This set of competencies enabled the</w:t>
      </w:r>
      <w:r w:rsidR="00A62F5B">
        <w:rPr>
          <w:rFonts w:ascii="Arial" w:hAnsi="Arial" w:cs="Arial"/>
          <w:sz w:val="22"/>
        </w:rPr>
        <w:t xml:space="preserve"> process of developing an approach to ‘engineering thinking’ to proceed.  </w:t>
      </w:r>
    </w:p>
    <w:p w14:paraId="7DB4344E" w14:textId="5256AACB" w:rsidR="00C9618D" w:rsidRPr="00DF3EF0" w:rsidRDefault="00C9618D" w:rsidP="00C9618D">
      <w:pPr>
        <w:pStyle w:val="EndNoteBibliography"/>
        <w:ind w:left="720" w:hanging="720"/>
        <w:rPr>
          <w:rFonts w:ascii="Arial" w:hAnsi="Arial" w:cs="Arial"/>
        </w:rPr>
      </w:pPr>
    </w:p>
    <w:p w14:paraId="522E0003" w14:textId="3129EDC8" w:rsidR="00986DFA" w:rsidRPr="00DF3EF0" w:rsidRDefault="00986DFA" w:rsidP="003E1C68">
      <w:pPr>
        <w:spacing w:after="0"/>
        <w:rPr>
          <w:rFonts w:ascii="Arial" w:hAnsi="Arial" w:cs="Arial"/>
          <w:sz w:val="22"/>
        </w:rPr>
      </w:pPr>
      <w:r w:rsidRPr="00DF3EF0">
        <w:rPr>
          <w:rFonts w:ascii="Arial" w:hAnsi="Arial" w:cs="Arial"/>
          <w:sz w:val="22"/>
        </w:rPr>
        <w:t>In order to start the process of acquiring these skills within engineering mathematics it was decided to expose the students to open-ended, ill-formed problems</w:t>
      </w:r>
      <w:r w:rsidR="00F60BD7" w:rsidRPr="00DF3EF0">
        <w:rPr>
          <w:rFonts w:ascii="Arial" w:hAnsi="Arial" w:cs="Arial"/>
          <w:sz w:val="22"/>
        </w:rPr>
        <w:t xml:space="preserve"> </w:t>
      </w:r>
      <w:r w:rsidR="00AA3C1D" w:rsidRPr="00DF3EF0">
        <w:rPr>
          <w:rFonts w:ascii="Arial" w:hAnsi="Arial" w:cs="Arial"/>
          <w:sz w:val="22"/>
        </w:rPr>
        <w:t>(see Appendix 1 for an example)</w:t>
      </w:r>
      <w:r w:rsidRPr="00DF3EF0">
        <w:rPr>
          <w:rFonts w:ascii="Arial" w:hAnsi="Arial" w:cs="Arial"/>
          <w:sz w:val="22"/>
        </w:rPr>
        <w:t>.  The students involved with this investigation were first year undergraduate students studying Mechanical Engineering at Aston University.</w:t>
      </w:r>
    </w:p>
    <w:p w14:paraId="49C3679A" w14:textId="10920163" w:rsidR="00986DFA" w:rsidRPr="00DF3EF0" w:rsidRDefault="001B12F9" w:rsidP="003E1C68">
      <w:pPr>
        <w:rPr>
          <w:rFonts w:ascii="Arial" w:hAnsi="Arial" w:cs="Arial"/>
          <w:sz w:val="22"/>
        </w:rPr>
      </w:pPr>
      <w:r w:rsidRPr="00DF3EF0">
        <w:rPr>
          <w:rFonts w:ascii="Arial" w:hAnsi="Arial" w:cs="Arial"/>
          <w:sz w:val="22"/>
        </w:rPr>
        <w:t xml:space="preserve">The module was organised into three elements: semester one comprised of traditional lectures, tutorials and </w:t>
      </w:r>
      <w:r w:rsidR="001C137B" w:rsidRPr="00DF3EF0">
        <w:rPr>
          <w:rFonts w:ascii="Arial" w:hAnsi="Arial" w:cs="Arial"/>
          <w:sz w:val="22"/>
        </w:rPr>
        <w:t xml:space="preserve">guided, </w:t>
      </w:r>
      <w:r w:rsidRPr="00DF3EF0">
        <w:rPr>
          <w:rFonts w:ascii="Arial" w:hAnsi="Arial" w:cs="Arial"/>
          <w:sz w:val="22"/>
        </w:rPr>
        <w:t xml:space="preserve">self-directed learning on </w:t>
      </w:r>
      <w:proofErr w:type="spellStart"/>
      <w:r w:rsidRPr="00DF3EF0">
        <w:rPr>
          <w:rFonts w:ascii="Arial" w:hAnsi="Arial" w:cs="Arial"/>
          <w:sz w:val="22"/>
        </w:rPr>
        <w:t>Matlab</w:t>
      </w:r>
      <w:proofErr w:type="spellEnd"/>
      <w:r w:rsidRPr="00DF3EF0">
        <w:rPr>
          <w:rFonts w:ascii="Arial" w:hAnsi="Arial" w:cs="Arial"/>
          <w:sz w:val="22"/>
        </w:rPr>
        <w:t xml:space="preserve">.  Semester two took the form of the continuation of traditional lectures, tutorials and a problem resolution session. </w:t>
      </w:r>
    </w:p>
    <w:p w14:paraId="686A6A17" w14:textId="74ADF647" w:rsidR="00986DFA" w:rsidRPr="00DF3EF0" w:rsidRDefault="001B12F9" w:rsidP="003E1C68">
      <w:pPr>
        <w:rPr>
          <w:rFonts w:ascii="Arial" w:hAnsi="Arial" w:cs="Arial"/>
          <w:sz w:val="22"/>
        </w:rPr>
      </w:pPr>
      <w:r w:rsidRPr="00DF3EF0">
        <w:rPr>
          <w:rFonts w:ascii="Arial" w:hAnsi="Arial" w:cs="Arial"/>
          <w:sz w:val="22"/>
        </w:rPr>
        <w:t>For the problem (termed a challenge) resolution session, t</w:t>
      </w:r>
      <w:r w:rsidR="00986DFA" w:rsidRPr="00DF3EF0">
        <w:rPr>
          <w:rFonts w:ascii="Arial" w:hAnsi="Arial" w:cs="Arial"/>
          <w:sz w:val="22"/>
        </w:rPr>
        <w:t xml:space="preserve">he students were put into teams and </w:t>
      </w:r>
      <w:r w:rsidRPr="00DF3EF0">
        <w:rPr>
          <w:rFonts w:ascii="Arial" w:hAnsi="Arial" w:cs="Arial"/>
          <w:sz w:val="22"/>
        </w:rPr>
        <w:t>told to</w:t>
      </w:r>
      <w:r w:rsidR="00986DFA" w:rsidRPr="00DF3EF0">
        <w:rPr>
          <w:rFonts w:ascii="Arial" w:hAnsi="Arial" w:cs="Arial"/>
          <w:sz w:val="22"/>
        </w:rPr>
        <w:t xml:space="preserve"> select a </w:t>
      </w:r>
      <w:r w:rsidRPr="00DF3EF0">
        <w:rPr>
          <w:rFonts w:ascii="Arial" w:hAnsi="Arial" w:cs="Arial"/>
          <w:sz w:val="22"/>
        </w:rPr>
        <w:t>challenge</w:t>
      </w:r>
      <w:r w:rsidR="00986DFA" w:rsidRPr="00DF3EF0">
        <w:rPr>
          <w:rFonts w:ascii="Arial" w:hAnsi="Arial" w:cs="Arial"/>
          <w:sz w:val="22"/>
        </w:rPr>
        <w:t xml:space="preserve"> from a range of </w:t>
      </w:r>
      <w:r w:rsidRPr="00DF3EF0">
        <w:rPr>
          <w:rFonts w:ascii="Arial" w:hAnsi="Arial" w:cs="Arial"/>
          <w:sz w:val="22"/>
        </w:rPr>
        <w:t>challenges</w:t>
      </w:r>
      <w:r w:rsidR="00986DFA" w:rsidRPr="00DF3EF0">
        <w:rPr>
          <w:rFonts w:ascii="Arial" w:hAnsi="Arial" w:cs="Arial"/>
          <w:sz w:val="22"/>
        </w:rPr>
        <w:t xml:space="preserve">. Once they had selected a </w:t>
      </w:r>
      <w:r w:rsidRPr="00DF3EF0">
        <w:rPr>
          <w:rFonts w:ascii="Arial" w:hAnsi="Arial" w:cs="Arial"/>
          <w:sz w:val="22"/>
        </w:rPr>
        <w:t xml:space="preserve">challenge </w:t>
      </w:r>
      <w:r w:rsidR="00986DFA" w:rsidRPr="00DF3EF0">
        <w:rPr>
          <w:rFonts w:ascii="Arial" w:hAnsi="Arial" w:cs="Arial"/>
          <w:sz w:val="22"/>
        </w:rPr>
        <w:t>they were expected to find and use appropriate mathematical formulae and procedures in order to develop a</w:t>
      </w:r>
      <w:r w:rsidR="00170908" w:rsidRPr="00DF3EF0">
        <w:rPr>
          <w:rFonts w:ascii="Arial" w:hAnsi="Arial" w:cs="Arial"/>
          <w:sz w:val="22"/>
        </w:rPr>
        <w:t>n</w:t>
      </w:r>
      <w:r w:rsidR="00986DFA" w:rsidRPr="00DF3EF0">
        <w:rPr>
          <w:rFonts w:ascii="Arial" w:hAnsi="Arial" w:cs="Arial"/>
          <w:sz w:val="22"/>
        </w:rPr>
        <w:t xml:space="preserve"> </w:t>
      </w:r>
      <w:r w:rsidR="00170908" w:rsidRPr="00DF3EF0">
        <w:rPr>
          <w:rFonts w:ascii="Arial" w:hAnsi="Arial" w:cs="Arial"/>
          <w:sz w:val="22"/>
        </w:rPr>
        <w:t>abstract</w:t>
      </w:r>
      <w:r w:rsidR="00986DFA" w:rsidRPr="00DF3EF0">
        <w:rPr>
          <w:rFonts w:ascii="Arial" w:hAnsi="Arial" w:cs="Arial"/>
          <w:sz w:val="22"/>
        </w:rPr>
        <w:t xml:space="preserve"> model using </w:t>
      </w:r>
      <w:proofErr w:type="spellStart"/>
      <w:r w:rsidR="00986DFA" w:rsidRPr="00DF3EF0">
        <w:rPr>
          <w:rFonts w:ascii="Arial" w:hAnsi="Arial" w:cs="Arial"/>
          <w:sz w:val="22"/>
        </w:rPr>
        <w:t>Matlab</w:t>
      </w:r>
      <w:proofErr w:type="spellEnd"/>
      <w:r w:rsidR="00986DFA" w:rsidRPr="00DF3EF0">
        <w:rPr>
          <w:rFonts w:ascii="Arial" w:hAnsi="Arial" w:cs="Arial"/>
          <w:sz w:val="22"/>
        </w:rPr>
        <w:t xml:space="preserve">.  They were given talks on problem solving and about working in teams.  The assessment took the form of an academic poster which would be assessed by members of the Mechanical Engineering and Design Subject Group.  Prior to the assessment day, the students were given a talk on how to design an academic poster.  The staff members supervising the sessions were advised not to intervene at an early stage and let the teams struggle with the challenge. </w:t>
      </w:r>
    </w:p>
    <w:p w14:paraId="6495B7E1" w14:textId="77777777" w:rsidR="009A3B8C" w:rsidRPr="00DF3EF0" w:rsidRDefault="009A3B8C" w:rsidP="003E1C68">
      <w:pPr>
        <w:rPr>
          <w:rFonts w:ascii="Arial" w:hAnsi="Arial" w:cs="Arial"/>
          <w:sz w:val="22"/>
        </w:rPr>
      </w:pPr>
    </w:p>
    <w:p w14:paraId="30076C0C" w14:textId="50146780" w:rsidR="004C6D42" w:rsidRPr="00DF3EF0" w:rsidRDefault="004C6D42" w:rsidP="003E1C68">
      <w:pPr>
        <w:spacing w:before="0" w:after="0"/>
        <w:rPr>
          <w:rFonts w:ascii="Arial" w:hAnsi="Arial" w:cs="Arial"/>
          <w:b/>
          <w:sz w:val="22"/>
        </w:rPr>
      </w:pPr>
      <w:r w:rsidRPr="00DF3EF0">
        <w:rPr>
          <w:rFonts w:ascii="Arial" w:hAnsi="Arial" w:cs="Arial"/>
          <w:b/>
          <w:sz w:val="22"/>
        </w:rPr>
        <w:t>LITERATURE REVIEW</w:t>
      </w:r>
    </w:p>
    <w:p w14:paraId="5DB4757A" w14:textId="587D649E" w:rsidR="004C6D42" w:rsidRPr="00DF3EF0" w:rsidRDefault="004C6D42" w:rsidP="003E1C68">
      <w:pPr>
        <w:spacing w:before="0" w:after="0"/>
        <w:jc w:val="center"/>
        <w:rPr>
          <w:rFonts w:ascii="Arial" w:hAnsi="Arial" w:cs="Arial"/>
          <w:sz w:val="22"/>
        </w:rPr>
      </w:pPr>
    </w:p>
    <w:p w14:paraId="107F8588" w14:textId="1FA24596" w:rsidR="002172A1" w:rsidRPr="00DF3EF0" w:rsidRDefault="00986DFA" w:rsidP="003E1C68">
      <w:pPr>
        <w:autoSpaceDE w:val="0"/>
        <w:autoSpaceDN w:val="0"/>
        <w:adjustRightInd w:val="0"/>
        <w:spacing w:after="0"/>
        <w:rPr>
          <w:rFonts w:ascii="Arial" w:hAnsi="Arial" w:cs="Arial"/>
          <w:sz w:val="22"/>
        </w:rPr>
      </w:pPr>
      <w:r w:rsidRPr="00DF3EF0">
        <w:rPr>
          <w:rFonts w:ascii="Arial" w:hAnsi="Arial" w:cs="Arial"/>
          <w:sz w:val="22"/>
        </w:rPr>
        <w:t>Fundamental to engineering is the necessity for the engineer to be able to analyse a</w:t>
      </w:r>
      <w:r w:rsidR="00F3651B" w:rsidRPr="00DF3EF0">
        <w:rPr>
          <w:rFonts w:ascii="Arial" w:hAnsi="Arial" w:cs="Arial"/>
          <w:sz w:val="22"/>
        </w:rPr>
        <w:t xml:space="preserve"> </w:t>
      </w:r>
      <w:r w:rsidRPr="00DF3EF0">
        <w:rPr>
          <w:rFonts w:ascii="Arial" w:hAnsi="Arial" w:cs="Arial"/>
          <w:sz w:val="22"/>
        </w:rPr>
        <w:t xml:space="preserve">problem, identify the mathematics required to translate the physical scenario into an abstract model, interpret the results of the modelling process and communicate the resolution to managers and peers.  The skills implicit within this process are known as higher order thinking skills and were identified in Bloom’s Taxonomy </w:t>
      </w:r>
      <w:sdt>
        <w:sdtPr>
          <w:rPr>
            <w:rFonts w:ascii="Arial" w:hAnsi="Arial" w:cs="Arial"/>
            <w:sz w:val="22"/>
          </w:rPr>
          <w:id w:val="1702368023"/>
          <w:citation/>
        </w:sdtPr>
        <w:sdtContent>
          <w:r w:rsidR="00CB3C8D">
            <w:rPr>
              <w:rFonts w:ascii="Arial" w:hAnsi="Arial" w:cs="Arial"/>
              <w:sz w:val="22"/>
            </w:rPr>
            <w:fldChar w:fldCharType="begin"/>
          </w:r>
          <w:r w:rsidR="00CB3C8D">
            <w:rPr>
              <w:rFonts w:ascii="Arial" w:hAnsi="Arial" w:cs="Arial"/>
              <w:sz w:val="22"/>
              <w:lang w:val="en-GB"/>
            </w:rPr>
            <w:instrText xml:space="preserve">CITATION For18 \l 2057 </w:instrText>
          </w:r>
          <w:r w:rsidR="00CB3C8D">
            <w:rPr>
              <w:rFonts w:ascii="Arial" w:hAnsi="Arial" w:cs="Arial"/>
              <w:sz w:val="22"/>
            </w:rPr>
            <w:fldChar w:fldCharType="separate"/>
          </w:r>
          <w:r w:rsidR="00CB3C8D" w:rsidRPr="00CB3C8D">
            <w:rPr>
              <w:rFonts w:ascii="Arial" w:hAnsi="Arial" w:cs="Arial"/>
              <w:noProof/>
              <w:sz w:val="22"/>
              <w:lang w:val="en-GB"/>
            </w:rPr>
            <w:t>(Forehand, 2005)</w:t>
          </w:r>
          <w:r w:rsidR="00CB3C8D">
            <w:rPr>
              <w:rFonts w:ascii="Arial" w:hAnsi="Arial" w:cs="Arial"/>
              <w:sz w:val="22"/>
            </w:rPr>
            <w:fldChar w:fldCharType="end"/>
          </w:r>
        </w:sdtContent>
      </w:sdt>
      <w:r w:rsidRPr="00DF3EF0">
        <w:rPr>
          <w:rFonts w:ascii="Arial" w:hAnsi="Arial" w:cs="Arial"/>
          <w:sz w:val="22"/>
        </w:rPr>
        <w:t xml:space="preserve"> as analysis, evaluation and synthesis.  These higher order thinking skills are difficult to teach and for students to learn but are vital if the complex world of engineering is to advance.</w:t>
      </w:r>
      <w:r w:rsidR="00A72BA6" w:rsidRPr="00DF3EF0">
        <w:rPr>
          <w:rFonts w:ascii="Arial" w:hAnsi="Arial" w:cs="Arial"/>
          <w:sz w:val="22"/>
        </w:rPr>
        <w:t xml:space="preserve">  According to </w:t>
      </w:r>
      <w:sdt>
        <w:sdtPr>
          <w:rPr>
            <w:rFonts w:ascii="Arial" w:hAnsi="Arial" w:cs="Arial"/>
            <w:sz w:val="22"/>
          </w:rPr>
          <w:id w:val="709072859"/>
          <w:citation/>
        </w:sdtPr>
        <w:sdtContent>
          <w:r w:rsidR="00CB3C8D">
            <w:rPr>
              <w:rFonts w:ascii="Arial" w:hAnsi="Arial" w:cs="Arial"/>
              <w:sz w:val="22"/>
            </w:rPr>
            <w:fldChar w:fldCharType="begin"/>
          </w:r>
          <w:r w:rsidR="00CB3C8D">
            <w:rPr>
              <w:rFonts w:ascii="Arial" w:hAnsi="Arial" w:cs="Arial"/>
              <w:sz w:val="22"/>
              <w:lang w:val="en-GB"/>
            </w:rPr>
            <w:instrText xml:space="preserve">CITATION Saz \p 146 \l 2057 </w:instrText>
          </w:r>
          <w:r w:rsidR="00CB3C8D">
            <w:rPr>
              <w:rFonts w:ascii="Arial" w:hAnsi="Arial" w:cs="Arial"/>
              <w:sz w:val="22"/>
            </w:rPr>
            <w:fldChar w:fldCharType="separate"/>
          </w:r>
          <w:r w:rsidR="00CB3C8D" w:rsidRPr="00CB3C8D">
            <w:rPr>
              <w:rFonts w:ascii="Arial" w:hAnsi="Arial" w:cs="Arial"/>
              <w:noProof/>
              <w:sz w:val="22"/>
              <w:lang w:val="en-GB"/>
            </w:rPr>
            <w:t>(Sazsin, 1998, p. 146)</w:t>
          </w:r>
          <w:r w:rsidR="00CB3C8D">
            <w:rPr>
              <w:rFonts w:ascii="Arial" w:hAnsi="Arial" w:cs="Arial"/>
              <w:sz w:val="22"/>
            </w:rPr>
            <w:fldChar w:fldCharType="end"/>
          </w:r>
        </w:sdtContent>
      </w:sdt>
      <w:r w:rsidR="00CB3C8D">
        <w:rPr>
          <w:rFonts w:ascii="Arial" w:hAnsi="Arial" w:cs="Arial"/>
          <w:sz w:val="22"/>
        </w:rPr>
        <w:t xml:space="preserve"> </w:t>
      </w:r>
      <w:r w:rsidR="00B07486" w:rsidRPr="00DF3EF0">
        <w:rPr>
          <w:rFonts w:ascii="Arial" w:hAnsi="Arial" w:cs="Arial"/>
          <w:sz w:val="22"/>
        </w:rPr>
        <w:t>‘</w:t>
      </w:r>
      <w:r w:rsidR="00A72BA6" w:rsidRPr="00DF3EF0">
        <w:rPr>
          <w:rFonts w:ascii="Arial" w:hAnsi="Arial" w:cs="Arial"/>
          <w:sz w:val="22"/>
        </w:rPr>
        <w:t>most engineering students think in terms of numbers rather than in terms of abstract concepts</w:t>
      </w:r>
      <w:r w:rsidR="000B7EFE" w:rsidRPr="00DF3EF0">
        <w:rPr>
          <w:rFonts w:ascii="Arial" w:hAnsi="Arial" w:cs="Arial"/>
          <w:sz w:val="22"/>
        </w:rPr>
        <w:t>’</w:t>
      </w:r>
      <w:r w:rsidR="00A72BA6" w:rsidRPr="00DF3EF0">
        <w:rPr>
          <w:rFonts w:ascii="Arial" w:hAnsi="Arial" w:cs="Arial"/>
          <w:sz w:val="22"/>
        </w:rPr>
        <w:t>.</w:t>
      </w:r>
      <w:r w:rsidR="00B07486" w:rsidRPr="00DF3EF0">
        <w:rPr>
          <w:rFonts w:ascii="Arial" w:hAnsi="Arial" w:cs="Arial"/>
          <w:sz w:val="22"/>
        </w:rPr>
        <w:t xml:space="preserve">  This ‘attitude’ towards mathematics tends to be encouraged at school or college where mathematics can be taught as a series of procedures analogous to </w:t>
      </w:r>
      <w:r w:rsidR="00F3651B" w:rsidRPr="00DF3EF0">
        <w:rPr>
          <w:rFonts w:ascii="Arial" w:hAnsi="Arial" w:cs="Arial"/>
          <w:sz w:val="22"/>
        </w:rPr>
        <w:t xml:space="preserve">a </w:t>
      </w:r>
      <w:r w:rsidR="00B07486" w:rsidRPr="00DF3EF0">
        <w:rPr>
          <w:rFonts w:ascii="Arial" w:hAnsi="Arial" w:cs="Arial"/>
          <w:sz w:val="22"/>
        </w:rPr>
        <w:t xml:space="preserve">machine where one enters the inputs, performs a process which generates an output.  </w:t>
      </w:r>
      <w:r w:rsidR="000B7EFE" w:rsidRPr="00DF3EF0">
        <w:rPr>
          <w:rFonts w:ascii="Arial" w:hAnsi="Arial" w:cs="Arial"/>
          <w:sz w:val="22"/>
        </w:rPr>
        <w:t xml:space="preserve">At the other end of the spectrum, i.e. the professional engineer, the use of mathematical knowledge tends to be implicit.  Engineers seldom apply the mathematics methods they learnt at university but frequently use the concepts when </w:t>
      </w:r>
      <w:r w:rsidR="00345A5F" w:rsidRPr="00DF3EF0">
        <w:rPr>
          <w:rFonts w:ascii="Arial" w:hAnsi="Arial" w:cs="Arial"/>
          <w:sz w:val="22"/>
        </w:rPr>
        <w:t>exploring</w:t>
      </w:r>
      <w:r w:rsidR="000B7EFE" w:rsidRPr="00DF3EF0">
        <w:rPr>
          <w:rFonts w:ascii="Arial" w:hAnsi="Arial" w:cs="Arial"/>
          <w:sz w:val="22"/>
        </w:rPr>
        <w:t xml:space="preserve"> engineering challenges </w:t>
      </w:r>
      <w:sdt>
        <w:sdtPr>
          <w:rPr>
            <w:rFonts w:ascii="Arial" w:hAnsi="Arial" w:cs="Arial"/>
            <w:sz w:val="22"/>
          </w:rPr>
          <w:id w:val="1177700992"/>
          <w:citation/>
        </w:sdtPr>
        <w:sdtContent>
          <w:r w:rsidR="00CB3C8D">
            <w:rPr>
              <w:rFonts w:ascii="Arial" w:hAnsi="Arial" w:cs="Arial"/>
              <w:sz w:val="22"/>
            </w:rPr>
            <w:fldChar w:fldCharType="begin"/>
          </w:r>
          <w:r w:rsidR="00CB3C8D">
            <w:rPr>
              <w:rFonts w:ascii="Arial" w:hAnsi="Arial" w:cs="Arial"/>
              <w:sz w:val="22"/>
              <w:lang w:val="en-GB"/>
            </w:rPr>
            <w:instrText xml:space="preserve"> CITATION Tre14 \l 2057 </w:instrText>
          </w:r>
          <w:r w:rsidR="00CB3C8D">
            <w:rPr>
              <w:rFonts w:ascii="Arial" w:hAnsi="Arial" w:cs="Arial"/>
              <w:sz w:val="22"/>
            </w:rPr>
            <w:fldChar w:fldCharType="separate"/>
          </w:r>
          <w:r w:rsidR="00CB3C8D" w:rsidRPr="00CB3C8D">
            <w:rPr>
              <w:rFonts w:ascii="Arial" w:hAnsi="Arial" w:cs="Arial"/>
              <w:noProof/>
              <w:sz w:val="22"/>
              <w:lang w:val="en-GB"/>
            </w:rPr>
            <w:t>(Treveyan, 2014)</w:t>
          </w:r>
          <w:r w:rsidR="00CB3C8D">
            <w:rPr>
              <w:rFonts w:ascii="Arial" w:hAnsi="Arial" w:cs="Arial"/>
              <w:sz w:val="22"/>
            </w:rPr>
            <w:fldChar w:fldCharType="end"/>
          </w:r>
        </w:sdtContent>
      </w:sdt>
      <w:r w:rsidR="000B7EFE" w:rsidRPr="00DF3EF0">
        <w:rPr>
          <w:rFonts w:ascii="Arial" w:hAnsi="Arial" w:cs="Arial"/>
          <w:sz w:val="22"/>
        </w:rPr>
        <w:t xml:space="preserve">.  </w:t>
      </w:r>
      <w:r w:rsidR="006737CA" w:rsidRPr="00DF3EF0">
        <w:rPr>
          <w:rFonts w:ascii="Arial" w:hAnsi="Arial" w:cs="Arial"/>
          <w:sz w:val="22"/>
        </w:rPr>
        <w:t xml:space="preserve">  </w:t>
      </w:r>
      <w:r w:rsidR="00CB3C8D" w:rsidRPr="00DF3EF0">
        <w:rPr>
          <w:rFonts w:ascii="Arial" w:hAnsi="Arial" w:cs="Arial"/>
          <w:sz w:val="22"/>
        </w:rPr>
        <w:t xml:space="preserve">Whitfield </w:t>
      </w:r>
      <w:sdt>
        <w:sdtPr>
          <w:rPr>
            <w:rFonts w:ascii="Arial" w:hAnsi="Arial" w:cs="Arial"/>
            <w:sz w:val="22"/>
          </w:rPr>
          <w:id w:val="-1296831159"/>
          <w:citation/>
        </w:sdtPr>
        <w:sdtContent>
          <w:r w:rsidR="00CB3C8D">
            <w:rPr>
              <w:rFonts w:ascii="Arial" w:hAnsi="Arial" w:cs="Arial"/>
              <w:sz w:val="22"/>
            </w:rPr>
            <w:fldChar w:fldCharType="begin"/>
          </w:r>
          <w:r w:rsidR="00CB3C8D">
            <w:rPr>
              <w:rFonts w:ascii="Arial" w:hAnsi="Arial" w:cs="Arial"/>
              <w:sz w:val="22"/>
              <w:lang w:val="en-GB"/>
            </w:rPr>
            <w:instrText xml:space="preserve">CITATION Whi75 \n  \t  \l 2057 </w:instrText>
          </w:r>
          <w:r w:rsidR="00CB3C8D">
            <w:rPr>
              <w:rFonts w:ascii="Arial" w:hAnsi="Arial" w:cs="Arial"/>
              <w:sz w:val="22"/>
            </w:rPr>
            <w:fldChar w:fldCharType="separate"/>
          </w:r>
          <w:r w:rsidR="00CB3C8D" w:rsidRPr="00CB3C8D">
            <w:rPr>
              <w:rFonts w:ascii="Arial" w:hAnsi="Arial" w:cs="Arial"/>
              <w:noProof/>
              <w:sz w:val="22"/>
              <w:lang w:val="en-GB"/>
            </w:rPr>
            <w:t>(1975)</w:t>
          </w:r>
          <w:r w:rsidR="00CB3C8D">
            <w:rPr>
              <w:rFonts w:ascii="Arial" w:hAnsi="Arial" w:cs="Arial"/>
              <w:sz w:val="22"/>
            </w:rPr>
            <w:fldChar w:fldCharType="end"/>
          </w:r>
        </w:sdtContent>
      </w:sdt>
      <w:r w:rsidR="00CB3C8D">
        <w:rPr>
          <w:rFonts w:ascii="Arial" w:hAnsi="Arial" w:cs="Arial"/>
          <w:sz w:val="22"/>
        </w:rPr>
        <w:t xml:space="preserve"> </w:t>
      </w:r>
      <w:r w:rsidR="006737CA" w:rsidRPr="00DF3EF0">
        <w:rPr>
          <w:rFonts w:ascii="Arial" w:hAnsi="Arial" w:cs="Arial"/>
          <w:sz w:val="22"/>
        </w:rPr>
        <w:t xml:space="preserve">makes the observation that the ‘personality’ of the engineer when engaged in problem resolution will be important, particularly the willingness and ability to form hypotheses and to tolerate uncertainty and risk.  These attributes coupled with the ability to apply learned knowledge and skills, enables the engineer to resolve the </w:t>
      </w:r>
      <w:r w:rsidR="006737CA" w:rsidRPr="00DF3EF0">
        <w:rPr>
          <w:rFonts w:ascii="Arial" w:hAnsi="Arial" w:cs="Arial"/>
          <w:sz w:val="22"/>
        </w:rPr>
        <w:lastRenderedPageBreak/>
        <w:t>problem creatively.  To expediate the process of moving from procedural knowledge to efficient and effective problem resolution and hence being able to employ the higher order thinking skills, engineering mathematics needs to foster the ability of students to explore a challenge and apply the knowledge and skills they have acquired and have the technical lexicon to discuss their resolutions.</w:t>
      </w:r>
      <w:r w:rsidR="00F3651B" w:rsidRPr="00DF3EF0">
        <w:rPr>
          <w:rFonts w:ascii="Arial" w:hAnsi="Arial" w:cs="Arial"/>
          <w:sz w:val="22"/>
        </w:rPr>
        <w:t xml:space="preserve">  A word of caution is necessary when attempting a </w:t>
      </w:r>
      <w:r w:rsidR="002172A1" w:rsidRPr="00DF3EF0">
        <w:rPr>
          <w:rFonts w:ascii="Arial" w:hAnsi="Arial" w:cs="Arial"/>
          <w:sz w:val="22"/>
        </w:rPr>
        <w:t xml:space="preserve">problem based </w:t>
      </w:r>
      <w:r w:rsidR="00F3651B" w:rsidRPr="00DF3EF0">
        <w:rPr>
          <w:rFonts w:ascii="Arial" w:hAnsi="Arial" w:cs="Arial"/>
          <w:sz w:val="22"/>
        </w:rPr>
        <w:t>approach to the learning and teaching of</w:t>
      </w:r>
      <w:r w:rsidR="002172A1" w:rsidRPr="00DF3EF0">
        <w:rPr>
          <w:rFonts w:ascii="Arial" w:hAnsi="Arial" w:cs="Arial"/>
          <w:sz w:val="22"/>
        </w:rPr>
        <w:t xml:space="preserve"> engineering</w:t>
      </w:r>
      <w:r w:rsidR="00F3651B" w:rsidRPr="00DF3EF0">
        <w:rPr>
          <w:rFonts w:ascii="Arial" w:hAnsi="Arial" w:cs="Arial"/>
          <w:sz w:val="22"/>
        </w:rPr>
        <w:t xml:space="preserve"> mathematics.  In some cases the pre-university learning culture of students is ignored.  It should be born in mind that the students will come from a highly structured environment within which they are told what to learn, how to learn and when to learn. </w:t>
      </w:r>
      <w:r w:rsidR="008B539B">
        <w:rPr>
          <w:rFonts w:ascii="Arial" w:hAnsi="Arial" w:cs="Arial"/>
          <w:sz w:val="22"/>
        </w:rPr>
        <w:t xml:space="preserve"> Genuine problem resolution is something very few, if any, have encountered before.  These novice problem solvers, according to </w:t>
      </w:r>
      <w:proofErr w:type="spellStart"/>
      <w:r w:rsidR="008B539B">
        <w:rPr>
          <w:rFonts w:ascii="Arial" w:hAnsi="Arial" w:cs="Arial"/>
          <w:sz w:val="22"/>
        </w:rPr>
        <w:t>Sweller</w:t>
      </w:r>
      <w:proofErr w:type="spellEnd"/>
      <w:sdt>
        <w:sdtPr>
          <w:rPr>
            <w:rFonts w:ascii="Arial" w:hAnsi="Arial" w:cs="Arial"/>
            <w:sz w:val="22"/>
          </w:rPr>
          <w:id w:val="-1063797554"/>
          <w:citation/>
        </w:sdtPr>
        <w:sdtContent>
          <w:r w:rsidR="008B539B">
            <w:rPr>
              <w:rFonts w:ascii="Arial" w:hAnsi="Arial" w:cs="Arial"/>
              <w:sz w:val="22"/>
            </w:rPr>
            <w:fldChar w:fldCharType="begin"/>
          </w:r>
          <w:r w:rsidR="008B539B">
            <w:rPr>
              <w:rFonts w:ascii="Arial" w:hAnsi="Arial" w:cs="Arial"/>
              <w:sz w:val="22"/>
              <w:lang w:val="en-GB"/>
            </w:rPr>
            <w:instrText xml:space="preserve">CITATION Swe98 \n  \t  \l 2057 </w:instrText>
          </w:r>
          <w:r w:rsidR="008B539B">
            <w:rPr>
              <w:rFonts w:ascii="Arial" w:hAnsi="Arial" w:cs="Arial"/>
              <w:sz w:val="22"/>
            </w:rPr>
            <w:fldChar w:fldCharType="separate"/>
          </w:r>
          <w:r w:rsidR="008B539B">
            <w:rPr>
              <w:rFonts w:ascii="Arial" w:hAnsi="Arial" w:cs="Arial"/>
              <w:noProof/>
              <w:sz w:val="22"/>
              <w:lang w:val="en-GB"/>
            </w:rPr>
            <w:t xml:space="preserve"> </w:t>
          </w:r>
          <w:r w:rsidR="008B539B" w:rsidRPr="008B539B">
            <w:rPr>
              <w:rFonts w:ascii="Arial" w:hAnsi="Arial" w:cs="Arial"/>
              <w:noProof/>
              <w:sz w:val="22"/>
              <w:lang w:val="en-GB"/>
            </w:rPr>
            <w:t>(1998)</w:t>
          </w:r>
          <w:r w:rsidR="008B539B">
            <w:rPr>
              <w:rFonts w:ascii="Arial" w:hAnsi="Arial" w:cs="Arial"/>
              <w:sz w:val="22"/>
            </w:rPr>
            <w:fldChar w:fldCharType="end"/>
          </w:r>
        </w:sdtContent>
      </w:sdt>
      <w:r w:rsidR="00B51D98" w:rsidRPr="00DF3EF0">
        <w:rPr>
          <w:rFonts w:ascii="Arial" w:hAnsi="Arial" w:cs="Arial"/>
          <w:sz w:val="22"/>
        </w:rPr>
        <w:t xml:space="preserve"> tend to employ a ‘means-end analysis’ approach</w:t>
      </w:r>
      <w:r w:rsidR="002172A1" w:rsidRPr="00DF3EF0">
        <w:rPr>
          <w:rFonts w:ascii="Arial" w:hAnsi="Arial" w:cs="Arial"/>
          <w:sz w:val="22"/>
        </w:rPr>
        <w:t xml:space="preserve"> (the approach often taught to students)</w:t>
      </w:r>
      <w:r w:rsidR="00B51D98" w:rsidRPr="00DF3EF0">
        <w:rPr>
          <w:rFonts w:ascii="Arial" w:hAnsi="Arial" w:cs="Arial"/>
          <w:sz w:val="22"/>
        </w:rPr>
        <w:t>.  In other words, they recognise the end goal (the solution) and use techniques to reduce the distance from the initial state (unsolved problem) to the end state by subdividing the problem into a series of sub-goals using problem solving operators.  This approach involves determining the end state, working backwards to identify sub-goals, identify operators and operations to be performed and then start from the initial state to solve the problem by working forwards towards the end state.  Although this approach provides a ‘safer’ route to p</w:t>
      </w:r>
      <w:r w:rsidR="00C5605C" w:rsidRPr="00DF3EF0">
        <w:rPr>
          <w:rFonts w:ascii="Arial" w:hAnsi="Arial" w:cs="Arial"/>
          <w:sz w:val="22"/>
        </w:rPr>
        <w:t xml:space="preserve">roblem solving (fewer dead ends and blind alleys) it does result in high cognitive loading.  </w:t>
      </w:r>
      <w:proofErr w:type="spellStart"/>
      <w:r w:rsidR="00C5605C" w:rsidRPr="00DF3EF0">
        <w:rPr>
          <w:rFonts w:ascii="Arial" w:hAnsi="Arial" w:cs="Arial"/>
          <w:sz w:val="22"/>
        </w:rPr>
        <w:t>Sweller</w:t>
      </w:r>
      <w:proofErr w:type="spellEnd"/>
      <w:r w:rsidR="00C5605C" w:rsidRPr="00DF3EF0">
        <w:rPr>
          <w:rFonts w:ascii="Arial" w:hAnsi="Arial" w:cs="Arial"/>
          <w:sz w:val="22"/>
        </w:rPr>
        <w:t xml:space="preserve"> (1988) suggests that the processes involved at a cognitive level are:  the problem solver must simultaneously consider the current problem state, the end state, the intermediate goal states and the required procedures to reach intermediate goal state</w:t>
      </w:r>
      <w:r w:rsidR="0029157B" w:rsidRPr="00DF3EF0">
        <w:rPr>
          <w:rFonts w:ascii="Arial" w:hAnsi="Arial" w:cs="Arial"/>
          <w:sz w:val="22"/>
        </w:rPr>
        <w:t>s</w:t>
      </w:r>
      <w:r w:rsidR="00C5605C" w:rsidRPr="00DF3EF0">
        <w:rPr>
          <w:rFonts w:ascii="Arial" w:hAnsi="Arial" w:cs="Arial"/>
          <w:sz w:val="22"/>
        </w:rPr>
        <w:t>.  In order to handle this amount of information a huge amount of cognitive resources have to be used (particularly memory, recall of mathematical laws and procedures) which can result in the ability to learn schemas for problem solving to be very limited</w:t>
      </w:r>
      <w:r w:rsidR="00EF5675" w:rsidRPr="00DF3EF0">
        <w:rPr>
          <w:rFonts w:ascii="Arial" w:hAnsi="Arial" w:cs="Arial"/>
          <w:sz w:val="22"/>
        </w:rPr>
        <w:t xml:space="preserve"> due to lack of cognitive resources. </w:t>
      </w:r>
      <w:r w:rsidR="00417A28" w:rsidRPr="00DF3EF0">
        <w:rPr>
          <w:rFonts w:ascii="Arial" w:hAnsi="Arial" w:cs="Arial"/>
          <w:sz w:val="22"/>
        </w:rPr>
        <w:t xml:space="preserve"> This situation is further exasperated by the way in which novice problem solvers categorise problems; they tend to group according to the surface structures</w:t>
      </w:r>
      <w:r w:rsidR="00F36726">
        <w:rPr>
          <w:rFonts w:ascii="Arial" w:hAnsi="Arial" w:cs="Arial"/>
          <w:sz w:val="22"/>
        </w:rPr>
        <w:t xml:space="preserve"> </w:t>
      </w:r>
      <w:sdt>
        <w:sdtPr>
          <w:rPr>
            <w:rFonts w:ascii="Arial" w:hAnsi="Arial" w:cs="Arial"/>
            <w:sz w:val="22"/>
          </w:rPr>
          <w:id w:val="-895658846"/>
          <w:citation/>
        </w:sdtPr>
        <w:sdtContent>
          <w:r w:rsidR="00F36726">
            <w:rPr>
              <w:rFonts w:ascii="Arial" w:hAnsi="Arial" w:cs="Arial"/>
              <w:sz w:val="22"/>
            </w:rPr>
            <w:fldChar w:fldCharType="begin"/>
          </w:r>
          <w:r w:rsidR="00F36726">
            <w:rPr>
              <w:rFonts w:ascii="Arial" w:hAnsi="Arial" w:cs="Arial"/>
              <w:sz w:val="22"/>
              <w:lang w:val="en-GB"/>
            </w:rPr>
            <w:instrText xml:space="preserve"> CITATION Chi82 \l 2057 </w:instrText>
          </w:r>
          <w:r w:rsidR="00F36726">
            <w:rPr>
              <w:rFonts w:ascii="Arial" w:hAnsi="Arial" w:cs="Arial"/>
              <w:sz w:val="22"/>
            </w:rPr>
            <w:fldChar w:fldCharType="separate"/>
          </w:r>
          <w:r w:rsidR="00F36726" w:rsidRPr="00F36726">
            <w:rPr>
              <w:rFonts w:ascii="Arial" w:hAnsi="Arial" w:cs="Arial"/>
              <w:noProof/>
              <w:sz w:val="22"/>
              <w:lang w:val="en-GB"/>
            </w:rPr>
            <w:t>(Chi &amp; Rees, 1982)</w:t>
          </w:r>
          <w:r w:rsidR="00F36726">
            <w:rPr>
              <w:rFonts w:ascii="Arial" w:hAnsi="Arial" w:cs="Arial"/>
              <w:sz w:val="22"/>
            </w:rPr>
            <w:fldChar w:fldCharType="end"/>
          </w:r>
        </w:sdtContent>
      </w:sdt>
      <w:r w:rsidR="00F87E86">
        <w:rPr>
          <w:rFonts w:ascii="Arial" w:hAnsi="Arial" w:cs="Arial"/>
          <w:sz w:val="22"/>
        </w:rPr>
        <w:t xml:space="preserve">.  </w:t>
      </w:r>
      <w:r w:rsidR="00EF5675" w:rsidRPr="00DF3EF0">
        <w:rPr>
          <w:rFonts w:ascii="Arial" w:hAnsi="Arial" w:cs="Arial"/>
          <w:sz w:val="22"/>
        </w:rPr>
        <w:t xml:space="preserve">In contrast to this the expert problem solver </w:t>
      </w:r>
      <w:r w:rsidR="00417A28" w:rsidRPr="00DF3EF0">
        <w:rPr>
          <w:rFonts w:ascii="Arial" w:hAnsi="Arial" w:cs="Arial"/>
          <w:sz w:val="22"/>
        </w:rPr>
        <w:t>is able to ‘work forward’ relying upon acquired schemas built upon the classification of previous</w:t>
      </w:r>
      <w:r w:rsidR="002172A1" w:rsidRPr="00DF3EF0">
        <w:rPr>
          <w:rFonts w:ascii="Arial" w:hAnsi="Arial" w:cs="Arial"/>
          <w:sz w:val="22"/>
        </w:rPr>
        <w:t>ly</w:t>
      </w:r>
      <w:r w:rsidR="00417A28" w:rsidRPr="00DF3EF0">
        <w:rPr>
          <w:rFonts w:ascii="Arial" w:hAnsi="Arial" w:cs="Arial"/>
          <w:sz w:val="22"/>
        </w:rPr>
        <w:t xml:space="preserve"> solved problems</w:t>
      </w:r>
      <w:r w:rsidR="002172A1" w:rsidRPr="00DF3EF0">
        <w:rPr>
          <w:rFonts w:ascii="Arial" w:hAnsi="Arial" w:cs="Arial"/>
          <w:sz w:val="22"/>
        </w:rPr>
        <w:t xml:space="preserve"> based upon their solution mode.</w:t>
      </w:r>
      <w:r w:rsidR="00417A28" w:rsidRPr="00DF3EF0">
        <w:rPr>
          <w:rFonts w:ascii="Arial" w:hAnsi="Arial" w:cs="Arial"/>
          <w:sz w:val="22"/>
        </w:rPr>
        <w:t xml:space="preserve"> </w:t>
      </w:r>
    </w:p>
    <w:p w14:paraId="75A59B92" w14:textId="695046DB" w:rsidR="008B539B" w:rsidRDefault="009902A6" w:rsidP="003E1C68">
      <w:pPr>
        <w:autoSpaceDE w:val="0"/>
        <w:autoSpaceDN w:val="0"/>
        <w:adjustRightInd w:val="0"/>
        <w:spacing w:after="0"/>
        <w:rPr>
          <w:rFonts w:ascii="Arial" w:hAnsi="Arial" w:cs="Arial"/>
          <w:sz w:val="22"/>
        </w:rPr>
      </w:pPr>
      <w:r w:rsidRPr="00DF3EF0">
        <w:rPr>
          <w:rFonts w:ascii="Arial" w:hAnsi="Arial" w:cs="Arial"/>
          <w:sz w:val="22"/>
        </w:rPr>
        <w:t xml:space="preserve">The development of problem resolution schemas invariably means the student, at some point, will encounter an impasse </w:t>
      </w:r>
      <w:proofErr w:type="spellStart"/>
      <w:r w:rsidRPr="00DF3EF0">
        <w:rPr>
          <w:rFonts w:ascii="Arial" w:hAnsi="Arial" w:cs="Arial"/>
          <w:sz w:val="22"/>
        </w:rPr>
        <w:t>ie</w:t>
      </w:r>
      <w:proofErr w:type="spellEnd"/>
      <w:r w:rsidRPr="00DF3EF0">
        <w:rPr>
          <w:rFonts w:ascii="Arial" w:hAnsi="Arial" w:cs="Arial"/>
          <w:sz w:val="22"/>
        </w:rPr>
        <w:t xml:space="preserve">. </w:t>
      </w:r>
      <w:proofErr w:type="gramStart"/>
      <w:r w:rsidRPr="00DF3EF0">
        <w:rPr>
          <w:rFonts w:ascii="Arial" w:hAnsi="Arial" w:cs="Arial"/>
          <w:sz w:val="22"/>
        </w:rPr>
        <w:t>a</w:t>
      </w:r>
      <w:proofErr w:type="gramEnd"/>
      <w:r w:rsidRPr="00DF3EF0">
        <w:rPr>
          <w:rFonts w:ascii="Arial" w:hAnsi="Arial" w:cs="Arial"/>
          <w:sz w:val="22"/>
        </w:rPr>
        <w:t xml:space="preserve"> point in the process which is unresolvable given their current knowledge and skills.  These critical points can result in various outcomes.  The student can, by means of trial and improvement resolve the impasse, seek help from those considered to be more knowledgeable, decide the current approach is inappropriate and start again or remain ‘stuck’ and become frustrated and ultimately disengage from the activity. </w:t>
      </w:r>
      <w:r w:rsidR="004A6EA8">
        <w:rPr>
          <w:rFonts w:ascii="Arial" w:hAnsi="Arial" w:cs="Arial"/>
          <w:sz w:val="22"/>
        </w:rPr>
        <w:t xml:space="preserve"> This sort of </w:t>
      </w:r>
      <w:r w:rsidR="008B539B">
        <w:rPr>
          <w:rFonts w:ascii="Arial" w:hAnsi="Arial" w:cs="Arial"/>
          <w:sz w:val="22"/>
        </w:rPr>
        <w:t>behaviour</w:t>
      </w:r>
      <w:r w:rsidR="004A6EA8">
        <w:rPr>
          <w:rFonts w:ascii="Arial" w:hAnsi="Arial" w:cs="Arial"/>
          <w:sz w:val="22"/>
        </w:rPr>
        <w:t xml:space="preserve"> is indicative of cognitive disequilibrium</w:t>
      </w:r>
      <w:r w:rsidR="008B539B">
        <w:rPr>
          <w:rFonts w:ascii="Arial" w:hAnsi="Arial" w:cs="Arial"/>
          <w:sz w:val="22"/>
        </w:rPr>
        <w:t xml:space="preserve"> as described by </w:t>
      </w:r>
      <w:proofErr w:type="spellStart"/>
      <w:r w:rsidR="008B539B">
        <w:rPr>
          <w:rFonts w:ascii="Arial" w:hAnsi="Arial" w:cs="Arial"/>
          <w:sz w:val="22"/>
        </w:rPr>
        <w:t>D’Mello</w:t>
      </w:r>
      <w:proofErr w:type="spellEnd"/>
      <w:r w:rsidR="008B539B">
        <w:rPr>
          <w:rFonts w:ascii="Arial" w:hAnsi="Arial" w:cs="Arial"/>
          <w:sz w:val="22"/>
        </w:rPr>
        <w:t xml:space="preserve"> and </w:t>
      </w:r>
      <w:proofErr w:type="spellStart"/>
      <w:r w:rsidR="008B539B">
        <w:rPr>
          <w:rFonts w:ascii="Arial" w:hAnsi="Arial" w:cs="Arial"/>
          <w:sz w:val="22"/>
        </w:rPr>
        <w:t>Graeser</w:t>
      </w:r>
      <w:proofErr w:type="spellEnd"/>
      <w:r w:rsidR="008B539B">
        <w:rPr>
          <w:rFonts w:ascii="Arial" w:hAnsi="Arial" w:cs="Arial"/>
          <w:sz w:val="22"/>
        </w:rPr>
        <w:t xml:space="preserve"> </w:t>
      </w:r>
      <w:sdt>
        <w:sdtPr>
          <w:rPr>
            <w:rFonts w:ascii="Arial" w:hAnsi="Arial" w:cs="Arial"/>
            <w:sz w:val="22"/>
          </w:rPr>
          <w:id w:val="-1408769419"/>
          <w:citation/>
        </w:sdtPr>
        <w:sdtContent>
          <w:r w:rsidR="008B539B">
            <w:rPr>
              <w:rFonts w:ascii="Arial" w:hAnsi="Arial" w:cs="Arial"/>
              <w:sz w:val="22"/>
            </w:rPr>
            <w:fldChar w:fldCharType="begin"/>
          </w:r>
          <w:r w:rsidR="008B539B">
            <w:rPr>
              <w:rFonts w:ascii="Arial" w:hAnsi="Arial" w:cs="Arial"/>
              <w:sz w:val="22"/>
              <w:lang w:val="en-GB"/>
            </w:rPr>
            <w:instrText xml:space="preserve">CITATION DMe10 \n  \t  \l 2057 </w:instrText>
          </w:r>
          <w:r w:rsidR="008B539B">
            <w:rPr>
              <w:rFonts w:ascii="Arial" w:hAnsi="Arial" w:cs="Arial"/>
              <w:sz w:val="22"/>
            </w:rPr>
            <w:fldChar w:fldCharType="separate"/>
          </w:r>
          <w:r w:rsidR="008B539B" w:rsidRPr="008B539B">
            <w:rPr>
              <w:rFonts w:ascii="Arial" w:hAnsi="Arial" w:cs="Arial"/>
              <w:noProof/>
              <w:sz w:val="22"/>
              <w:lang w:val="en-GB"/>
            </w:rPr>
            <w:t>(2010)</w:t>
          </w:r>
          <w:r w:rsidR="008B539B">
            <w:rPr>
              <w:rFonts w:ascii="Arial" w:hAnsi="Arial" w:cs="Arial"/>
              <w:sz w:val="22"/>
            </w:rPr>
            <w:fldChar w:fldCharType="end"/>
          </w:r>
        </w:sdtContent>
      </w:sdt>
    </w:p>
    <w:p w14:paraId="5F514FA0" w14:textId="1DF25B4F" w:rsidR="00875AE2" w:rsidRPr="00DF3EF0" w:rsidRDefault="009D3623" w:rsidP="003E1C68">
      <w:pPr>
        <w:autoSpaceDE w:val="0"/>
        <w:autoSpaceDN w:val="0"/>
        <w:adjustRightInd w:val="0"/>
        <w:spacing w:after="0"/>
        <w:rPr>
          <w:rFonts w:ascii="Arial" w:hAnsi="Arial" w:cs="Arial"/>
          <w:sz w:val="22"/>
        </w:rPr>
      </w:pPr>
      <w:r w:rsidRPr="00DF3EF0">
        <w:rPr>
          <w:rFonts w:ascii="Arial" w:hAnsi="Arial" w:cs="Arial"/>
          <w:sz w:val="22"/>
        </w:rPr>
        <w:t xml:space="preserve">  </w:t>
      </w:r>
    </w:p>
    <w:p w14:paraId="15A9801B" w14:textId="78E7D853" w:rsidR="006737CA" w:rsidRPr="00DF3EF0" w:rsidRDefault="0032258D" w:rsidP="003E1C68">
      <w:pPr>
        <w:autoSpaceDE w:val="0"/>
        <w:autoSpaceDN w:val="0"/>
        <w:adjustRightInd w:val="0"/>
        <w:spacing w:after="0"/>
        <w:rPr>
          <w:rFonts w:ascii="Arial" w:hAnsi="Arial" w:cs="Arial"/>
          <w:sz w:val="22"/>
        </w:rPr>
      </w:pPr>
      <w:r w:rsidRPr="00DF3EF0">
        <w:rPr>
          <w:rFonts w:ascii="Arial" w:hAnsi="Arial" w:cs="Arial"/>
          <w:sz w:val="22"/>
        </w:rPr>
        <w:t xml:space="preserve">In order to employ the higher order thinking skills and hence become competent problem solvers, students must be given the opportunity to develop schemas which enable them to efficiently, in terms of cognitive resources, resolve problems.  </w:t>
      </w:r>
      <w:r w:rsidR="008F4C33" w:rsidRPr="00DF3EF0">
        <w:rPr>
          <w:rFonts w:ascii="Arial" w:hAnsi="Arial" w:cs="Arial"/>
          <w:sz w:val="22"/>
        </w:rPr>
        <w:t>The synthesis aspect of HOTS can be directly related to schema acquisition since, by definition, synthesis is the process of combining different elements to form a connected whole (</w:t>
      </w:r>
      <w:r w:rsidR="00C364EE" w:rsidRPr="00DF3EF0">
        <w:rPr>
          <w:rFonts w:ascii="Arial" w:hAnsi="Arial" w:cs="Arial"/>
          <w:sz w:val="22"/>
        </w:rPr>
        <w:t xml:space="preserve">related to </w:t>
      </w:r>
      <w:r w:rsidR="008F4C33" w:rsidRPr="00DF3EF0">
        <w:rPr>
          <w:rFonts w:ascii="Arial" w:hAnsi="Arial" w:cs="Arial"/>
          <w:sz w:val="22"/>
        </w:rPr>
        <w:t>classification of problems</w:t>
      </w:r>
      <w:r w:rsidR="00C364EE" w:rsidRPr="00DF3EF0">
        <w:rPr>
          <w:rFonts w:ascii="Arial" w:hAnsi="Arial" w:cs="Arial"/>
          <w:sz w:val="22"/>
        </w:rPr>
        <w:t>)</w:t>
      </w:r>
      <w:r w:rsidR="008F4C33" w:rsidRPr="00DF3EF0">
        <w:rPr>
          <w:rFonts w:ascii="Arial" w:hAnsi="Arial" w:cs="Arial"/>
          <w:sz w:val="22"/>
        </w:rPr>
        <w:t>.  Analysis is the process of examining the problem in an organised way and evaluation is the process of determining the quality, effectiveness and efficiency of the problem resolution.</w:t>
      </w:r>
      <w:r w:rsidR="00C364EE" w:rsidRPr="00DF3EF0">
        <w:rPr>
          <w:rFonts w:ascii="Arial" w:hAnsi="Arial" w:cs="Arial"/>
          <w:sz w:val="22"/>
        </w:rPr>
        <w:t xml:space="preserve">  </w:t>
      </w:r>
    </w:p>
    <w:p w14:paraId="2777316E" w14:textId="50731646" w:rsidR="00CF214B" w:rsidRPr="00DF3EF0" w:rsidRDefault="00CF214B" w:rsidP="003E1C68">
      <w:pPr>
        <w:spacing w:before="0" w:after="0"/>
        <w:rPr>
          <w:rFonts w:ascii="Arial" w:hAnsi="Arial" w:cs="Arial"/>
          <w:sz w:val="22"/>
        </w:rPr>
      </w:pPr>
    </w:p>
    <w:p w14:paraId="2E2B8790" w14:textId="3BD882DF" w:rsidR="00CC7288" w:rsidRPr="00DF3EF0" w:rsidRDefault="00293A84" w:rsidP="003E1C68">
      <w:pPr>
        <w:spacing w:before="0" w:after="0"/>
        <w:rPr>
          <w:rFonts w:ascii="Arial" w:hAnsi="Arial" w:cs="Arial"/>
          <w:sz w:val="22"/>
        </w:rPr>
      </w:pPr>
      <w:r w:rsidRPr="00DF3EF0">
        <w:rPr>
          <w:rFonts w:ascii="Arial" w:hAnsi="Arial" w:cs="Arial"/>
          <w:b/>
          <w:sz w:val="22"/>
        </w:rPr>
        <w:t xml:space="preserve">AIM </w:t>
      </w:r>
      <w:r w:rsidR="00E01C6B" w:rsidRPr="00DF3EF0">
        <w:rPr>
          <w:rFonts w:ascii="Arial" w:hAnsi="Arial" w:cs="Arial"/>
          <w:b/>
          <w:sz w:val="22"/>
        </w:rPr>
        <w:t xml:space="preserve">AND </w:t>
      </w:r>
      <w:r w:rsidR="005C0C0F" w:rsidRPr="00DF3EF0">
        <w:rPr>
          <w:rFonts w:ascii="Arial" w:hAnsi="Arial" w:cs="Arial"/>
          <w:b/>
          <w:sz w:val="22"/>
        </w:rPr>
        <w:t>OBJECTIVES</w:t>
      </w:r>
    </w:p>
    <w:p w14:paraId="00B05C7A" w14:textId="6A2A4D06" w:rsidR="00EC2091" w:rsidRPr="00DF3EF0" w:rsidRDefault="00EC2091" w:rsidP="003E1C68">
      <w:pPr>
        <w:spacing w:before="0" w:after="0"/>
        <w:jc w:val="center"/>
        <w:rPr>
          <w:rFonts w:ascii="Arial" w:hAnsi="Arial" w:cs="Arial"/>
          <w:sz w:val="22"/>
        </w:rPr>
      </w:pPr>
    </w:p>
    <w:p w14:paraId="2438A3D1" w14:textId="3B7E83D6" w:rsidR="00986DFA" w:rsidRPr="004A6EA8" w:rsidRDefault="00986DFA" w:rsidP="003E1C68">
      <w:pPr>
        <w:rPr>
          <w:rFonts w:ascii="Arial" w:hAnsi="Arial" w:cs="Arial"/>
          <w:sz w:val="22"/>
        </w:rPr>
      </w:pPr>
      <w:r w:rsidRPr="004A6EA8">
        <w:rPr>
          <w:rFonts w:ascii="Arial" w:hAnsi="Arial" w:cs="Arial"/>
          <w:sz w:val="22"/>
        </w:rPr>
        <w:t>The question this paper seeks to address is: can the process of developing higher order thinking skills based on the acquisition of mathematical competencies be initiated within a first year engineering undergraduate programme using mathematics as a vehicle?</w:t>
      </w:r>
      <w:r w:rsidR="00DC2D22" w:rsidRPr="004A6EA8">
        <w:rPr>
          <w:rFonts w:ascii="Arial" w:hAnsi="Arial" w:cs="Arial"/>
          <w:sz w:val="22"/>
        </w:rPr>
        <w:t xml:space="preserve">  This question can be subdivided into:</w:t>
      </w:r>
    </w:p>
    <w:p w14:paraId="59628563" w14:textId="3E9842E3" w:rsidR="00DC2D22" w:rsidRPr="004A6EA8" w:rsidRDefault="00B13555" w:rsidP="003E1C68">
      <w:pPr>
        <w:pStyle w:val="ListParagraph"/>
        <w:numPr>
          <w:ilvl w:val="0"/>
          <w:numId w:val="11"/>
        </w:numPr>
        <w:rPr>
          <w:rFonts w:ascii="Arial" w:hAnsi="Arial" w:cs="Arial"/>
          <w:sz w:val="22"/>
        </w:rPr>
      </w:pPr>
      <w:r w:rsidRPr="004A6EA8">
        <w:rPr>
          <w:rFonts w:ascii="Arial" w:hAnsi="Arial" w:cs="Arial"/>
          <w:sz w:val="22"/>
        </w:rPr>
        <w:lastRenderedPageBreak/>
        <w:t>Is there a process in which explicit knowledge can become implicit?</w:t>
      </w:r>
    </w:p>
    <w:p w14:paraId="724AD29B" w14:textId="265FB9FB" w:rsidR="00B13555" w:rsidRPr="004A6EA8" w:rsidRDefault="00B13555" w:rsidP="003E1C68">
      <w:pPr>
        <w:pStyle w:val="ListParagraph"/>
        <w:numPr>
          <w:ilvl w:val="0"/>
          <w:numId w:val="11"/>
        </w:numPr>
        <w:rPr>
          <w:rFonts w:ascii="Arial" w:hAnsi="Arial" w:cs="Arial"/>
          <w:sz w:val="22"/>
        </w:rPr>
      </w:pPr>
      <w:r w:rsidRPr="004A6EA8">
        <w:rPr>
          <w:rFonts w:ascii="Arial" w:hAnsi="Arial" w:cs="Arial"/>
          <w:sz w:val="22"/>
        </w:rPr>
        <w:t>Can students learn to form realistic and sensible hypotheses?</w:t>
      </w:r>
    </w:p>
    <w:p w14:paraId="416E92ED" w14:textId="00F7C608" w:rsidR="00B13555" w:rsidRPr="004A6EA8" w:rsidRDefault="00B13555" w:rsidP="003E1C68">
      <w:pPr>
        <w:pStyle w:val="ListParagraph"/>
        <w:numPr>
          <w:ilvl w:val="0"/>
          <w:numId w:val="11"/>
        </w:numPr>
        <w:rPr>
          <w:rFonts w:ascii="Arial" w:hAnsi="Arial" w:cs="Arial"/>
          <w:sz w:val="22"/>
        </w:rPr>
      </w:pPr>
      <w:r w:rsidRPr="004A6EA8">
        <w:rPr>
          <w:rFonts w:ascii="Arial" w:hAnsi="Arial" w:cs="Arial"/>
          <w:sz w:val="22"/>
        </w:rPr>
        <w:t>Can students learn to tolerate uncertainty and take risks?</w:t>
      </w:r>
    </w:p>
    <w:p w14:paraId="3C74D4D5" w14:textId="2F469ED7" w:rsidR="00B13555" w:rsidRPr="004A6EA8" w:rsidRDefault="00B13555" w:rsidP="003E1C68">
      <w:pPr>
        <w:pStyle w:val="ListParagraph"/>
        <w:numPr>
          <w:ilvl w:val="0"/>
          <w:numId w:val="11"/>
        </w:numPr>
        <w:rPr>
          <w:rFonts w:ascii="Arial" w:hAnsi="Arial" w:cs="Arial"/>
          <w:sz w:val="22"/>
        </w:rPr>
      </w:pPr>
      <w:r w:rsidRPr="004A6EA8">
        <w:rPr>
          <w:rFonts w:ascii="Arial" w:hAnsi="Arial" w:cs="Arial"/>
          <w:sz w:val="22"/>
        </w:rPr>
        <w:t>Can students learn to reflect upon there resolutions to offer a sensible solution?</w:t>
      </w:r>
    </w:p>
    <w:p w14:paraId="3F90371D" w14:textId="68BA3787" w:rsidR="00986DFA" w:rsidRPr="00DF3EF0" w:rsidRDefault="00986DFA" w:rsidP="003E1C68">
      <w:pPr>
        <w:spacing w:before="0" w:after="0"/>
        <w:jc w:val="center"/>
        <w:rPr>
          <w:rFonts w:ascii="Arial" w:hAnsi="Arial" w:cs="Arial"/>
          <w:b/>
          <w:sz w:val="22"/>
        </w:rPr>
      </w:pPr>
      <w:r w:rsidRPr="00DF3EF0" w:rsidDel="00986DFA">
        <w:rPr>
          <w:rFonts w:ascii="Arial" w:hAnsi="Arial" w:cs="Arial"/>
          <w:sz w:val="22"/>
        </w:rPr>
        <w:t xml:space="preserve"> </w:t>
      </w:r>
    </w:p>
    <w:p w14:paraId="2DB1F237" w14:textId="7DE83162" w:rsidR="00CC7288" w:rsidRPr="00DF3EF0" w:rsidRDefault="004C6D42" w:rsidP="003E1C68">
      <w:pPr>
        <w:spacing w:before="0" w:after="0"/>
        <w:rPr>
          <w:rFonts w:ascii="Arial" w:hAnsi="Arial" w:cs="Arial"/>
          <w:sz w:val="22"/>
        </w:rPr>
      </w:pPr>
      <w:r w:rsidRPr="00DF3EF0">
        <w:rPr>
          <w:rFonts w:ascii="Arial" w:hAnsi="Arial" w:cs="Arial"/>
          <w:b/>
          <w:sz w:val="22"/>
        </w:rPr>
        <w:t>M</w:t>
      </w:r>
      <w:r w:rsidR="00293A84" w:rsidRPr="00DF3EF0">
        <w:rPr>
          <w:rFonts w:ascii="Arial" w:hAnsi="Arial" w:cs="Arial"/>
          <w:b/>
          <w:sz w:val="22"/>
        </w:rPr>
        <w:t xml:space="preserve">ETHODOLOGICAL </w:t>
      </w:r>
      <w:r w:rsidR="00F02C9B" w:rsidRPr="00DF3EF0">
        <w:rPr>
          <w:rFonts w:ascii="Arial" w:hAnsi="Arial" w:cs="Arial"/>
          <w:b/>
          <w:sz w:val="22"/>
        </w:rPr>
        <w:t>APPROACH</w:t>
      </w:r>
      <w:r w:rsidR="00CC7288" w:rsidRPr="00DF3EF0">
        <w:rPr>
          <w:rFonts w:ascii="Arial" w:hAnsi="Arial" w:cs="Arial"/>
          <w:b/>
          <w:sz w:val="22"/>
        </w:rPr>
        <w:t xml:space="preserve"> </w:t>
      </w:r>
    </w:p>
    <w:p w14:paraId="67BA695A" w14:textId="041E3EFC" w:rsidR="00F87E86" w:rsidRDefault="00F87E86" w:rsidP="003E1C68">
      <w:pPr>
        <w:rPr>
          <w:rFonts w:ascii="Arial" w:hAnsi="Arial" w:cs="Arial"/>
          <w:sz w:val="22"/>
        </w:rPr>
      </w:pPr>
    </w:p>
    <w:p w14:paraId="7B72FBC7" w14:textId="4DAB28AB" w:rsidR="009A3B8C" w:rsidRPr="004A6EA8" w:rsidRDefault="009A3B8C" w:rsidP="000849C5">
      <w:pPr>
        <w:rPr>
          <w:rFonts w:ascii="Gill Sans MT" w:hAnsi="Gill Sans MT"/>
          <w:szCs w:val="24"/>
        </w:rPr>
      </w:pPr>
      <w:r w:rsidRPr="00DF3EF0">
        <w:rPr>
          <w:rFonts w:ascii="Arial" w:hAnsi="Arial" w:cs="Arial"/>
          <w:sz w:val="22"/>
        </w:rPr>
        <w:t>At the end of the programme of study the students were asked to complete a questionnaire about their experience of this approach to learning engineering mathematics.  The questionnaire comprised of 25 questions broken down into sections on team work, problem resolution and learning mathematics.    The questionnaire responses (a 5 point Likert scale) were analysed using IBM SPSS ver23 utilising a frequency of response analysis. Each week the investigator would keep field notes based on the questions asked by the students and on the outcome of discussions with each of the teams.</w:t>
      </w:r>
      <w:r w:rsidR="00B13555" w:rsidRPr="00DF3EF0">
        <w:rPr>
          <w:rFonts w:ascii="Arial" w:hAnsi="Arial" w:cs="Arial"/>
          <w:sz w:val="22"/>
        </w:rPr>
        <w:t xml:space="preserve">  </w:t>
      </w:r>
      <w:r w:rsidR="00655B15" w:rsidRPr="00DF3EF0">
        <w:rPr>
          <w:rFonts w:ascii="Arial" w:hAnsi="Arial" w:cs="Arial"/>
          <w:sz w:val="22"/>
        </w:rPr>
        <w:t xml:space="preserve">Incomplete questionnaires were discarded.  Ethical approval was sought and given for this investigation.  182 questionnaires were returned out of the 340 which had been issued (54% return rate). </w:t>
      </w:r>
      <w:r w:rsidR="00B13555" w:rsidRPr="00DF3EF0">
        <w:rPr>
          <w:rFonts w:ascii="Arial" w:hAnsi="Arial" w:cs="Arial"/>
          <w:sz w:val="22"/>
        </w:rPr>
        <w:t xml:space="preserve">This mixed method provided the investigator with both quantitative and qualitative data which enabled him to cross reference the responses given in the questionnaire with the comments made by the students and with the observations.  In this way it was possible to achieve a realistic level of certainty </w:t>
      </w:r>
      <w:r w:rsidR="00655B15" w:rsidRPr="00DF3EF0">
        <w:rPr>
          <w:rFonts w:ascii="Arial" w:hAnsi="Arial" w:cs="Arial"/>
          <w:sz w:val="22"/>
        </w:rPr>
        <w:t>regarding</w:t>
      </w:r>
      <w:r w:rsidR="00B13555" w:rsidRPr="00DF3EF0">
        <w:rPr>
          <w:rFonts w:ascii="Arial" w:hAnsi="Arial" w:cs="Arial"/>
          <w:sz w:val="22"/>
        </w:rPr>
        <w:t xml:space="preserve"> the validity of the </w:t>
      </w:r>
      <w:r w:rsidR="00655B15" w:rsidRPr="00DF3EF0">
        <w:rPr>
          <w:rFonts w:ascii="Arial" w:hAnsi="Arial" w:cs="Arial"/>
          <w:sz w:val="22"/>
        </w:rPr>
        <w:t>data collected.</w:t>
      </w:r>
      <w:r w:rsidR="00F87E86">
        <w:rPr>
          <w:rFonts w:ascii="Arial" w:hAnsi="Arial" w:cs="Arial"/>
          <w:sz w:val="22"/>
        </w:rPr>
        <w:t xml:space="preserve">  </w:t>
      </w:r>
      <w:r w:rsidR="00F87E86" w:rsidRPr="00F87E86">
        <w:rPr>
          <w:rFonts w:ascii="Arial" w:hAnsi="Arial" w:cs="Arial"/>
          <w:sz w:val="22"/>
        </w:rPr>
        <w:t xml:space="preserve">This methodology was also based on work previously undertaken by the author </w:t>
      </w:r>
      <w:sdt>
        <w:sdtPr>
          <w:rPr>
            <w:rFonts w:ascii="Arial" w:hAnsi="Arial" w:cs="Arial"/>
            <w:sz w:val="22"/>
          </w:rPr>
          <w:id w:val="-1261828231"/>
          <w:citation/>
        </w:sdtPr>
        <w:sdtContent>
          <w:r w:rsidR="0072166C">
            <w:rPr>
              <w:rFonts w:ascii="Arial" w:hAnsi="Arial" w:cs="Arial"/>
              <w:sz w:val="22"/>
            </w:rPr>
            <w:fldChar w:fldCharType="begin"/>
          </w:r>
          <w:r w:rsidR="0072166C">
            <w:rPr>
              <w:rFonts w:ascii="Arial" w:hAnsi="Arial" w:cs="Arial"/>
              <w:sz w:val="22"/>
              <w:lang w:val="en-GB"/>
            </w:rPr>
            <w:instrText xml:space="preserve">CITATION Pet151 \t  \m Pet171 \t  \l 2057 </w:instrText>
          </w:r>
          <w:r w:rsidR="0072166C">
            <w:rPr>
              <w:rFonts w:ascii="Arial" w:hAnsi="Arial" w:cs="Arial"/>
              <w:sz w:val="22"/>
            </w:rPr>
            <w:fldChar w:fldCharType="separate"/>
          </w:r>
          <w:r w:rsidR="0072166C" w:rsidRPr="0072166C">
            <w:rPr>
              <w:rFonts w:ascii="Arial" w:hAnsi="Arial" w:cs="Arial"/>
              <w:noProof/>
              <w:sz w:val="22"/>
              <w:lang w:val="en-GB"/>
            </w:rPr>
            <w:t>(Peters, 2015; Peters, 2017)</w:t>
          </w:r>
          <w:r w:rsidR="0072166C">
            <w:rPr>
              <w:rFonts w:ascii="Arial" w:hAnsi="Arial" w:cs="Arial"/>
              <w:sz w:val="22"/>
            </w:rPr>
            <w:fldChar w:fldCharType="end"/>
          </w:r>
        </w:sdtContent>
      </w:sdt>
      <w:r w:rsidR="00F87E86" w:rsidRPr="00F87E86">
        <w:rPr>
          <w:rFonts w:ascii="Arial" w:hAnsi="Arial" w:cs="Arial"/>
          <w:sz w:val="22"/>
        </w:rPr>
        <w:fldChar w:fldCharType="begin"/>
      </w:r>
      <w:r w:rsidR="00F87E86" w:rsidRPr="00F87E86">
        <w:rPr>
          <w:rFonts w:ascii="Arial" w:hAnsi="Arial" w:cs="Arial"/>
          <w:sz w:val="22"/>
        </w:rPr>
        <w:instrText xml:space="preserve"> ADDIN EN.CITE &lt;EndNote&gt;&lt;Cite&gt;&lt;Author&gt;Peters&lt;/Author&gt;&lt;Year&gt;2015&lt;/Year&gt;&lt;RecNum&gt;2&lt;/RecNum&gt;&lt;DisplayText&gt;(Peters, 2015)&lt;/DisplayText&gt;&lt;record&gt;&lt;rec-number&gt;2&lt;/rec-number&gt;&lt;foreign-keys&gt;&lt;key app="EN" db-id="ddfrtxpf3wd52eet02lv0v9hwes29ss2awxf" timestamp="1536146549"&gt;2&lt;/key&gt;&lt;/foreign-keys&gt;&lt;ref-type name="Journal Article"&gt;17&lt;/ref-type&gt;&lt;contributors&gt;&lt;authors&gt;&lt;author&gt;Michael Peters&lt;/author&gt;&lt;/authors&gt;&lt;/contributors&gt;&lt;titles&gt;&lt;title&gt;Using cognitive load theory to interpret student difficulties with a problem-based learning approach to engineering education: a case study&lt;/title&gt;&lt;secondary-title&gt;Teaching Mathematics Applications &lt;/secondary-title&gt;&lt;/titles&gt;&lt;periodical&gt;&lt;full-title&gt;Teaching Mathematics Applications&lt;/full-title&gt;&lt;/periodical&gt;&lt;pages&gt;53-62&lt;/pages&gt;&lt;volume&gt;34&lt;/volume&gt;&lt;number&gt;1&lt;/number&gt;&lt;section&gt;53&lt;/section&gt;&lt;dates&gt;&lt;year&gt;2015&lt;/year&gt;&lt;/dates&gt;&lt;urls&gt;&lt;/urls&gt;&lt;/record&gt;&lt;/Cite&gt;&lt;/EndNote&gt;</w:instrText>
      </w:r>
      <w:r w:rsidR="00F87E86" w:rsidRPr="00F87E86">
        <w:rPr>
          <w:rFonts w:ascii="Arial" w:hAnsi="Arial" w:cs="Arial"/>
          <w:sz w:val="22"/>
        </w:rPr>
        <w:fldChar w:fldCharType="end"/>
      </w:r>
    </w:p>
    <w:p w14:paraId="22A30279" w14:textId="77777777" w:rsidR="005C0C0F" w:rsidRPr="00DF3EF0" w:rsidRDefault="005C0C0F" w:rsidP="003E1C68">
      <w:pPr>
        <w:spacing w:before="0" w:after="0"/>
        <w:rPr>
          <w:rFonts w:ascii="Arial" w:hAnsi="Arial" w:cs="Arial"/>
          <w:b/>
          <w:sz w:val="22"/>
        </w:rPr>
      </w:pPr>
    </w:p>
    <w:p w14:paraId="62A293DA" w14:textId="5203EBDF" w:rsidR="009D7A28" w:rsidRPr="00DF3EF0" w:rsidRDefault="009D7A28" w:rsidP="003E1C68">
      <w:pPr>
        <w:spacing w:before="0" w:after="0"/>
        <w:rPr>
          <w:rFonts w:ascii="Arial" w:hAnsi="Arial" w:cs="Arial"/>
          <w:b/>
          <w:sz w:val="22"/>
        </w:rPr>
      </w:pPr>
      <w:r w:rsidRPr="00DF3EF0">
        <w:rPr>
          <w:rFonts w:ascii="Arial" w:hAnsi="Arial" w:cs="Arial"/>
          <w:b/>
          <w:sz w:val="22"/>
        </w:rPr>
        <w:t>KEY FINDINGS</w:t>
      </w:r>
      <w:r w:rsidR="00C35BEB" w:rsidRPr="00DF3EF0">
        <w:rPr>
          <w:rFonts w:ascii="Arial" w:hAnsi="Arial" w:cs="Arial"/>
          <w:b/>
          <w:sz w:val="22"/>
        </w:rPr>
        <w:t xml:space="preserve"> </w:t>
      </w:r>
    </w:p>
    <w:p w14:paraId="6EED97C5" w14:textId="7398D3D8" w:rsidR="009A3B8C" w:rsidRPr="00DF3EF0" w:rsidRDefault="009A3B8C" w:rsidP="000849C5">
      <w:pPr>
        <w:rPr>
          <w:rFonts w:ascii="Arial" w:hAnsi="Arial" w:cs="Arial"/>
          <w:sz w:val="22"/>
        </w:rPr>
      </w:pPr>
      <w:r w:rsidRPr="00DF3EF0">
        <w:rPr>
          <w:rFonts w:ascii="Arial" w:hAnsi="Arial" w:cs="Arial"/>
          <w:sz w:val="22"/>
        </w:rPr>
        <w:t>Analysis of the questionnaire revealed that 68% of the students thought this approach improved their appreciation of the role of mathematics within engineering, 60% thought it made mathematics more interesting, and 77% thought it improved their mathematics knowledge and skills.  Many students described their experience as ‘challenging’, ‘rewarding’, ‘enjoyable’, ‘hard but fun’, ‘hard at first’ and ‘interesting’.  Most of the students recognised that the skills they started to develop would help them on their journey to becoming professional engineers.</w:t>
      </w:r>
    </w:p>
    <w:p w14:paraId="4903F2F0" w14:textId="24E78BC4" w:rsidR="00655B15" w:rsidRPr="00DF3EF0" w:rsidRDefault="00655B15" w:rsidP="000849C5">
      <w:pPr>
        <w:rPr>
          <w:rFonts w:ascii="Arial" w:hAnsi="Arial" w:cs="Arial"/>
          <w:sz w:val="22"/>
        </w:rPr>
      </w:pPr>
      <w:r w:rsidRPr="00DF3EF0">
        <w:rPr>
          <w:rFonts w:ascii="Arial" w:hAnsi="Arial" w:cs="Arial"/>
          <w:sz w:val="22"/>
        </w:rPr>
        <w:t>The findings also highlighted that the majority of the students found it very difficult to make assumptions.</w:t>
      </w:r>
      <w:r w:rsidR="00D139F8" w:rsidRPr="00DF3EF0">
        <w:rPr>
          <w:rFonts w:ascii="Arial" w:hAnsi="Arial" w:cs="Arial"/>
          <w:sz w:val="22"/>
        </w:rPr>
        <w:t xml:space="preserve">  </w:t>
      </w:r>
      <w:r w:rsidR="0029742B" w:rsidRPr="00DF3EF0">
        <w:rPr>
          <w:rFonts w:ascii="Arial" w:hAnsi="Arial" w:cs="Arial"/>
          <w:sz w:val="22"/>
        </w:rPr>
        <w:t xml:space="preserve">They </w:t>
      </w:r>
      <w:r w:rsidR="00FC57B8" w:rsidRPr="00DF3EF0">
        <w:rPr>
          <w:rFonts w:ascii="Arial" w:hAnsi="Arial" w:cs="Arial"/>
          <w:sz w:val="22"/>
        </w:rPr>
        <w:t xml:space="preserve">did not like the fact that they would have to find a starting point to begin the problem resolution process.  Nor did they like the uncertainty around finding for themselves the mathematics they would need in order to resolve their chosen problem. </w:t>
      </w:r>
      <w:r w:rsidR="00D139F8" w:rsidRPr="00DF3EF0">
        <w:rPr>
          <w:rFonts w:ascii="Arial" w:hAnsi="Arial" w:cs="Arial"/>
          <w:sz w:val="22"/>
        </w:rPr>
        <w:t xml:space="preserve"> They also found it difficult to cope with the notion of a problem being ill-formed with potentially multiple answers.  </w:t>
      </w:r>
      <w:r w:rsidR="00FC57B8" w:rsidRPr="00DF3EF0">
        <w:rPr>
          <w:rFonts w:ascii="Arial" w:hAnsi="Arial" w:cs="Arial"/>
          <w:sz w:val="22"/>
        </w:rPr>
        <w:t>The idea of ‘taking risks’ and not relying upon a tutor to tell them what to do, again, was very challenging for many of them.</w:t>
      </w:r>
      <w:r w:rsidR="00280647" w:rsidRPr="00DF3EF0">
        <w:rPr>
          <w:rFonts w:ascii="Arial" w:hAnsi="Arial" w:cs="Arial"/>
          <w:sz w:val="22"/>
        </w:rPr>
        <w:t xml:space="preserve">  </w:t>
      </w:r>
    </w:p>
    <w:p w14:paraId="61E99307" w14:textId="4B1873C6" w:rsidR="00280647" w:rsidRPr="00DF3EF0" w:rsidRDefault="00280647" w:rsidP="000849C5">
      <w:pPr>
        <w:rPr>
          <w:rFonts w:ascii="Arial" w:hAnsi="Arial" w:cs="Arial"/>
          <w:sz w:val="22"/>
        </w:rPr>
      </w:pPr>
      <w:r w:rsidRPr="00DF3EF0">
        <w:rPr>
          <w:rFonts w:ascii="Arial" w:hAnsi="Arial" w:cs="Arial"/>
          <w:sz w:val="22"/>
        </w:rPr>
        <w:t>The students’ resolutions to the example given in Appendix 1</w:t>
      </w:r>
      <w:r w:rsidR="004A6EA8">
        <w:rPr>
          <w:rFonts w:ascii="Arial" w:hAnsi="Arial" w:cs="Arial"/>
          <w:sz w:val="22"/>
        </w:rPr>
        <w:t xml:space="preserve"> </w:t>
      </w:r>
      <w:r w:rsidRPr="00DF3EF0">
        <w:rPr>
          <w:rFonts w:ascii="Arial" w:hAnsi="Arial" w:cs="Arial"/>
          <w:sz w:val="22"/>
        </w:rPr>
        <w:t xml:space="preserve">illustrated some of the above observations. The teams that chose this particular challenge soon discovered that they could use Torricelli’s theorem to answer the initial tasks.  </w:t>
      </w:r>
      <w:r w:rsidR="003D3051" w:rsidRPr="00DF3EF0">
        <w:rPr>
          <w:rFonts w:ascii="Arial" w:hAnsi="Arial" w:cs="Arial"/>
          <w:sz w:val="22"/>
        </w:rPr>
        <w:t>When it came to them having to decide upon the initial conditions and the requirements they needed to take into account when designing their model, they began to struggle.  For example</w:t>
      </w:r>
      <w:r w:rsidR="001D6D31" w:rsidRPr="00DF3EF0">
        <w:rPr>
          <w:rFonts w:ascii="Arial" w:hAnsi="Arial" w:cs="Arial"/>
          <w:sz w:val="22"/>
        </w:rPr>
        <w:t>, deciding</w:t>
      </w:r>
      <w:r w:rsidR="003D3051" w:rsidRPr="00DF3EF0">
        <w:rPr>
          <w:rFonts w:ascii="Arial" w:hAnsi="Arial" w:cs="Arial"/>
          <w:sz w:val="22"/>
        </w:rPr>
        <w:t xml:space="preserve"> upon an appropriate flow rate</w:t>
      </w:r>
      <w:r w:rsidR="001D6D31" w:rsidRPr="00DF3EF0">
        <w:rPr>
          <w:rFonts w:ascii="Arial" w:hAnsi="Arial" w:cs="Arial"/>
          <w:sz w:val="22"/>
        </w:rPr>
        <w:t>, deciding</w:t>
      </w:r>
      <w:r w:rsidR="003D3051" w:rsidRPr="00DF3EF0">
        <w:rPr>
          <w:rFonts w:ascii="Arial" w:hAnsi="Arial" w:cs="Arial"/>
          <w:sz w:val="22"/>
        </w:rPr>
        <w:t xml:space="preserve"> upon the amount of water they would require in addition to that required for drinking, how to collect the water and how to transport it to their dwelling.</w:t>
      </w:r>
    </w:p>
    <w:p w14:paraId="4FD60762" w14:textId="274187F2" w:rsidR="00297566" w:rsidRDefault="003927E1" w:rsidP="000849C5">
      <w:pPr>
        <w:rPr>
          <w:rFonts w:ascii="Arial" w:hAnsi="Arial" w:cs="Arial"/>
          <w:sz w:val="22"/>
        </w:rPr>
      </w:pPr>
      <w:r w:rsidRPr="00DF3EF0">
        <w:rPr>
          <w:rFonts w:ascii="Arial" w:hAnsi="Arial" w:cs="Arial"/>
          <w:sz w:val="22"/>
        </w:rPr>
        <w:t>The discussions with the students also revealed that they found it challenging when an impasse was reached in their investigation.  In some cases, the impasse was resolved through group discussions, some groups would discard the resolution path they were following and restart the whole problem resolution process and others would ‘give up’ and seek help from a member of staff.</w:t>
      </w:r>
    </w:p>
    <w:p w14:paraId="7DF3977A" w14:textId="1F6FDC7B" w:rsidR="001D6D31" w:rsidRDefault="001D6D31" w:rsidP="003E1C68">
      <w:pPr>
        <w:rPr>
          <w:rFonts w:ascii="Arial" w:hAnsi="Arial" w:cs="Arial"/>
          <w:sz w:val="22"/>
        </w:rPr>
      </w:pPr>
      <w:r>
        <w:rPr>
          <w:rFonts w:ascii="Arial" w:hAnsi="Arial" w:cs="Arial"/>
          <w:sz w:val="22"/>
        </w:rPr>
        <w:lastRenderedPageBreak/>
        <w:t xml:space="preserve">A subsequent cohort were asked about their experiences of working as a part of team, problem resolution and how they thought this class helped them develop as professional engineers.  </w:t>
      </w:r>
    </w:p>
    <w:p w14:paraId="216A12A8" w14:textId="74A98C58" w:rsidR="001D6D31" w:rsidRDefault="001D6D31" w:rsidP="003E1C68">
      <w:pPr>
        <w:rPr>
          <w:rFonts w:ascii="Arial" w:hAnsi="Arial" w:cs="Arial"/>
          <w:sz w:val="22"/>
        </w:rPr>
      </w:pPr>
      <w:r>
        <w:rPr>
          <w:rFonts w:ascii="Arial" w:hAnsi="Arial" w:cs="Arial"/>
          <w:sz w:val="22"/>
        </w:rPr>
        <w:t>Team working.</w:t>
      </w:r>
    </w:p>
    <w:p w14:paraId="3337C169" w14:textId="0EBD4457" w:rsidR="001D6D31" w:rsidRPr="001D6D31" w:rsidRDefault="001D6D31" w:rsidP="001D6D31">
      <w:pPr>
        <w:rPr>
          <w:rFonts w:ascii="Arial" w:hAnsi="Arial" w:cs="Arial"/>
          <w:i/>
          <w:sz w:val="22"/>
        </w:rPr>
      </w:pPr>
      <w:r w:rsidRPr="001D6D31">
        <w:rPr>
          <w:rFonts w:ascii="Arial" w:hAnsi="Arial" w:cs="Arial"/>
          <w:sz w:val="22"/>
        </w:rPr>
        <w:t xml:space="preserve">The students were asked to describe their experiences of working in a team.  In response to the question ‘How would you describe your experience as working as part of a team?’ the following statements were made: </w:t>
      </w:r>
      <w:r w:rsidRPr="001D6D31">
        <w:rPr>
          <w:rFonts w:ascii="Arial" w:hAnsi="Arial" w:cs="Arial"/>
          <w:i/>
          <w:sz w:val="22"/>
        </w:rPr>
        <w:t>it gave me insights into leadership and group dynamics, helped revise my maths knowledge, improved my social skills, helped me make connections, helped me to learn how to delegate, developed my logical thinking, taught me the difficulty in dealing with non-committed team members, built my confidence in speaking in public, developed my organisational skills and taught me to look at challenges in different ways.</w:t>
      </w:r>
    </w:p>
    <w:p w14:paraId="53733071" w14:textId="6E11E84B" w:rsidR="001D6D31" w:rsidRDefault="001D6D31" w:rsidP="001D6D31">
      <w:pPr>
        <w:rPr>
          <w:rFonts w:ascii="Arial" w:hAnsi="Arial" w:cs="Arial"/>
          <w:sz w:val="22"/>
        </w:rPr>
      </w:pPr>
      <w:r>
        <w:rPr>
          <w:rFonts w:ascii="Arial" w:hAnsi="Arial" w:cs="Arial"/>
          <w:sz w:val="22"/>
        </w:rPr>
        <w:t>Development as a professional engineer (with regards to team working).</w:t>
      </w:r>
    </w:p>
    <w:p w14:paraId="33B760B8" w14:textId="5EE08774" w:rsidR="001D6D31" w:rsidRDefault="001D6D31" w:rsidP="001D6D31">
      <w:pPr>
        <w:rPr>
          <w:rFonts w:ascii="Arial" w:hAnsi="Arial" w:cs="Arial"/>
          <w:i/>
          <w:sz w:val="22"/>
        </w:rPr>
      </w:pPr>
      <w:r w:rsidRPr="001D6D31">
        <w:rPr>
          <w:rFonts w:ascii="Arial" w:hAnsi="Arial" w:cs="Arial"/>
          <w:sz w:val="22"/>
        </w:rPr>
        <w:t xml:space="preserve">In response to ‘How do you think this experience will have helped your development as a professional engineer?’ responses included : </w:t>
      </w:r>
      <w:r w:rsidRPr="001D6D31">
        <w:rPr>
          <w:rFonts w:ascii="Arial" w:hAnsi="Arial" w:cs="Arial"/>
          <w:i/>
          <w:sz w:val="22"/>
        </w:rPr>
        <w:t>not much, sharing of ideas, empathy with others, accepting a consensus, learning to compromise, learning to cope with adversity, time management, improved organisational skills, importance of cooperation, childish and not useful, not to think people have the same mentality as yourself, made me feel better prepared for the future, learned to be creative and innovative, develop patience and improved my research skills.</w:t>
      </w:r>
    </w:p>
    <w:p w14:paraId="66B946D4" w14:textId="0BD66E11" w:rsidR="001D6D31" w:rsidRPr="001D6D31" w:rsidRDefault="001D6D31" w:rsidP="001D6D31">
      <w:pPr>
        <w:rPr>
          <w:rFonts w:ascii="Arial" w:hAnsi="Arial" w:cs="Arial"/>
          <w:sz w:val="22"/>
        </w:rPr>
      </w:pPr>
      <w:r>
        <w:rPr>
          <w:rFonts w:ascii="Arial" w:hAnsi="Arial" w:cs="Arial"/>
          <w:sz w:val="22"/>
        </w:rPr>
        <w:t>Problem resolution.</w:t>
      </w:r>
    </w:p>
    <w:p w14:paraId="56FA6423" w14:textId="77777777" w:rsidR="001D6D31" w:rsidRPr="00205638" w:rsidRDefault="001D6D31" w:rsidP="001D6D31">
      <w:pPr>
        <w:rPr>
          <w:rFonts w:ascii="Arial" w:hAnsi="Arial" w:cs="Arial"/>
          <w:i/>
          <w:sz w:val="22"/>
        </w:rPr>
      </w:pPr>
      <w:r w:rsidRPr="00205638">
        <w:rPr>
          <w:rFonts w:ascii="Arial" w:hAnsi="Arial" w:cs="Arial"/>
          <w:sz w:val="22"/>
        </w:rPr>
        <w:t>In response to ‘How would you describe your experience of problem resolution?’ answers included</w:t>
      </w:r>
      <w:r w:rsidRPr="00205638">
        <w:rPr>
          <w:rFonts w:ascii="Arial" w:hAnsi="Arial" w:cs="Arial"/>
          <w:i/>
          <w:sz w:val="22"/>
        </w:rPr>
        <w:t>: challenging, useful, value of research, tough, presenting results difficult, enhanced communication skills, rewarding, excellent, found it challenging to make assumptions, developed my critical thinking skills, found it difficult on deciding on appropriate maths to use, finding a starting point was difficult, fulfilling, quite an adventure, helped me develop trial and error technique, makes you really think and makes you think outside the box.</w:t>
      </w:r>
    </w:p>
    <w:p w14:paraId="5E31E9A2" w14:textId="12D59B0D" w:rsidR="001D6D31" w:rsidRPr="00205638" w:rsidRDefault="001D6D31" w:rsidP="001D6D31">
      <w:pPr>
        <w:rPr>
          <w:rFonts w:ascii="Arial" w:hAnsi="Arial" w:cs="Arial"/>
          <w:sz w:val="22"/>
        </w:rPr>
      </w:pPr>
      <w:r w:rsidRPr="00205638">
        <w:rPr>
          <w:rFonts w:ascii="Arial" w:hAnsi="Arial" w:cs="Arial"/>
          <w:sz w:val="22"/>
        </w:rPr>
        <w:t xml:space="preserve">Development as a professional engineer (with regards to </w:t>
      </w:r>
      <w:r w:rsidRPr="00205638">
        <w:rPr>
          <w:rFonts w:ascii="Arial" w:hAnsi="Arial" w:cs="Arial"/>
          <w:sz w:val="22"/>
        </w:rPr>
        <w:t>problem resolution</w:t>
      </w:r>
      <w:r w:rsidRPr="00205638">
        <w:rPr>
          <w:rFonts w:ascii="Arial" w:hAnsi="Arial" w:cs="Arial"/>
          <w:sz w:val="22"/>
        </w:rPr>
        <w:t>).</w:t>
      </w:r>
    </w:p>
    <w:p w14:paraId="3F138CFC" w14:textId="77777777" w:rsidR="001D6D31" w:rsidRPr="00205638" w:rsidRDefault="001D6D31" w:rsidP="001D6D31">
      <w:pPr>
        <w:rPr>
          <w:rFonts w:ascii="Arial" w:hAnsi="Arial" w:cs="Arial"/>
          <w:i/>
          <w:sz w:val="22"/>
        </w:rPr>
      </w:pPr>
      <w:r w:rsidRPr="00205638">
        <w:rPr>
          <w:rFonts w:ascii="Arial" w:hAnsi="Arial" w:cs="Arial"/>
          <w:sz w:val="22"/>
        </w:rPr>
        <w:t xml:space="preserve">When asked ‘How do you think this experience will have helped your development as a professional engineer?’ responses included: </w:t>
      </w:r>
      <w:r w:rsidRPr="00205638">
        <w:rPr>
          <w:rFonts w:ascii="Arial" w:hAnsi="Arial" w:cs="Arial"/>
          <w:i/>
          <w:sz w:val="22"/>
        </w:rPr>
        <w:t>not very much, taught me to seek help when needed, to work in a team effectively, project management particularly the allocation of resources, maintained my interest in engineering, in gave me the opportunity to put maths into context, it allowed me to apply my knowledge to real world problems, it gave me something to speak about in interviews, help me develop thinking methods to overcome challenges, it taught me perseverance, it provided preparation for the workplace, helped me to develop initiative and taught me how to learn from my mistakes.</w:t>
      </w:r>
    </w:p>
    <w:p w14:paraId="51EB9D76" w14:textId="64316B9D" w:rsidR="001D6D31" w:rsidRPr="001D6D31" w:rsidRDefault="001D6D31" w:rsidP="001D6D31">
      <w:pPr>
        <w:rPr>
          <w:rFonts w:ascii="Arial" w:hAnsi="Arial" w:cs="Arial"/>
          <w:sz w:val="22"/>
        </w:rPr>
      </w:pPr>
    </w:p>
    <w:p w14:paraId="3F0A6617" w14:textId="77777777" w:rsidR="001D6D31" w:rsidRPr="001D6D31" w:rsidRDefault="001D6D31" w:rsidP="001D6D31">
      <w:pPr>
        <w:rPr>
          <w:rFonts w:ascii="Arial" w:hAnsi="Arial" w:cs="Arial"/>
          <w:i/>
          <w:sz w:val="22"/>
        </w:rPr>
      </w:pPr>
    </w:p>
    <w:p w14:paraId="2F7DA627" w14:textId="30E1DEEC" w:rsidR="001D6D31" w:rsidRPr="00DF3EF0" w:rsidRDefault="001D6D31" w:rsidP="003E1C68">
      <w:pPr>
        <w:rPr>
          <w:rFonts w:ascii="Arial" w:hAnsi="Arial" w:cs="Arial"/>
          <w:sz w:val="22"/>
        </w:rPr>
      </w:pPr>
    </w:p>
    <w:p w14:paraId="027B536D" w14:textId="21A6BE57" w:rsidR="004C6D42" w:rsidRPr="00DF3EF0" w:rsidRDefault="004C6D42" w:rsidP="003E1C68">
      <w:pPr>
        <w:spacing w:before="0" w:after="0"/>
        <w:rPr>
          <w:rFonts w:ascii="Arial" w:hAnsi="Arial" w:cs="Arial"/>
          <w:sz w:val="22"/>
        </w:rPr>
      </w:pPr>
      <w:r w:rsidRPr="00DF3EF0">
        <w:rPr>
          <w:rFonts w:ascii="Arial" w:hAnsi="Arial" w:cs="Arial"/>
          <w:b/>
          <w:sz w:val="22"/>
        </w:rPr>
        <w:t xml:space="preserve">DISCUSSION </w:t>
      </w:r>
    </w:p>
    <w:p w14:paraId="69167205" w14:textId="77777777" w:rsidR="00C44803" w:rsidRPr="00DF3EF0" w:rsidRDefault="00C44803" w:rsidP="003E1C68">
      <w:pPr>
        <w:rPr>
          <w:rFonts w:ascii="Arial" w:hAnsi="Arial" w:cs="Arial"/>
          <w:sz w:val="22"/>
        </w:rPr>
      </w:pPr>
    </w:p>
    <w:p w14:paraId="77202357" w14:textId="74C94985" w:rsidR="00C364EE" w:rsidRPr="00DF3EF0" w:rsidRDefault="001B12F9" w:rsidP="003E1C68">
      <w:pPr>
        <w:rPr>
          <w:rFonts w:ascii="Arial" w:hAnsi="Arial" w:cs="Arial"/>
          <w:sz w:val="22"/>
        </w:rPr>
      </w:pPr>
      <w:r w:rsidRPr="00DF3EF0">
        <w:rPr>
          <w:rFonts w:ascii="Arial" w:hAnsi="Arial" w:cs="Arial"/>
          <w:sz w:val="22"/>
        </w:rPr>
        <w:t xml:space="preserve">Although from a preliminary reading it may appear that this approach does not reflect much of a change from a traditional engineering mathematics curriculum.  One of the reasons the module was designed in this way was to ease the transition from the highly ordered learning environment of a school or college </w:t>
      </w:r>
      <w:r w:rsidR="001C137B" w:rsidRPr="00DF3EF0">
        <w:rPr>
          <w:rFonts w:ascii="Arial" w:hAnsi="Arial" w:cs="Arial"/>
          <w:sz w:val="22"/>
        </w:rPr>
        <w:t xml:space="preserve">to one where the learner was expected to take more responsibility for their own learning.  It was decided that if a purely problem based approach to learning engineering mathematics was adopted then many of the students would be overwhelmed, with the net contrary result of inadvertently putting in place a substantial barrier to learning.  The different elements of the module were designed with specific </w:t>
      </w:r>
      <w:r w:rsidR="001C137B" w:rsidRPr="00DF3EF0">
        <w:rPr>
          <w:rFonts w:ascii="Arial" w:hAnsi="Arial" w:cs="Arial"/>
          <w:sz w:val="22"/>
        </w:rPr>
        <w:lastRenderedPageBreak/>
        <w:t xml:space="preserve">purposes in mind.  The traditional lectures and tutorials were elements the students would expect from a university programme and thus feel they were being ‘taught’.  They also provided a means of the students enhancing their mathematical knowledge and skills.  The guided, self-learning of </w:t>
      </w:r>
      <w:proofErr w:type="spellStart"/>
      <w:r w:rsidR="001C137B" w:rsidRPr="00DF3EF0">
        <w:rPr>
          <w:rFonts w:ascii="Arial" w:hAnsi="Arial" w:cs="Arial"/>
          <w:sz w:val="22"/>
        </w:rPr>
        <w:t>Matlab</w:t>
      </w:r>
      <w:proofErr w:type="spellEnd"/>
      <w:r w:rsidR="001C137B" w:rsidRPr="00DF3EF0">
        <w:rPr>
          <w:rFonts w:ascii="Arial" w:hAnsi="Arial" w:cs="Arial"/>
          <w:sz w:val="22"/>
        </w:rPr>
        <w:t xml:space="preserve"> afforded the students the opportunity to begin the</w:t>
      </w:r>
      <w:r w:rsidR="00137854" w:rsidRPr="00DF3EF0">
        <w:rPr>
          <w:rFonts w:ascii="Arial" w:hAnsi="Arial" w:cs="Arial"/>
          <w:sz w:val="22"/>
        </w:rPr>
        <w:t xml:space="preserve"> </w:t>
      </w:r>
      <w:r w:rsidR="001C137B" w:rsidRPr="00DF3EF0">
        <w:rPr>
          <w:rFonts w:ascii="Arial" w:hAnsi="Arial" w:cs="Arial"/>
          <w:sz w:val="22"/>
        </w:rPr>
        <w:t>journe</w:t>
      </w:r>
      <w:r w:rsidR="00137854" w:rsidRPr="00DF3EF0">
        <w:rPr>
          <w:rFonts w:ascii="Arial" w:hAnsi="Arial" w:cs="Arial"/>
          <w:sz w:val="22"/>
        </w:rPr>
        <w:t xml:space="preserve">y of becoming autonomous learners.  </w:t>
      </w:r>
      <w:r w:rsidR="00F3641A" w:rsidRPr="00DF3EF0">
        <w:rPr>
          <w:rFonts w:ascii="Arial" w:hAnsi="Arial" w:cs="Arial"/>
          <w:sz w:val="22"/>
        </w:rPr>
        <w:t>In s</w:t>
      </w:r>
      <w:r w:rsidR="00137854" w:rsidRPr="00DF3EF0">
        <w:rPr>
          <w:rFonts w:ascii="Arial" w:hAnsi="Arial" w:cs="Arial"/>
          <w:sz w:val="22"/>
        </w:rPr>
        <w:t xml:space="preserve">emester two </w:t>
      </w:r>
      <w:r w:rsidR="00F3641A" w:rsidRPr="00DF3EF0">
        <w:rPr>
          <w:rFonts w:ascii="Arial" w:hAnsi="Arial" w:cs="Arial"/>
          <w:sz w:val="22"/>
        </w:rPr>
        <w:t>the students would then have a reasonable probability of successfully resolving an open-ended, ill-formed problem.  Another reason this format was adopted was to focus on what was meant to be learned without imposing a huge cognitive load.  In other words, once the students were confronted with their chosen challenge, the</w:t>
      </w:r>
      <w:r w:rsidR="002C271C" w:rsidRPr="00DF3EF0">
        <w:rPr>
          <w:rFonts w:ascii="Arial" w:hAnsi="Arial" w:cs="Arial"/>
          <w:sz w:val="22"/>
        </w:rPr>
        <w:t xml:space="preserve">y should have had various schemas in place, albeit in </w:t>
      </w:r>
      <w:proofErr w:type="gramStart"/>
      <w:r w:rsidR="002C271C" w:rsidRPr="00DF3EF0">
        <w:rPr>
          <w:rFonts w:ascii="Arial" w:hAnsi="Arial" w:cs="Arial"/>
          <w:sz w:val="22"/>
        </w:rPr>
        <w:t>a</w:t>
      </w:r>
      <w:proofErr w:type="gramEnd"/>
      <w:r w:rsidR="002C271C" w:rsidRPr="00DF3EF0">
        <w:rPr>
          <w:rFonts w:ascii="Arial" w:hAnsi="Arial" w:cs="Arial"/>
          <w:sz w:val="22"/>
        </w:rPr>
        <w:t xml:space="preserve"> embryonic form, so they would be able to focus and direct their cognitive resources to finding a sensible, efficient and valid resolution to their challenge.  The challenges themselves could be resolved with fundamental mathematics but also higher level mathematics could have been used if the teams were confident and competent in such procedures.  The emphasis was very much upon the teams to decide the mathematical ‘tools’ they needed to resolve the challenge.</w:t>
      </w:r>
    </w:p>
    <w:p w14:paraId="5D0ED1F7" w14:textId="7162D206" w:rsidR="009A3B8C" w:rsidRPr="00DF3EF0" w:rsidRDefault="009A3B8C" w:rsidP="003E1C68">
      <w:pPr>
        <w:rPr>
          <w:rFonts w:ascii="Arial" w:hAnsi="Arial" w:cs="Arial"/>
          <w:sz w:val="22"/>
        </w:rPr>
      </w:pPr>
      <w:r w:rsidRPr="00DF3EF0">
        <w:rPr>
          <w:rFonts w:ascii="Arial" w:hAnsi="Arial" w:cs="Arial"/>
          <w:sz w:val="22"/>
        </w:rPr>
        <w:t xml:space="preserve">Although many of the mathematical competencies listed in the SEFI document are not explicitly recognised by the students, many of them are implicit in the process of developing a </w:t>
      </w:r>
      <w:proofErr w:type="spellStart"/>
      <w:r w:rsidRPr="00DF3EF0">
        <w:rPr>
          <w:rFonts w:ascii="Arial" w:hAnsi="Arial" w:cs="Arial"/>
          <w:sz w:val="22"/>
        </w:rPr>
        <w:t>Matlab</w:t>
      </w:r>
      <w:proofErr w:type="spellEnd"/>
      <w:r w:rsidRPr="00DF3EF0">
        <w:rPr>
          <w:rFonts w:ascii="Arial" w:hAnsi="Arial" w:cs="Arial"/>
          <w:sz w:val="22"/>
        </w:rPr>
        <w:t xml:space="preserve"> model to resolve a problem. Due to the nature in which the class was run, students had to think and reason mathematically without relying on a tutor to provide them with the ‘answers’ if they encountered difficulties.  Many students found this extremely challenging to start with and asked questions like ‘what equations do I need?’, ‘how do I code this in </w:t>
      </w:r>
      <w:proofErr w:type="spellStart"/>
      <w:r w:rsidRPr="00DF3EF0">
        <w:rPr>
          <w:rFonts w:ascii="Arial" w:hAnsi="Arial" w:cs="Arial"/>
          <w:sz w:val="22"/>
        </w:rPr>
        <w:t>Matlab</w:t>
      </w:r>
      <w:proofErr w:type="spellEnd"/>
      <w:r w:rsidRPr="00DF3EF0">
        <w:rPr>
          <w:rFonts w:ascii="Arial" w:hAnsi="Arial" w:cs="Arial"/>
          <w:sz w:val="22"/>
        </w:rPr>
        <w:t xml:space="preserve">?’, ‘Is this assumption right?’  Staff were encouraged not to intervene and encourage students to adopt the principles of problem resolution as detailed in the information they were given during the delivery of the programme.  At the start the students found this response difficult to deal with since making assumptions, being allowed to make mistakes and having to find information for themselves was not something they were used to.  After a few weeks the students realised that the staff would guide them but not answer specific questions.  </w:t>
      </w:r>
    </w:p>
    <w:p w14:paraId="1C99CC5F" w14:textId="2910CDE4" w:rsidR="009A3B8C" w:rsidRDefault="009A3B8C" w:rsidP="003E1C68">
      <w:pPr>
        <w:rPr>
          <w:rFonts w:ascii="Arial" w:hAnsi="Arial" w:cs="Arial"/>
          <w:sz w:val="22"/>
        </w:rPr>
      </w:pPr>
      <w:r w:rsidRPr="00DF3EF0">
        <w:rPr>
          <w:rFonts w:ascii="Arial" w:hAnsi="Arial" w:cs="Arial"/>
          <w:sz w:val="22"/>
        </w:rPr>
        <w:t xml:space="preserve">The students were also informed to use the problem worksheets as a guide and encouraged to develop the problem by posing ‘what if?’ type scenario questions in order to extend the problem to reflect the realities of providing a sensible resolution.  Inherent in the problem resolution process is the need for the students to represent physical entities mathematically using conventional notation.  This invariably involves them in handling mathematical symbolism and having to interpret the equations and expressions in order to apply them to their particular </w:t>
      </w:r>
      <w:r w:rsidR="00004EBA" w:rsidRPr="00DF3EF0">
        <w:rPr>
          <w:rFonts w:ascii="Arial" w:hAnsi="Arial" w:cs="Arial"/>
          <w:sz w:val="22"/>
        </w:rPr>
        <w:t>challenge</w:t>
      </w:r>
      <w:r w:rsidRPr="00DF3EF0">
        <w:rPr>
          <w:rFonts w:ascii="Arial" w:hAnsi="Arial" w:cs="Arial"/>
          <w:sz w:val="22"/>
        </w:rPr>
        <w:t>.</w:t>
      </w:r>
    </w:p>
    <w:p w14:paraId="0D6885CA" w14:textId="77777777" w:rsidR="00205638" w:rsidRDefault="00205638" w:rsidP="00205638">
      <w:pPr>
        <w:spacing w:before="0" w:after="0"/>
        <w:rPr>
          <w:rFonts w:ascii="Arial" w:hAnsi="Arial" w:cs="Arial"/>
          <w:sz w:val="22"/>
        </w:rPr>
      </w:pPr>
      <w:r>
        <w:rPr>
          <w:rFonts w:ascii="Arial" w:hAnsi="Arial" w:cs="Arial"/>
          <w:sz w:val="22"/>
        </w:rPr>
        <w:t>Team working</w:t>
      </w:r>
    </w:p>
    <w:p w14:paraId="7DE14E6D" w14:textId="77777777" w:rsidR="00205638" w:rsidRDefault="00205638" w:rsidP="00205638">
      <w:pPr>
        <w:rPr>
          <w:rFonts w:asciiTheme="minorBidi" w:hAnsiTheme="minorBidi"/>
          <w:szCs w:val="24"/>
        </w:rPr>
      </w:pPr>
      <w:r>
        <w:rPr>
          <w:rFonts w:asciiTheme="minorBidi" w:hAnsiTheme="minorBidi"/>
          <w:szCs w:val="24"/>
        </w:rPr>
        <w:t>It was apparent, from observations, the more successful teams set up a means of communicating outside of the scheduled class.  They utilised such technologies as on-line chat systems and arranged meetings to discuss their projects.  These teams also engaged in meaningful discussions about their challenge and in the main, settled on the consensus as to proceeding with their resolution.  At times some of these discussions were quite critical and in danger of becoming very heated especially where one of the team members held strong opinions on how to resolve the challenge.  There were some personality clashes in some of the teams which resulted in the alienation of certain members.  The major issue with non-functional teams was around team members not attending the class or arranged meetings.  This led to a lot of frustration for the team members who were committed to resolving the challenge.</w:t>
      </w:r>
    </w:p>
    <w:p w14:paraId="478AA6B4" w14:textId="77777777" w:rsidR="00205638" w:rsidRDefault="00205638" w:rsidP="00205638">
      <w:pPr>
        <w:spacing w:before="0" w:after="0"/>
        <w:rPr>
          <w:rFonts w:ascii="Arial" w:hAnsi="Arial" w:cs="Arial"/>
          <w:sz w:val="22"/>
        </w:rPr>
      </w:pPr>
    </w:p>
    <w:p w14:paraId="2D2A3204" w14:textId="77777777" w:rsidR="00205638" w:rsidRDefault="00205638" w:rsidP="00205638">
      <w:pPr>
        <w:spacing w:before="0" w:after="0"/>
        <w:rPr>
          <w:rFonts w:ascii="Arial" w:hAnsi="Arial" w:cs="Arial"/>
          <w:sz w:val="22"/>
        </w:rPr>
      </w:pPr>
      <w:r>
        <w:rPr>
          <w:rFonts w:ascii="Arial" w:hAnsi="Arial" w:cs="Arial"/>
          <w:sz w:val="22"/>
        </w:rPr>
        <w:t>Problem resolution</w:t>
      </w:r>
    </w:p>
    <w:p w14:paraId="46CD8923" w14:textId="77777777" w:rsidR="00205638" w:rsidRDefault="00205638" w:rsidP="00205638">
      <w:pPr>
        <w:rPr>
          <w:rFonts w:ascii="Times New Roman" w:hAnsi="Times New Roman"/>
          <w:szCs w:val="24"/>
        </w:rPr>
      </w:pPr>
      <w:r>
        <w:rPr>
          <w:rFonts w:asciiTheme="minorBidi" w:hAnsiTheme="minorBidi"/>
          <w:szCs w:val="24"/>
        </w:rPr>
        <w:t xml:space="preserve">Observation of the teams revealed some of them were confounded by the prospect of not being given the equations necessary to resolve their challenge.  Initially, the majority of the </w:t>
      </w:r>
      <w:r>
        <w:rPr>
          <w:rFonts w:asciiTheme="minorBidi" w:hAnsiTheme="minorBidi"/>
          <w:szCs w:val="24"/>
        </w:rPr>
        <w:lastRenderedPageBreak/>
        <w:t xml:space="preserve">teams would ask what equations were required or the </w:t>
      </w:r>
      <w:proofErr w:type="spellStart"/>
      <w:r>
        <w:rPr>
          <w:rFonts w:asciiTheme="minorBidi" w:hAnsiTheme="minorBidi"/>
          <w:szCs w:val="24"/>
        </w:rPr>
        <w:t>Matlab</w:t>
      </w:r>
      <w:proofErr w:type="spellEnd"/>
      <w:r>
        <w:rPr>
          <w:rFonts w:asciiTheme="minorBidi" w:hAnsiTheme="minorBidi"/>
          <w:szCs w:val="24"/>
        </w:rPr>
        <w:t xml:space="preserve"> code they needed.  The facilitators were informed not to answer these questions directly but to guide the teams in how they approached the resolution of their chosen problem.  From a student perspective, especially those who had no or very little experience of genuine problem solving, this was a major challenge.  They had become acclimatised to solving problems were there was only one correct answer and metaphorically speaking, using a mathematics machine where you inputted the values for given variables and the answer came out the other end.  It seems the notion of trial and improvement was not a procedure they were comfortable with.  A key comment was about the learning of perseverance.  Too often, from observations, the teams would be ready to give up when they encountered a problem which they perceived as complex or impossible to resolve.  This attitude diminished as the class progressed and their confidence and competence in problem resolution increased.  This development was confirmed by comments such as ‘</w:t>
      </w:r>
      <w:r w:rsidRPr="003654AA">
        <w:rPr>
          <w:rFonts w:ascii="Times New Roman" w:hAnsi="Times New Roman"/>
          <w:szCs w:val="24"/>
        </w:rPr>
        <w:t>helped me to develop initiative and taught me how to learn from my mistakes</w:t>
      </w:r>
      <w:r>
        <w:rPr>
          <w:rFonts w:ascii="Times New Roman" w:hAnsi="Times New Roman"/>
          <w:szCs w:val="24"/>
        </w:rPr>
        <w:t>’.</w:t>
      </w:r>
    </w:p>
    <w:p w14:paraId="5612DAB5" w14:textId="77777777" w:rsidR="00205638" w:rsidRDefault="00205638" w:rsidP="00205638">
      <w:pPr>
        <w:rPr>
          <w:rFonts w:asciiTheme="minorBidi" w:hAnsiTheme="minorBidi"/>
          <w:szCs w:val="24"/>
        </w:rPr>
      </w:pPr>
      <w:r>
        <w:rPr>
          <w:rFonts w:ascii="Times New Roman" w:hAnsi="Times New Roman"/>
          <w:szCs w:val="24"/>
        </w:rPr>
        <w:t xml:space="preserve">It was also interesting to note the way the teams went about selecting a problem.  Most of the teams selected a problem on their perception of how easy it would be to ‘solve’.  In some instances, this proved to be an erroneous process.  For example, one challenge was to design a speed control hump to stop vehicles speeding through a built up area.  On the face of it, the students thought this would be straightforward but once they tried to mathematically model a speed hump they realised that it was not straightforward.  </w:t>
      </w:r>
    </w:p>
    <w:p w14:paraId="04B7774D" w14:textId="77777777" w:rsidR="00205638" w:rsidRPr="00DF3EF0" w:rsidRDefault="00205638" w:rsidP="003E1C68">
      <w:pPr>
        <w:rPr>
          <w:rFonts w:ascii="Arial" w:hAnsi="Arial" w:cs="Arial"/>
          <w:sz w:val="22"/>
        </w:rPr>
      </w:pPr>
    </w:p>
    <w:p w14:paraId="5342119B" w14:textId="10EBF66C" w:rsidR="009A3B8C" w:rsidRPr="00DF3EF0" w:rsidRDefault="009A3B8C" w:rsidP="003E1C68">
      <w:pPr>
        <w:rPr>
          <w:rFonts w:ascii="Arial" w:hAnsi="Arial" w:cs="Arial"/>
          <w:sz w:val="22"/>
        </w:rPr>
      </w:pPr>
      <w:r w:rsidRPr="00DF3EF0">
        <w:rPr>
          <w:rFonts w:ascii="Arial" w:hAnsi="Arial" w:cs="Arial"/>
          <w:sz w:val="22"/>
        </w:rPr>
        <w:t xml:space="preserve">The assessment via a poster was introduced in order to afford the opportunity for students to discuss their work with members of staff.  In the first instance, the students were expected to outline the problem, how they went about developing a resolution and how their particular resolution provided a good solution to the </w:t>
      </w:r>
      <w:r w:rsidR="00004EBA" w:rsidRPr="00DF3EF0">
        <w:rPr>
          <w:rFonts w:ascii="Arial" w:hAnsi="Arial" w:cs="Arial"/>
          <w:sz w:val="22"/>
        </w:rPr>
        <w:t>challenge</w:t>
      </w:r>
      <w:r w:rsidRPr="00DF3EF0">
        <w:rPr>
          <w:rFonts w:ascii="Arial" w:hAnsi="Arial" w:cs="Arial"/>
          <w:sz w:val="22"/>
        </w:rPr>
        <w:t>.  They were then asked specific technical questions about their resolution.  Students found this method of assessment more challenging than they first expected but some commented on how the experience built their confidence for future presentations and how it taught them to prioritise information related to their resolution.</w:t>
      </w:r>
    </w:p>
    <w:p w14:paraId="28AA50E2" w14:textId="77777777" w:rsidR="009A3B8C" w:rsidRPr="00DF3EF0" w:rsidRDefault="009A3B8C" w:rsidP="003E1C68">
      <w:pPr>
        <w:rPr>
          <w:rFonts w:ascii="Arial" w:hAnsi="Arial" w:cs="Arial"/>
          <w:sz w:val="22"/>
        </w:rPr>
      </w:pPr>
      <w:r w:rsidRPr="00DF3EF0">
        <w:rPr>
          <w:rFonts w:ascii="Arial" w:hAnsi="Arial" w:cs="Arial"/>
          <w:sz w:val="22"/>
        </w:rPr>
        <w:t>The consensus from the students can be summarised by a statement made by one of them:</w:t>
      </w:r>
    </w:p>
    <w:p w14:paraId="28EDC552" w14:textId="77777777" w:rsidR="009A3B8C" w:rsidRPr="00DF3EF0" w:rsidRDefault="009A3B8C" w:rsidP="003E1C68">
      <w:pPr>
        <w:ind w:left="720"/>
        <w:rPr>
          <w:rFonts w:ascii="Arial" w:hAnsi="Arial" w:cs="Arial"/>
          <w:sz w:val="22"/>
        </w:rPr>
      </w:pPr>
      <w:r w:rsidRPr="00DF3EF0">
        <w:rPr>
          <w:rFonts w:ascii="Arial" w:hAnsi="Arial" w:cs="Arial"/>
          <w:sz w:val="22"/>
        </w:rPr>
        <w:t>‘It was a good idea to allow students to think and build their projects around their own assumptions and thoughts.  Allow them to have a better insight on how to manage team and time.’</w:t>
      </w:r>
    </w:p>
    <w:p w14:paraId="3EFD1A2F" w14:textId="67D88907" w:rsidR="00CF214B" w:rsidRPr="00DF3EF0" w:rsidRDefault="00296775" w:rsidP="003E1C68">
      <w:pPr>
        <w:spacing w:before="0" w:after="0"/>
        <w:rPr>
          <w:rFonts w:ascii="Arial" w:hAnsi="Arial" w:cs="Arial"/>
          <w:sz w:val="22"/>
        </w:rPr>
      </w:pPr>
      <w:r w:rsidRPr="00DF3EF0">
        <w:rPr>
          <w:rFonts w:ascii="Arial" w:hAnsi="Arial" w:cs="Arial"/>
          <w:sz w:val="22"/>
        </w:rPr>
        <w:t>Th</w:t>
      </w:r>
      <w:r w:rsidR="002B10F7" w:rsidRPr="00DF3EF0">
        <w:rPr>
          <w:rFonts w:ascii="Arial" w:hAnsi="Arial" w:cs="Arial"/>
          <w:sz w:val="22"/>
        </w:rPr>
        <w:t>e</w:t>
      </w:r>
      <w:r w:rsidRPr="00DF3EF0">
        <w:rPr>
          <w:rFonts w:ascii="Arial" w:hAnsi="Arial" w:cs="Arial"/>
          <w:sz w:val="22"/>
        </w:rPr>
        <w:t xml:space="preserve"> different forms of</w:t>
      </w:r>
      <w:r w:rsidR="0035292C" w:rsidRPr="00DF3EF0">
        <w:rPr>
          <w:rFonts w:ascii="Arial" w:hAnsi="Arial" w:cs="Arial"/>
          <w:sz w:val="22"/>
        </w:rPr>
        <w:t xml:space="preserve"> assessment </w:t>
      </w:r>
      <w:r w:rsidRPr="00DF3EF0">
        <w:rPr>
          <w:rFonts w:ascii="Arial" w:hAnsi="Arial" w:cs="Arial"/>
          <w:sz w:val="22"/>
        </w:rPr>
        <w:t>for this module were</w:t>
      </w:r>
      <w:r w:rsidR="0035292C" w:rsidRPr="00DF3EF0">
        <w:rPr>
          <w:rFonts w:ascii="Arial" w:hAnsi="Arial" w:cs="Arial"/>
          <w:sz w:val="22"/>
        </w:rPr>
        <w:t xml:space="preserve"> designed to assess specific aspects.  The summative, terminal examination was designed to test the students’ procedural knowledge, the </w:t>
      </w:r>
      <w:proofErr w:type="spellStart"/>
      <w:r w:rsidR="0035292C" w:rsidRPr="00DF3EF0">
        <w:rPr>
          <w:rFonts w:ascii="Arial" w:hAnsi="Arial" w:cs="Arial"/>
          <w:sz w:val="22"/>
        </w:rPr>
        <w:t>Matlab</w:t>
      </w:r>
      <w:proofErr w:type="spellEnd"/>
      <w:r w:rsidR="0035292C" w:rsidRPr="00DF3EF0">
        <w:rPr>
          <w:rFonts w:ascii="Arial" w:hAnsi="Arial" w:cs="Arial"/>
          <w:sz w:val="22"/>
        </w:rPr>
        <w:t xml:space="preserve"> model building their conceptual knowledge and the poster their communication skills and ability to work as an effective member of a team. </w:t>
      </w:r>
    </w:p>
    <w:p w14:paraId="16E6F412" w14:textId="56F6FA0A" w:rsidR="00CF214B" w:rsidRDefault="00CF214B" w:rsidP="003E1C68">
      <w:pPr>
        <w:spacing w:before="0" w:after="0"/>
        <w:jc w:val="center"/>
        <w:rPr>
          <w:rFonts w:ascii="Arial" w:hAnsi="Arial" w:cs="Arial"/>
          <w:sz w:val="22"/>
        </w:rPr>
      </w:pPr>
    </w:p>
    <w:p w14:paraId="41097303" w14:textId="77777777" w:rsidR="00205638" w:rsidRDefault="00205638" w:rsidP="00205638">
      <w:pPr>
        <w:spacing w:before="0" w:after="0"/>
        <w:rPr>
          <w:rFonts w:ascii="Arial" w:hAnsi="Arial" w:cs="Arial"/>
          <w:sz w:val="22"/>
        </w:rPr>
      </w:pPr>
    </w:p>
    <w:p w14:paraId="56D39B1A" w14:textId="0EF2237E" w:rsidR="00205638" w:rsidRDefault="00205638" w:rsidP="003E1C68">
      <w:pPr>
        <w:spacing w:before="0" w:after="0"/>
        <w:jc w:val="center"/>
        <w:rPr>
          <w:rFonts w:ascii="Arial" w:hAnsi="Arial" w:cs="Arial"/>
          <w:sz w:val="22"/>
        </w:rPr>
      </w:pPr>
    </w:p>
    <w:p w14:paraId="7A485397" w14:textId="43BBB83F" w:rsidR="00205638" w:rsidRDefault="00205638" w:rsidP="003E1C68">
      <w:pPr>
        <w:spacing w:before="0" w:after="0"/>
        <w:jc w:val="center"/>
        <w:rPr>
          <w:rFonts w:ascii="Arial" w:hAnsi="Arial" w:cs="Arial"/>
          <w:sz w:val="22"/>
        </w:rPr>
      </w:pPr>
    </w:p>
    <w:p w14:paraId="13983469" w14:textId="77777777" w:rsidR="00205638" w:rsidRPr="00DF3EF0" w:rsidRDefault="00205638" w:rsidP="00205638">
      <w:pPr>
        <w:spacing w:before="0" w:after="0"/>
        <w:rPr>
          <w:rFonts w:ascii="Arial" w:hAnsi="Arial" w:cs="Arial"/>
          <w:sz w:val="22"/>
        </w:rPr>
      </w:pPr>
    </w:p>
    <w:p w14:paraId="11EAF774" w14:textId="77777777" w:rsidR="00CC7288" w:rsidRPr="00DF3EF0" w:rsidRDefault="00CC7288" w:rsidP="003E1C68">
      <w:pPr>
        <w:pStyle w:val="AAEEHeading1"/>
        <w:spacing w:before="0" w:after="0"/>
        <w:ind w:left="0"/>
        <w:rPr>
          <w:rFonts w:ascii="Arial" w:hAnsi="Arial" w:cs="Arial"/>
          <w:sz w:val="22"/>
        </w:rPr>
      </w:pPr>
      <w:r w:rsidRPr="00DF3EF0">
        <w:rPr>
          <w:rFonts w:ascii="Arial" w:hAnsi="Arial" w:cs="Arial"/>
          <w:sz w:val="22"/>
        </w:rPr>
        <w:t>CONCLUSIONS</w:t>
      </w:r>
      <w:r w:rsidR="001047B3" w:rsidRPr="00DF3EF0">
        <w:rPr>
          <w:rFonts w:ascii="Arial" w:hAnsi="Arial" w:cs="Arial"/>
          <w:sz w:val="22"/>
        </w:rPr>
        <w:t xml:space="preserve"> &amp; RECOMMENDATIONS</w:t>
      </w:r>
    </w:p>
    <w:p w14:paraId="0A13A8B6" w14:textId="4B1ABE01" w:rsidR="00CF214B" w:rsidRPr="00DF3EF0" w:rsidRDefault="00CF214B" w:rsidP="003E1C68">
      <w:pPr>
        <w:spacing w:before="0" w:after="0"/>
        <w:jc w:val="center"/>
        <w:rPr>
          <w:rFonts w:ascii="Arial" w:hAnsi="Arial" w:cs="Arial"/>
          <w:sz w:val="22"/>
        </w:rPr>
      </w:pPr>
    </w:p>
    <w:p w14:paraId="75DE195F" w14:textId="7F07DB05" w:rsidR="009A3B8C" w:rsidRPr="00DF3EF0" w:rsidRDefault="009A3B8C" w:rsidP="003E1C68">
      <w:pPr>
        <w:rPr>
          <w:rFonts w:ascii="Arial" w:hAnsi="Arial" w:cs="Arial"/>
          <w:sz w:val="22"/>
        </w:rPr>
      </w:pPr>
      <w:r w:rsidRPr="004A6EA8">
        <w:rPr>
          <w:rFonts w:ascii="Arial" w:hAnsi="Arial" w:cs="Arial"/>
          <w:sz w:val="22"/>
        </w:rPr>
        <w:t>There is an inherent danger that current engineering education is producing graduates who can perform well in examinations but in reality do not possess, what the RAE has termed, the Engineering Habits of Mind (</w:t>
      </w:r>
      <w:proofErr w:type="spellStart"/>
      <w:r w:rsidRPr="004A6EA8">
        <w:rPr>
          <w:rFonts w:ascii="Arial" w:hAnsi="Arial" w:cs="Arial"/>
          <w:sz w:val="22"/>
        </w:rPr>
        <w:t>EHoM</w:t>
      </w:r>
      <w:proofErr w:type="spellEnd"/>
      <w:r w:rsidRPr="004A6EA8">
        <w:rPr>
          <w:rFonts w:ascii="Arial" w:hAnsi="Arial" w:cs="Arial"/>
          <w:sz w:val="22"/>
        </w:rPr>
        <w:t>)</w:t>
      </w:r>
      <w:r w:rsidR="004A6EA8" w:rsidRPr="004A6EA8">
        <w:rPr>
          <w:rFonts w:ascii="Arial" w:hAnsi="Arial" w:cs="Arial"/>
          <w:sz w:val="22"/>
        </w:rPr>
        <w:t xml:space="preserve"> or what the CDIO syllabus refers to as </w:t>
      </w:r>
      <w:r w:rsidR="004A6EA8" w:rsidRPr="004A6EA8">
        <w:rPr>
          <w:rFonts w:ascii="Arial" w:hAnsi="Arial" w:cs="Arial"/>
          <w:sz w:val="22"/>
        </w:rPr>
        <w:t>Engineering Reasoning and Problem Solving, Experimentation and Knowledge Discovery</w:t>
      </w:r>
      <w:r w:rsidRPr="004A6EA8">
        <w:rPr>
          <w:rFonts w:ascii="Arial" w:hAnsi="Arial" w:cs="Arial"/>
          <w:sz w:val="22"/>
        </w:rPr>
        <w:t xml:space="preserve">.  The outcome from this educational process is that many graduates are only capable of solving well-formed, closed-problems </w:t>
      </w:r>
      <w:proofErr w:type="spellStart"/>
      <w:r w:rsidRPr="004A6EA8">
        <w:rPr>
          <w:rFonts w:ascii="Arial" w:hAnsi="Arial" w:cs="Arial"/>
          <w:sz w:val="22"/>
        </w:rPr>
        <w:t>ie</w:t>
      </w:r>
      <w:proofErr w:type="spellEnd"/>
      <w:r w:rsidRPr="004A6EA8">
        <w:rPr>
          <w:rFonts w:ascii="Arial" w:hAnsi="Arial" w:cs="Arial"/>
          <w:sz w:val="22"/>
        </w:rPr>
        <w:t xml:space="preserve">. </w:t>
      </w:r>
      <w:proofErr w:type="gramStart"/>
      <w:r w:rsidRPr="004A6EA8">
        <w:rPr>
          <w:rFonts w:ascii="Arial" w:hAnsi="Arial" w:cs="Arial"/>
          <w:sz w:val="22"/>
        </w:rPr>
        <w:t>the</w:t>
      </w:r>
      <w:proofErr w:type="gramEnd"/>
      <w:r w:rsidRPr="004A6EA8">
        <w:rPr>
          <w:rFonts w:ascii="Arial" w:hAnsi="Arial" w:cs="Arial"/>
          <w:sz w:val="22"/>
        </w:rPr>
        <w:t xml:space="preserve"> type of question given in an examination which only requires </w:t>
      </w:r>
      <w:r w:rsidRPr="004A6EA8">
        <w:rPr>
          <w:rFonts w:ascii="Arial" w:hAnsi="Arial" w:cs="Arial"/>
          <w:sz w:val="22"/>
        </w:rPr>
        <w:lastRenderedPageBreak/>
        <w:t>the application of a well-defined procedure.  This situation therefore requires many companies having to invest in the extensive training of graduate engineers in order for them to be useful employees of the organisation.</w:t>
      </w:r>
    </w:p>
    <w:p w14:paraId="671033E0" w14:textId="79C30EB7" w:rsidR="004A6EA8" w:rsidRDefault="009A3B8C" w:rsidP="003E1C68">
      <w:pPr>
        <w:rPr>
          <w:rFonts w:ascii="Arial" w:hAnsi="Arial" w:cs="Arial"/>
          <w:sz w:val="22"/>
        </w:rPr>
      </w:pPr>
      <w:r w:rsidRPr="00DF3EF0">
        <w:rPr>
          <w:rFonts w:ascii="Arial" w:hAnsi="Arial" w:cs="Arial"/>
          <w:sz w:val="22"/>
        </w:rPr>
        <w:t>This study has shown that the majority of students when they first arrive at a university are competent in applying their procedural knowledge of mathematics but when it comes to analysing and resolving a simple engineering problem, they find it extremely challenging to make assumptions, identify and select appropriate mathematical constructs in order to create an abstract model and interpret the outcomes from their model.</w:t>
      </w:r>
      <w:r w:rsidR="001232AD" w:rsidRPr="00DF3EF0">
        <w:rPr>
          <w:rFonts w:ascii="Arial" w:hAnsi="Arial" w:cs="Arial"/>
          <w:sz w:val="22"/>
        </w:rPr>
        <w:t xml:space="preserve">  It has also shown that their ability to ask the ’right’ questions in order to work towards a problem resolution is limited.  </w:t>
      </w:r>
      <w:r w:rsidR="004A6EA8">
        <w:rPr>
          <w:rFonts w:ascii="Arial" w:hAnsi="Arial" w:cs="Arial"/>
          <w:sz w:val="22"/>
        </w:rPr>
        <w:t xml:space="preserve">They also seem to lack fundamental skills in working within a team, communicating technical ideas, prioritising activities in relation to managing their time. </w:t>
      </w:r>
    </w:p>
    <w:p w14:paraId="51A54670" w14:textId="77777777" w:rsidR="004A6EA8" w:rsidRDefault="004A6EA8" w:rsidP="003E1C68">
      <w:pPr>
        <w:rPr>
          <w:rFonts w:ascii="Arial" w:hAnsi="Arial" w:cs="Arial"/>
          <w:sz w:val="22"/>
        </w:rPr>
      </w:pPr>
    </w:p>
    <w:p w14:paraId="1CBAF489" w14:textId="73A30FE2" w:rsidR="00C44803" w:rsidRPr="00DF3EF0" w:rsidRDefault="001232AD" w:rsidP="003E1C68">
      <w:pPr>
        <w:rPr>
          <w:rFonts w:ascii="Arial" w:hAnsi="Arial" w:cs="Arial"/>
          <w:sz w:val="22"/>
        </w:rPr>
      </w:pPr>
      <w:r w:rsidRPr="00DF3EF0">
        <w:rPr>
          <w:rFonts w:ascii="Arial" w:hAnsi="Arial" w:cs="Arial"/>
          <w:sz w:val="22"/>
        </w:rPr>
        <w:t xml:space="preserve">In a purely traditional model of teaching engineering mathematics </w:t>
      </w:r>
      <w:proofErr w:type="spellStart"/>
      <w:r w:rsidRPr="00DF3EF0">
        <w:rPr>
          <w:rFonts w:ascii="Arial" w:hAnsi="Arial" w:cs="Arial"/>
          <w:sz w:val="22"/>
        </w:rPr>
        <w:t>ie</w:t>
      </w:r>
      <w:proofErr w:type="spellEnd"/>
      <w:r w:rsidRPr="00DF3EF0">
        <w:rPr>
          <w:rFonts w:ascii="Arial" w:hAnsi="Arial" w:cs="Arial"/>
          <w:sz w:val="22"/>
        </w:rPr>
        <w:t xml:space="preserve">. </w:t>
      </w:r>
      <w:proofErr w:type="gramStart"/>
      <w:r w:rsidRPr="00DF3EF0">
        <w:rPr>
          <w:rFonts w:ascii="Arial" w:hAnsi="Arial" w:cs="Arial"/>
          <w:sz w:val="22"/>
        </w:rPr>
        <w:t>lecture</w:t>
      </w:r>
      <w:proofErr w:type="gramEnd"/>
      <w:r w:rsidRPr="00DF3EF0">
        <w:rPr>
          <w:rFonts w:ascii="Arial" w:hAnsi="Arial" w:cs="Arial"/>
          <w:sz w:val="22"/>
        </w:rPr>
        <w:t xml:space="preserve">, tutorial and examinations, the students are rarely given the opportunity to articulate their ideas and discuss mathematics.  Most </w:t>
      </w:r>
      <w:r w:rsidR="00E14D0A" w:rsidRPr="00DF3EF0">
        <w:rPr>
          <w:rFonts w:ascii="Arial" w:hAnsi="Arial" w:cs="Arial"/>
          <w:sz w:val="22"/>
        </w:rPr>
        <w:t xml:space="preserve">traditional </w:t>
      </w:r>
      <w:r w:rsidRPr="00DF3EF0">
        <w:rPr>
          <w:rFonts w:ascii="Arial" w:hAnsi="Arial" w:cs="Arial"/>
          <w:sz w:val="22"/>
        </w:rPr>
        <w:t>forms of assessment take the form of class tests and examinations which, by their very nature, make it extremely difficult to assess HOTS and do not encourage team work or the ability to communicate technical information</w:t>
      </w:r>
      <w:r w:rsidR="00E14D0A" w:rsidRPr="00DF3EF0">
        <w:rPr>
          <w:rFonts w:ascii="Arial" w:hAnsi="Arial" w:cs="Arial"/>
          <w:sz w:val="22"/>
        </w:rPr>
        <w:t xml:space="preserve">, particularly mathematics.  Unfortunately, this adherence to a ‘traditional’ approach tends to be advocated by the Professional Bodies and many universities who are more concerned with the elimination of opportunities for students to cheat and plagiarise even though evidence </w:t>
      </w:r>
      <w:sdt>
        <w:sdtPr>
          <w:rPr>
            <w:rFonts w:ascii="Arial" w:hAnsi="Arial" w:cs="Arial"/>
            <w:sz w:val="22"/>
          </w:rPr>
          <w:id w:val="-1534183266"/>
          <w:citation/>
        </w:sdtPr>
        <w:sdtContent>
          <w:r w:rsidR="00F87E86">
            <w:rPr>
              <w:rFonts w:ascii="Arial" w:hAnsi="Arial" w:cs="Arial"/>
              <w:sz w:val="22"/>
            </w:rPr>
            <w:fldChar w:fldCharType="begin"/>
          </w:r>
          <w:r w:rsidR="00F87E86">
            <w:rPr>
              <w:rFonts w:ascii="Arial" w:hAnsi="Arial" w:cs="Arial"/>
              <w:sz w:val="22"/>
              <w:lang w:val="en-GB"/>
            </w:rPr>
            <w:instrText xml:space="preserve"> CITATION RAE10 \l 2057 </w:instrText>
          </w:r>
          <w:r w:rsidR="00F87E86">
            <w:rPr>
              <w:rFonts w:ascii="Arial" w:hAnsi="Arial" w:cs="Arial"/>
              <w:sz w:val="22"/>
            </w:rPr>
            <w:fldChar w:fldCharType="separate"/>
          </w:r>
          <w:r w:rsidR="00F87E86" w:rsidRPr="00F87E86">
            <w:rPr>
              <w:rFonts w:ascii="Arial" w:hAnsi="Arial" w:cs="Arial"/>
              <w:noProof/>
              <w:sz w:val="22"/>
              <w:lang w:val="en-GB"/>
            </w:rPr>
            <w:t>(RAE, 2010)</w:t>
          </w:r>
          <w:r w:rsidR="00F87E86">
            <w:rPr>
              <w:rFonts w:ascii="Arial" w:hAnsi="Arial" w:cs="Arial"/>
              <w:sz w:val="22"/>
            </w:rPr>
            <w:fldChar w:fldCharType="end"/>
          </w:r>
        </w:sdtContent>
      </w:sdt>
      <w:r w:rsidR="00815486" w:rsidRPr="00DF3EF0">
        <w:rPr>
          <w:rFonts w:ascii="Arial" w:hAnsi="Arial" w:cs="Arial"/>
          <w:sz w:val="22"/>
        </w:rPr>
        <w:t xml:space="preserve"> </w:t>
      </w:r>
      <w:r w:rsidR="00E14D0A" w:rsidRPr="00DF3EF0">
        <w:rPr>
          <w:rFonts w:ascii="Arial" w:hAnsi="Arial" w:cs="Arial"/>
          <w:sz w:val="22"/>
        </w:rPr>
        <w:t>from reported conversations with professional engineers suggest that authentic problem solving, team work and the ability to communicate ideas are extremely important</w:t>
      </w:r>
      <w:r w:rsidR="00815486" w:rsidRPr="00DF3EF0">
        <w:rPr>
          <w:rFonts w:ascii="Arial" w:hAnsi="Arial" w:cs="Arial"/>
          <w:sz w:val="22"/>
        </w:rPr>
        <w:t xml:space="preserve"> and </w:t>
      </w:r>
      <w:r w:rsidR="00C44803" w:rsidRPr="00DF3EF0">
        <w:rPr>
          <w:rFonts w:ascii="Arial" w:hAnsi="Arial" w:cs="Arial"/>
          <w:sz w:val="22"/>
        </w:rPr>
        <w:t>more</w:t>
      </w:r>
      <w:r w:rsidR="00815486" w:rsidRPr="00DF3EF0">
        <w:rPr>
          <w:rFonts w:ascii="Arial" w:hAnsi="Arial" w:cs="Arial"/>
          <w:sz w:val="22"/>
        </w:rPr>
        <w:t xml:space="preserve"> specifically:  “industry … regards the ability to apply theoretical knowledge to real industrial problems as the single most desirable attribute in new recruits. …’ </w:t>
      </w:r>
      <w:sdt>
        <w:sdtPr>
          <w:rPr>
            <w:rFonts w:ascii="Arial" w:hAnsi="Arial" w:cs="Arial"/>
            <w:sz w:val="22"/>
          </w:rPr>
          <w:id w:val="-1371985868"/>
          <w:citation/>
        </w:sdtPr>
        <w:sdtContent>
          <w:r w:rsidR="00F87E86">
            <w:rPr>
              <w:rFonts w:ascii="Arial" w:hAnsi="Arial" w:cs="Arial"/>
              <w:sz w:val="22"/>
            </w:rPr>
            <w:fldChar w:fldCharType="begin"/>
          </w:r>
          <w:r w:rsidR="00F87E86">
            <w:rPr>
              <w:rFonts w:ascii="Arial" w:hAnsi="Arial" w:cs="Arial"/>
              <w:sz w:val="22"/>
              <w:lang w:val="en-GB"/>
            </w:rPr>
            <w:instrText xml:space="preserve"> CITATION Roy07 \l 2057 </w:instrText>
          </w:r>
          <w:r w:rsidR="00F87E86">
            <w:rPr>
              <w:rFonts w:ascii="Arial" w:hAnsi="Arial" w:cs="Arial"/>
              <w:sz w:val="22"/>
            </w:rPr>
            <w:fldChar w:fldCharType="separate"/>
          </w:r>
          <w:r w:rsidR="00F87E86" w:rsidRPr="00F87E86">
            <w:rPr>
              <w:rFonts w:ascii="Arial" w:hAnsi="Arial" w:cs="Arial"/>
              <w:noProof/>
              <w:sz w:val="22"/>
              <w:lang w:val="en-GB"/>
            </w:rPr>
            <w:t>(RAE, 2007)</w:t>
          </w:r>
          <w:r w:rsidR="00F87E86">
            <w:rPr>
              <w:rFonts w:ascii="Arial" w:hAnsi="Arial" w:cs="Arial"/>
              <w:sz w:val="22"/>
            </w:rPr>
            <w:fldChar w:fldCharType="end"/>
          </w:r>
        </w:sdtContent>
      </w:sdt>
      <w:r w:rsidR="00815486" w:rsidRPr="00DF3EF0">
        <w:rPr>
          <w:rFonts w:ascii="Arial" w:hAnsi="Arial" w:cs="Arial"/>
          <w:sz w:val="22"/>
        </w:rPr>
        <w:t>.</w:t>
      </w:r>
      <w:r w:rsidR="00C44803" w:rsidRPr="00DF3EF0">
        <w:rPr>
          <w:rFonts w:ascii="Arial" w:hAnsi="Arial" w:cs="Arial"/>
          <w:sz w:val="22"/>
        </w:rPr>
        <w:t xml:space="preserve"> </w:t>
      </w:r>
    </w:p>
    <w:p w14:paraId="17700158" w14:textId="43FFFF23" w:rsidR="00C1232A" w:rsidRPr="00DF3EF0" w:rsidRDefault="00C1232A" w:rsidP="003E1C68">
      <w:pPr>
        <w:rPr>
          <w:rFonts w:ascii="Arial" w:hAnsi="Arial" w:cs="Arial"/>
          <w:sz w:val="22"/>
        </w:rPr>
      </w:pPr>
      <w:r w:rsidRPr="00DF3EF0">
        <w:rPr>
          <w:rFonts w:ascii="Arial" w:hAnsi="Arial" w:cs="Arial"/>
          <w:sz w:val="22"/>
        </w:rPr>
        <w:t xml:space="preserve">In an ideal world engineering mathematics would be integrated within other technical subjects and hence eliminating the ‘subject silos’ of engineering programmes which are encouraged by a modular based system.  A more project based approach should also go some way to encourage students to become ‘deep’ learners rather than ‘strategic’ ones where they focus on passing modules in the hope of accumulating enough credits to pass the year.  The totally project based approach has numerous challenges, such as accreditation, </w:t>
      </w:r>
      <w:r w:rsidR="003B4C01" w:rsidRPr="00DF3EF0">
        <w:rPr>
          <w:rFonts w:ascii="Arial" w:hAnsi="Arial" w:cs="Arial"/>
          <w:sz w:val="22"/>
        </w:rPr>
        <w:t>assessment, moving away from a teacher-centric approach to a student-centred approach and the management of student and staff expectations.</w:t>
      </w:r>
    </w:p>
    <w:p w14:paraId="11A2C8D1" w14:textId="666AB57B" w:rsidR="00675586" w:rsidRPr="00DF3EF0" w:rsidRDefault="00C1232A" w:rsidP="003E1C68">
      <w:pPr>
        <w:rPr>
          <w:rFonts w:ascii="Arial" w:hAnsi="Arial" w:cs="Arial"/>
          <w:sz w:val="22"/>
        </w:rPr>
      </w:pPr>
      <w:r w:rsidRPr="00DF3EF0">
        <w:rPr>
          <w:rFonts w:ascii="Arial" w:hAnsi="Arial" w:cs="Arial"/>
          <w:sz w:val="22"/>
        </w:rPr>
        <w:t xml:space="preserve">Engineering schools who </w:t>
      </w:r>
      <w:r w:rsidR="003B4C01" w:rsidRPr="00DF3EF0">
        <w:rPr>
          <w:rFonts w:ascii="Arial" w:hAnsi="Arial" w:cs="Arial"/>
          <w:sz w:val="22"/>
        </w:rPr>
        <w:t xml:space="preserve">are actively looking for alternative ways to facilitate the learning of engineering mathematics must be cognisant of the entry profiles of their students.  Universities who are considered to be high tariff institutions would probably attract students who are confident and competent enough to cope with a project based approach whereas institutions at the other end of the scale, or who lower entry criteria for clearing, would have to ensure a robust academic support structure was in place to provide a safety net </w:t>
      </w:r>
      <w:r w:rsidR="00B51A1B" w:rsidRPr="00DF3EF0">
        <w:rPr>
          <w:rFonts w:ascii="Arial" w:hAnsi="Arial" w:cs="Arial"/>
          <w:sz w:val="22"/>
        </w:rPr>
        <w:t>for students who would struggle in such an environment</w:t>
      </w:r>
      <w:r w:rsidR="003B4C01" w:rsidRPr="00DF3EF0">
        <w:rPr>
          <w:rFonts w:ascii="Arial" w:hAnsi="Arial" w:cs="Arial"/>
          <w:sz w:val="22"/>
        </w:rPr>
        <w:t>.</w:t>
      </w:r>
    </w:p>
    <w:p w14:paraId="6561E9BE" w14:textId="0D7307F8" w:rsidR="008F389E" w:rsidRPr="00DF3EF0" w:rsidRDefault="00C44803" w:rsidP="003E1C68">
      <w:pPr>
        <w:rPr>
          <w:rFonts w:ascii="Arial" w:hAnsi="Arial" w:cs="Arial"/>
          <w:sz w:val="22"/>
        </w:rPr>
      </w:pPr>
      <w:r w:rsidRPr="00DF3EF0">
        <w:rPr>
          <w:rFonts w:ascii="Arial" w:hAnsi="Arial" w:cs="Arial"/>
          <w:sz w:val="22"/>
        </w:rPr>
        <w:t>B</w:t>
      </w:r>
      <w:r w:rsidR="009A3B8C" w:rsidRPr="00DF3EF0">
        <w:rPr>
          <w:rFonts w:ascii="Arial" w:hAnsi="Arial" w:cs="Arial"/>
          <w:sz w:val="22"/>
        </w:rPr>
        <w:t>y the end of th</w:t>
      </w:r>
      <w:r w:rsidRPr="00DF3EF0">
        <w:rPr>
          <w:rFonts w:ascii="Arial" w:hAnsi="Arial" w:cs="Arial"/>
          <w:sz w:val="22"/>
        </w:rPr>
        <w:t>is</w:t>
      </w:r>
      <w:r w:rsidR="009A3B8C" w:rsidRPr="00DF3EF0">
        <w:rPr>
          <w:rFonts w:ascii="Arial" w:hAnsi="Arial" w:cs="Arial"/>
          <w:sz w:val="22"/>
        </w:rPr>
        <w:t xml:space="preserve"> module, many students appreciated the opportunity to start to develop the skills required by an engineer in the 21</w:t>
      </w:r>
      <w:r w:rsidR="009A3B8C" w:rsidRPr="00DF3EF0">
        <w:rPr>
          <w:rFonts w:ascii="Arial" w:hAnsi="Arial" w:cs="Arial"/>
          <w:sz w:val="22"/>
          <w:vertAlign w:val="superscript"/>
        </w:rPr>
        <w:t>st</w:t>
      </w:r>
      <w:r w:rsidR="009A3B8C" w:rsidRPr="00DF3EF0">
        <w:rPr>
          <w:rFonts w:ascii="Arial" w:hAnsi="Arial" w:cs="Arial"/>
          <w:sz w:val="22"/>
        </w:rPr>
        <w:t xml:space="preserve"> century.  </w:t>
      </w:r>
      <w:r w:rsidR="008F389E" w:rsidRPr="00DF3EF0">
        <w:rPr>
          <w:rFonts w:ascii="Arial" w:hAnsi="Arial" w:cs="Arial"/>
          <w:sz w:val="22"/>
        </w:rPr>
        <w:t xml:space="preserve">In terms of this investigation, the students started to develop the stated mathematical competencies </w:t>
      </w:r>
      <w:r w:rsidR="00034BA0" w:rsidRPr="00DF3EF0">
        <w:rPr>
          <w:rFonts w:ascii="Arial" w:hAnsi="Arial" w:cs="Arial"/>
          <w:sz w:val="22"/>
        </w:rPr>
        <w:t>and hence develop schemata whereby explicit knowledge became implicit.  They also developed in confidence and learned to trust their own abilities with the realisation that they may not always be correct.  They also began to develop a critical evaluation mind-set whereby they were able, as a team, to look at their resolutions and decide whether they were sensible.</w:t>
      </w:r>
    </w:p>
    <w:p w14:paraId="295E7025" w14:textId="3F8C4710" w:rsidR="009A3B8C" w:rsidRPr="00DF3EF0" w:rsidRDefault="009A3B8C" w:rsidP="003E1C68">
      <w:pPr>
        <w:rPr>
          <w:rFonts w:ascii="Arial" w:hAnsi="Arial" w:cs="Arial"/>
          <w:sz w:val="22"/>
        </w:rPr>
      </w:pPr>
      <w:r w:rsidRPr="00DF3EF0">
        <w:rPr>
          <w:rFonts w:ascii="Arial" w:hAnsi="Arial" w:cs="Arial"/>
          <w:sz w:val="22"/>
        </w:rPr>
        <w:t>In order to c</w:t>
      </w:r>
      <w:r w:rsidR="00F87E86">
        <w:rPr>
          <w:rFonts w:ascii="Arial" w:hAnsi="Arial" w:cs="Arial"/>
          <w:sz w:val="22"/>
        </w:rPr>
        <w:t xml:space="preserve">ontinue the development of </w:t>
      </w:r>
      <w:proofErr w:type="spellStart"/>
      <w:r w:rsidR="00F87E86">
        <w:rPr>
          <w:rFonts w:ascii="Arial" w:hAnsi="Arial" w:cs="Arial"/>
          <w:sz w:val="22"/>
        </w:rPr>
        <w:t>EHoMpeters</w:t>
      </w:r>
      <w:proofErr w:type="spellEnd"/>
      <w:r w:rsidR="005A0C8E" w:rsidRPr="00DF3EF0">
        <w:rPr>
          <w:rFonts w:ascii="Arial" w:hAnsi="Arial" w:cs="Arial"/>
          <w:sz w:val="22"/>
        </w:rPr>
        <w:t xml:space="preserve"> </w:t>
      </w:r>
      <w:r w:rsidRPr="00DF3EF0">
        <w:rPr>
          <w:rFonts w:ascii="Arial" w:hAnsi="Arial" w:cs="Arial"/>
          <w:sz w:val="22"/>
        </w:rPr>
        <w:t xml:space="preserve">this approach of allowing students to tackle ill-formed, open-ended problems should be continued throughout their time at university and incorporated into the other subjects they study.  This process will not produce engineers who are competent on graduation to resolve the many complex problems inherent </w:t>
      </w:r>
      <w:r w:rsidRPr="00DF3EF0">
        <w:rPr>
          <w:rFonts w:ascii="Arial" w:hAnsi="Arial" w:cs="Arial"/>
          <w:sz w:val="22"/>
        </w:rPr>
        <w:lastRenderedPageBreak/>
        <w:t>in our modern world but it will give them a firm foundation and mind set on which companies can shape the engineers they require.</w:t>
      </w:r>
    </w:p>
    <w:p w14:paraId="2462E0C8" w14:textId="77777777" w:rsidR="00EC69CD" w:rsidRPr="00DF3EF0" w:rsidRDefault="00EC69CD" w:rsidP="003E1C68">
      <w:pPr>
        <w:pStyle w:val="AAEEHeading1"/>
        <w:spacing w:before="0" w:after="0"/>
        <w:ind w:left="0"/>
        <w:rPr>
          <w:rFonts w:ascii="Arial" w:hAnsi="Arial" w:cs="Arial"/>
          <w:sz w:val="22"/>
        </w:rPr>
      </w:pPr>
    </w:p>
    <w:p w14:paraId="00CE7E02" w14:textId="77777777" w:rsidR="00EC69CD" w:rsidRPr="00DF3EF0" w:rsidRDefault="00EC69CD" w:rsidP="003E1C68">
      <w:pPr>
        <w:pStyle w:val="AAEEHeading1"/>
        <w:spacing w:before="0" w:after="0"/>
        <w:ind w:left="0"/>
        <w:rPr>
          <w:rFonts w:ascii="Arial" w:hAnsi="Arial" w:cs="Arial"/>
          <w:sz w:val="22"/>
        </w:rPr>
      </w:pPr>
    </w:p>
    <w:p w14:paraId="6A1C7BD0" w14:textId="005610C8" w:rsidR="00CF214B" w:rsidRPr="00DF3EF0" w:rsidRDefault="00CF214B" w:rsidP="003E1C68">
      <w:pPr>
        <w:pStyle w:val="AAEEHeading1"/>
        <w:spacing w:before="0" w:after="0"/>
        <w:ind w:left="0"/>
        <w:rPr>
          <w:rFonts w:ascii="Arial" w:hAnsi="Arial" w:cs="Arial"/>
          <w:sz w:val="22"/>
        </w:rPr>
      </w:pPr>
      <w:r w:rsidRPr="00DF3EF0">
        <w:rPr>
          <w:rFonts w:ascii="Arial" w:hAnsi="Arial" w:cs="Arial"/>
          <w:sz w:val="22"/>
        </w:rPr>
        <w:t>REFERENCES</w:t>
      </w:r>
    </w:p>
    <w:p w14:paraId="2D338145" w14:textId="2BF2F149" w:rsidR="009A3B8C" w:rsidRPr="00DF3EF0" w:rsidRDefault="009A3B8C" w:rsidP="003E1C68">
      <w:pPr>
        <w:pStyle w:val="AAEEHeading1"/>
        <w:spacing w:before="0" w:after="0"/>
        <w:ind w:left="0"/>
        <w:rPr>
          <w:rFonts w:ascii="Arial" w:hAnsi="Arial" w:cs="Arial"/>
          <w:sz w:val="22"/>
        </w:rPr>
      </w:pPr>
    </w:p>
    <w:p w14:paraId="2F9A79B0" w14:textId="77777777" w:rsidR="000B3366" w:rsidRDefault="000B3366" w:rsidP="000B3366">
      <w:pPr>
        <w:pStyle w:val="Bibliography"/>
        <w:ind w:left="720" w:hanging="720"/>
        <w:rPr>
          <w:noProof/>
          <w:szCs w:val="24"/>
        </w:rPr>
      </w:pPr>
      <w:r>
        <w:rPr>
          <w:rFonts w:ascii="Arial" w:hAnsi="Arial" w:cs="Arial"/>
        </w:rPr>
        <w:fldChar w:fldCharType="begin"/>
      </w:r>
      <w:r>
        <w:rPr>
          <w:rFonts w:ascii="Arial" w:hAnsi="Arial" w:cs="Arial"/>
          <w:lang w:val="en-GB"/>
        </w:rPr>
        <w:instrText xml:space="preserve"> BIBLIOGRAPHY  \l 2057 </w:instrText>
      </w:r>
      <w:r>
        <w:rPr>
          <w:rFonts w:ascii="Arial" w:hAnsi="Arial" w:cs="Arial"/>
        </w:rPr>
        <w:fldChar w:fldCharType="separate"/>
      </w:r>
      <w:r>
        <w:rPr>
          <w:noProof/>
        </w:rPr>
        <w:t xml:space="preserve">Chi, M., &amp; Rees, E. (1982). Expertise in problem solving. In R. Sterberg (Ed.), </w:t>
      </w:r>
      <w:r>
        <w:rPr>
          <w:i/>
          <w:iCs/>
          <w:noProof/>
        </w:rPr>
        <w:t>Advances in the psychology of human intelligence.</w:t>
      </w:r>
      <w:r>
        <w:rPr>
          <w:noProof/>
        </w:rPr>
        <w:t xml:space="preserve"> NJ: Erlbaum.</w:t>
      </w:r>
    </w:p>
    <w:p w14:paraId="543B2EC7" w14:textId="77777777" w:rsidR="000B3366" w:rsidRDefault="000B3366" w:rsidP="000B3366">
      <w:pPr>
        <w:pStyle w:val="Bibliography"/>
        <w:ind w:left="720" w:hanging="720"/>
        <w:rPr>
          <w:noProof/>
        </w:rPr>
      </w:pPr>
      <w:r>
        <w:rPr>
          <w:noProof/>
        </w:rPr>
        <w:t xml:space="preserve">Crawley, E. (2001). </w:t>
      </w:r>
      <w:r>
        <w:rPr>
          <w:i/>
          <w:iCs/>
          <w:noProof/>
        </w:rPr>
        <w:t>The CDIO Syllabus A Statement of Goals for Undergraduate Engineering Education.</w:t>
      </w:r>
      <w:r>
        <w:rPr>
          <w:noProof/>
        </w:rPr>
        <w:t xml:space="preserve"> MIT.</w:t>
      </w:r>
    </w:p>
    <w:p w14:paraId="7D7E59F6" w14:textId="77777777" w:rsidR="000B3366" w:rsidRDefault="000B3366" w:rsidP="000B3366">
      <w:pPr>
        <w:pStyle w:val="Bibliography"/>
        <w:ind w:left="720" w:hanging="720"/>
        <w:rPr>
          <w:noProof/>
        </w:rPr>
      </w:pPr>
      <w:r>
        <w:rPr>
          <w:noProof/>
        </w:rPr>
        <w:t xml:space="preserve">D'Mello, S., &amp; Graesser, A. (2010). Modelling cognitive-affective dynamics with hidden Markov models. </w:t>
      </w:r>
      <w:r>
        <w:rPr>
          <w:i/>
          <w:iCs/>
          <w:noProof/>
        </w:rPr>
        <w:t>Cognitive Science Society</w:t>
      </w:r>
      <w:r>
        <w:rPr>
          <w:noProof/>
        </w:rPr>
        <w:t xml:space="preserve">, </w:t>
      </w:r>
      <w:r>
        <w:rPr>
          <w:i/>
          <w:iCs/>
          <w:noProof/>
        </w:rPr>
        <w:t>32</w:t>
      </w:r>
      <w:r>
        <w:rPr>
          <w:noProof/>
        </w:rPr>
        <w:t>, pp. 2721-2726.</w:t>
      </w:r>
    </w:p>
    <w:p w14:paraId="734E321E" w14:textId="77777777" w:rsidR="000B3366" w:rsidRDefault="000B3366" w:rsidP="000B3366">
      <w:pPr>
        <w:pStyle w:val="Bibliography"/>
        <w:ind w:left="720" w:hanging="720"/>
        <w:rPr>
          <w:noProof/>
        </w:rPr>
      </w:pPr>
      <w:r>
        <w:rPr>
          <w:noProof/>
        </w:rPr>
        <w:t xml:space="preserve">Forehand, M. (n.d.). Bloom's Taxonomy: Original and revised. In M. Orey (Ed.), </w:t>
      </w:r>
      <w:r>
        <w:rPr>
          <w:i/>
          <w:iCs/>
          <w:noProof/>
        </w:rPr>
        <w:t>Emerging perspectives on learning, teaching and technology. .</w:t>
      </w:r>
      <w:r>
        <w:rPr>
          <w:noProof/>
        </w:rPr>
        <w:t xml:space="preserve"> Retrieved September 6, 2018</w:t>
      </w:r>
    </w:p>
    <w:p w14:paraId="19E59D90" w14:textId="77777777" w:rsidR="000B3366" w:rsidRDefault="000B3366" w:rsidP="000B3366">
      <w:pPr>
        <w:pStyle w:val="Bibliography"/>
        <w:ind w:left="720" w:hanging="720"/>
        <w:rPr>
          <w:noProof/>
        </w:rPr>
      </w:pPr>
      <w:r>
        <w:rPr>
          <w:noProof/>
        </w:rPr>
        <w:t xml:space="preserve">Group, S. M. (2013). </w:t>
      </w:r>
      <w:r>
        <w:rPr>
          <w:i/>
          <w:iCs/>
          <w:noProof/>
        </w:rPr>
        <w:t>A framework for mathematics curricula for Engineering Education.</w:t>
      </w:r>
      <w:r>
        <w:rPr>
          <w:noProof/>
        </w:rPr>
        <w:t xml:space="preserve"> Brussels: SEFI.</w:t>
      </w:r>
    </w:p>
    <w:p w14:paraId="18DA701C" w14:textId="77777777" w:rsidR="000B3366" w:rsidRDefault="000B3366" w:rsidP="000B3366">
      <w:pPr>
        <w:pStyle w:val="Bibliography"/>
        <w:ind w:left="720" w:hanging="720"/>
        <w:rPr>
          <w:noProof/>
        </w:rPr>
      </w:pPr>
      <w:r>
        <w:rPr>
          <w:noProof/>
        </w:rPr>
        <w:t xml:space="preserve">Lucas, B., Hanson, J., &amp; Glaxton, G. (2014). </w:t>
      </w:r>
      <w:r>
        <w:rPr>
          <w:i/>
          <w:iCs/>
          <w:noProof/>
        </w:rPr>
        <w:t>Thinking like and Engineer: Implications for the education system.</w:t>
      </w:r>
      <w:r>
        <w:rPr>
          <w:noProof/>
        </w:rPr>
        <w:t xml:space="preserve"> London: Royal Academy of Engineering.</w:t>
      </w:r>
    </w:p>
    <w:p w14:paraId="0F0BB100" w14:textId="77777777" w:rsidR="000B3366" w:rsidRDefault="000B3366" w:rsidP="000B3366">
      <w:pPr>
        <w:pStyle w:val="Bibliography"/>
        <w:ind w:left="720" w:hanging="720"/>
        <w:rPr>
          <w:noProof/>
        </w:rPr>
      </w:pPr>
      <w:r>
        <w:rPr>
          <w:noProof/>
        </w:rPr>
        <w:t xml:space="preserve">Peters, M. (2015). Using cognitive load theory to intepret student difficulties with a problem based learning approach to engineering education:a case study. </w:t>
      </w:r>
      <w:r>
        <w:rPr>
          <w:i/>
          <w:iCs/>
          <w:noProof/>
        </w:rPr>
        <w:t>Teaching Mathematics and its Applications</w:t>
      </w:r>
      <w:r>
        <w:rPr>
          <w:noProof/>
        </w:rPr>
        <w:t>, 53-62.</w:t>
      </w:r>
    </w:p>
    <w:p w14:paraId="4E9203C6" w14:textId="77777777" w:rsidR="000B3366" w:rsidRDefault="000B3366" w:rsidP="000B3366">
      <w:pPr>
        <w:pStyle w:val="Bibliography"/>
        <w:ind w:left="720" w:hanging="720"/>
        <w:rPr>
          <w:noProof/>
        </w:rPr>
      </w:pPr>
      <w:r>
        <w:rPr>
          <w:noProof/>
        </w:rPr>
        <w:t xml:space="preserve">Peters, M. (2017). Implementing PBL within a First Year Engineering Mathematics Module. </w:t>
      </w:r>
      <w:r>
        <w:rPr>
          <w:i/>
          <w:iCs/>
          <w:noProof/>
        </w:rPr>
        <w:t>HEA Annual Conference.</w:t>
      </w:r>
      <w:r>
        <w:rPr>
          <w:noProof/>
        </w:rPr>
        <w:t xml:space="preserve"> Manchester.</w:t>
      </w:r>
    </w:p>
    <w:p w14:paraId="52A7944D" w14:textId="77777777" w:rsidR="000B3366" w:rsidRDefault="000B3366" w:rsidP="000B3366">
      <w:pPr>
        <w:pStyle w:val="Bibliography"/>
        <w:ind w:left="720" w:hanging="720"/>
        <w:rPr>
          <w:noProof/>
        </w:rPr>
      </w:pPr>
      <w:r>
        <w:rPr>
          <w:noProof/>
        </w:rPr>
        <w:t xml:space="preserve">RAE. (2007). </w:t>
      </w:r>
      <w:r>
        <w:rPr>
          <w:i/>
          <w:iCs/>
          <w:noProof/>
        </w:rPr>
        <w:t>Educating Engineers for the 21st century.</w:t>
      </w:r>
      <w:r>
        <w:rPr>
          <w:noProof/>
        </w:rPr>
        <w:t xml:space="preserve"> London: Royal Academy of Engineering.</w:t>
      </w:r>
    </w:p>
    <w:p w14:paraId="01F131DB" w14:textId="77777777" w:rsidR="000B3366" w:rsidRDefault="000B3366" w:rsidP="000B3366">
      <w:pPr>
        <w:pStyle w:val="Bibliography"/>
        <w:ind w:left="720" w:hanging="720"/>
        <w:rPr>
          <w:noProof/>
        </w:rPr>
      </w:pPr>
      <w:r>
        <w:rPr>
          <w:noProof/>
        </w:rPr>
        <w:t xml:space="preserve">RAE. (2010). </w:t>
      </w:r>
      <w:r>
        <w:rPr>
          <w:i/>
          <w:iCs/>
          <w:noProof/>
        </w:rPr>
        <w:t>Educating Engineers for the 21st century.</w:t>
      </w:r>
      <w:r>
        <w:rPr>
          <w:noProof/>
        </w:rPr>
        <w:t xml:space="preserve"> London: Royal Academy of Engineering.</w:t>
      </w:r>
    </w:p>
    <w:p w14:paraId="1D1256E8" w14:textId="77777777" w:rsidR="000B3366" w:rsidRDefault="000B3366" w:rsidP="000B3366">
      <w:pPr>
        <w:pStyle w:val="Bibliography"/>
        <w:ind w:left="720" w:hanging="720"/>
        <w:rPr>
          <w:noProof/>
        </w:rPr>
      </w:pPr>
      <w:r>
        <w:rPr>
          <w:noProof/>
        </w:rPr>
        <w:t xml:space="preserve">Sazsin, S. (. (n.d.). Teaching mathematics to engineering students. </w:t>
      </w:r>
      <w:r>
        <w:rPr>
          <w:i/>
          <w:iCs/>
          <w:noProof/>
        </w:rPr>
        <w:t>International Journal of Engineering Education, 14</w:t>
      </w:r>
      <w:r>
        <w:rPr>
          <w:noProof/>
        </w:rPr>
        <w:t>(2), 145-152.</w:t>
      </w:r>
    </w:p>
    <w:p w14:paraId="639CCC89" w14:textId="77777777" w:rsidR="000B3366" w:rsidRDefault="000B3366" w:rsidP="000B3366">
      <w:pPr>
        <w:pStyle w:val="Bibliography"/>
        <w:ind w:left="720" w:hanging="720"/>
        <w:rPr>
          <w:noProof/>
        </w:rPr>
      </w:pPr>
      <w:r>
        <w:rPr>
          <w:noProof/>
        </w:rPr>
        <w:t xml:space="preserve">SEFI. (2013). </w:t>
      </w:r>
      <w:r>
        <w:rPr>
          <w:i/>
          <w:iCs/>
          <w:noProof/>
        </w:rPr>
        <w:t>A Framework for Mathematics Curricula in Engineering Education.</w:t>
      </w:r>
      <w:r>
        <w:rPr>
          <w:noProof/>
        </w:rPr>
        <w:t xml:space="preserve"> Brussels: SEFI.</w:t>
      </w:r>
    </w:p>
    <w:p w14:paraId="115F94D7" w14:textId="77777777" w:rsidR="000B3366" w:rsidRDefault="000B3366" w:rsidP="000B3366">
      <w:pPr>
        <w:pStyle w:val="Bibliography"/>
        <w:ind w:left="720" w:hanging="720"/>
        <w:rPr>
          <w:noProof/>
        </w:rPr>
      </w:pPr>
      <w:r>
        <w:rPr>
          <w:noProof/>
        </w:rPr>
        <w:t xml:space="preserve">Treveyan, J. (2014). </w:t>
      </w:r>
      <w:r>
        <w:rPr>
          <w:i/>
          <w:iCs/>
          <w:noProof/>
        </w:rPr>
        <w:t>The making of an expert engineer.</w:t>
      </w:r>
      <w:r>
        <w:rPr>
          <w:noProof/>
        </w:rPr>
        <w:t xml:space="preserve"> New York: CRC Press.</w:t>
      </w:r>
    </w:p>
    <w:p w14:paraId="1ADDB341" w14:textId="77777777" w:rsidR="000B3366" w:rsidRDefault="000B3366" w:rsidP="000B3366">
      <w:pPr>
        <w:pStyle w:val="Bibliography"/>
        <w:ind w:left="720" w:hanging="720"/>
        <w:rPr>
          <w:noProof/>
        </w:rPr>
      </w:pPr>
      <w:r>
        <w:rPr>
          <w:noProof/>
        </w:rPr>
        <w:t xml:space="preserve">Whitfield, P. (1975). </w:t>
      </w:r>
      <w:r>
        <w:rPr>
          <w:i/>
          <w:iCs/>
          <w:noProof/>
        </w:rPr>
        <w:t>Creativity in industry.</w:t>
      </w:r>
      <w:r>
        <w:rPr>
          <w:noProof/>
        </w:rPr>
        <w:t xml:space="preserve"> Harmondsworth: Penguin Books Ltd.</w:t>
      </w:r>
    </w:p>
    <w:p w14:paraId="77F34A1B" w14:textId="77777777" w:rsidR="002C364F" w:rsidRDefault="000B3366" w:rsidP="000B3366">
      <w:pPr>
        <w:pStyle w:val="EndNoteBibliography"/>
        <w:ind w:left="720" w:hanging="720"/>
        <w:rPr>
          <w:rFonts w:ascii="Arial" w:hAnsi="Arial" w:cs="Arial"/>
        </w:rPr>
      </w:pPr>
      <w:r>
        <w:rPr>
          <w:rFonts w:ascii="Arial" w:hAnsi="Arial" w:cs="Arial"/>
        </w:rPr>
        <w:fldChar w:fldCharType="end"/>
      </w:r>
    </w:p>
    <w:p w14:paraId="7AF84C09" w14:textId="77777777" w:rsidR="002C364F" w:rsidRDefault="002C364F" w:rsidP="000B3366">
      <w:pPr>
        <w:pStyle w:val="EndNoteBibliography"/>
        <w:ind w:left="720" w:hanging="720"/>
        <w:rPr>
          <w:rFonts w:ascii="Arial" w:hAnsi="Arial" w:cs="Arial"/>
        </w:rPr>
      </w:pPr>
    </w:p>
    <w:p w14:paraId="219814E9" w14:textId="69E3ACDB" w:rsidR="002C364F" w:rsidRDefault="002C364F" w:rsidP="000B3366">
      <w:pPr>
        <w:pStyle w:val="EndNoteBibliography"/>
        <w:ind w:left="720" w:hanging="720"/>
        <w:rPr>
          <w:rFonts w:ascii="Arial" w:hAnsi="Arial" w:cs="Arial"/>
          <w:b/>
        </w:rPr>
      </w:pPr>
      <w:r>
        <w:rPr>
          <w:rFonts w:ascii="Arial" w:hAnsi="Arial" w:cs="Arial"/>
          <w:b/>
        </w:rPr>
        <w:t>BIOGRAPHICAL INFORMATION</w:t>
      </w:r>
    </w:p>
    <w:p w14:paraId="5E6B45E4" w14:textId="413C2E46" w:rsidR="002C364F" w:rsidRDefault="002C364F" w:rsidP="00DA3890">
      <w:pPr>
        <w:pStyle w:val="EndNoteBibliography"/>
        <w:rPr>
          <w:rFonts w:ascii="Arial" w:hAnsi="Arial" w:cs="Arial"/>
        </w:rPr>
      </w:pPr>
      <w:r>
        <w:rPr>
          <w:rFonts w:ascii="Arial" w:hAnsi="Arial" w:cs="Arial"/>
        </w:rPr>
        <w:t>Michael Peters is a Lecturer in Mechanical Engineering and Design at Aston University, Birmingham, UK.  His current re</w:t>
      </w:r>
      <w:r w:rsidR="00DA3890">
        <w:rPr>
          <w:rFonts w:ascii="Arial" w:hAnsi="Arial" w:cs="Arial"/>
        </w:rPr>
        <w:t>s</w:t>
      </w:r>
      <w:r>
        <w:rPr>
          <w:rFonts w:ascii="Arial" w:hAnsi="Arial" w:cs="Arial"/>
        </w:rPr>
        <w:t xml:space="preserve">aerch interests focusses on the learning and teaching of engineering mathematics and in </w:t>
      </w:r>
      <w:r w:rsidR="00DA3890">
        <w:rPr>
          <w:rFonts w:ascii="Arial" w:hAnsi="Arial" w:cs="Arial"/>
        </w:rPr>
        <w:t>particular the underlying cognitive processes</w:t>
      </w:r>
    </w:p>
    <w:p w14:paraId="3CC81955" w14:textId="41FD8862" w:rsidR="00DA3890" w:rsidRDefault="00DA3890" w:rsidP="00DA3890">
      <w:pPr>
        <w:pStyle w:val="EndNoteBibliography"/>
        <w:rPr>
          <w:rFonts w:ascii="Arial" w:hAnsi="Arial" w:cs="Arial"/>
        </w:rPr>
      </w:pPr>
      <w:r>
        <w:rPr>
          <w:rFonts w:ascii="Arial" w:hAnsi="Arial" w:cs="Arial"/>
        </w:rPr>
        <w:t xml:space="preserve">Mark Prince is a Senior </w:t>
      </w:r>
      <w:r>
        <w:rPr>
          <w:rFonts w:ascii="Arial" w:hAnsi="Arial" w:cs="Arial"/>
        </w:rPr>
        <w:t>in Mechanical Engineering and Design at Aston University, Birmingham, UK.</w:t>
      </w:r>
      <w:r>
        <w:rPr>
          <w:rFonts w:ascii="Arial" w:hAnsi="Arial" w:cs="Arial"/>
        </w:rPr>
        <w:t xml:space="preserve">  </w:t>
      </w:r>
      <w:r>
        <w:rPr>
          <w:rFonts w:ascii="Arial" w:hAnsi="Arial" w:cs="Arial"/>
        </w:rPr>
        <w:t>His current resaerch interests focusses on</w:t>
      </w:r>
      <w:r>
        <w:rPr>
          <w:rFonts w:ascii="Arial" w:hAnsi="Arial" w:cs="Arial"/>
        </w:rPr>
        <w:t xml:space="preserve"> ????</w:t>
      </w:r>
    </w:p>
    <w:p w14:paraId="28002B4F" w14:textId="77777777" w:rsidR="00DA3890" w:rsidRDefault="00DA3890" w:rsidP="00DA3890">
      <w:pPr>
        <w:pStyle w:val="EndNoteBibliography"/>
        <w:rPr>
          <w:rFonts w:ascii="Arial" w:hAnsi="Arial" w:cs="Arial"/>
          <w:b/>
          <w:i/>
        </w:rPr>
        <w:sectPr w:rsidR="00DA3890" w:rsidSect="00D53E8F">
          <w:footerReference w:type="first" r:id="rId8"/>
          <w:pgSz w:w="11906" w:h="16838" w:code="9"/>
          <w:pgMar w:top="1440" w:right="1440" w:bottom="1440" w:left="1440" w:header="737" w:footer="737" w:gutter="0"/>
          <w:cols w:space="708"/>
          <w:titlePg/>
          <w:docGrid w:linePitch="360"/>
        </w:sectPr>
      </w:pPr>
    </w:p>
    <w:p w14:paraId="3665DE43" w14:textId="3B1269F5" w:rsidR="00DA3890" w:rsidRDefault="00DA3890" w:rsidP="00DA3890">
      <w:pPr>
        <w:pStyle w:val="EndNoteBibliography"/>
        <w:rPr>
          <w:rFonts w:ascii="Arial" w:hAnsi="Arial" w:cs="Arial"/>
          <w:b/>
          <w:i/>
        </w:rPr>
      </w:pPr>
      <w:r>
        <w:rPr>
          <w:rFonts w:ascii="Arial" w:hAnsi="Arial" w:cs="Arial"/>
          <w:b/>
          <w:i/>
        </w:rPr>
        <w:lastRenderedPageBreak/>
        <w:t>Corresponding author</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4B5AA5AD" w14:textId="7795DDE3" w:rsidR="00DA3890" w:rsidRDefault="00DA3890" w:rsidP="00DA3890">
      <w:pPr>
        <w:pStyle w:val="EndNoteBibliography"/>
        <w:spacing w:after="0"/>
        <w:rPr>
          <w:rFonts w:ascii="Arial" w:hAnsi="Arial" w:cs="Arial"/>
        </w:rPr>
      </w:pPr>
      <w:r>
        <w:rPr>
          <w:rFonts w:ascii="Arial" w:hAnsi="Arial" w:cs="Arial"/>
        </w:rPr>
        <w:t>Dr. Michael Peters</w:t>
      </w:r>
    </w:p>
    <w:p w14:paraId="79802BE4" w14:textId="1776142A" w:rsidR="00DA3890" w:rsidRDefault="00DA3890" w:rsidP="00DA3890">
      <w:pPr>
        <w:pStyle w:val="EndNoteBibliography"/>
        <w:spacing w:after="0"/>
        <w:rPr>
          <w:rFonts w:ascii="Arial" w:hAnsi="Arial" w:cs="Arial"/>
        </w:rPr>
      </w:pPr>
      <w:r>
        <w:rPr>
          <w:rFonts w:ascii="Arial" w:hAnsi="Arial" w:cs="Arial"/>
        </w:rPr>
        <w:t>Mechanical Engineering and Design</w:t>
      </w:r>
      <w:r>
        <w:rPr>
          <w:rFonts w:ascii="Arial" w:hAnsi="Arial" w:cs="Arial"/>
        </w:rPr>
        <w:tab/>
      </w:r>
    </w:p>
    <w:p w14:paraId="47A87EDE" w14:textId="77777777" w:rsidR="00DA3890" w:rsidRDefault="00DA3890" w:rsidP="00DA3890">
      <w:pPr>
        <w:pStyle w:val="EndNoteBibliography"/>
        <w:spacing w:after="0"/>
        <w:rPr>
          <w:rFonts w:ascii="Arial" w:hAnsi="Arial" w:cs="Arial"/>
        </w:rPr>
      </w:pPr>
      <w:r>
        <w:rPr>
          <w:rFonts w:ascii="Arial" w:hAnsi="Arial" w:cs="Arial"/>
        </w:rPr>
        <w:t xml:space="preserve">Aston University, </w:t>
      </w:r>
    </w:p>
    <w:p w14:paraId="4B6E371D" w14:textId="2617D368" w:rsidR="00DA3890" w:rsidRDefault="00DA3890" w:rsidP="00DA3890">
      <w:pPr>
        <w:pStyle w:val="EndNoteBibliography"/>
        <w:spacing w:after="0"/>
        <w:rPr>
          <w:rFonts w:ascii="Arial" w:hAnsi="Arial" w:cs="Arial"/>
        </w:rPr>
      </w:pPr>
      <w:r>
        <w:rPr>
          <w:rFonts w:ascii="Arial" w:hAnsi="Arial" w:cs="Arial"/>
        </w:rPr>
        <w:t>Birmingham, UK.</w:t>
      </w:r>
    </w:p>
    <w:p w14:paraId="7B15FE91" w14:textId="5E2F8E4B" w:rsidR="00DA3890" w:rsidRPr="00DA3890" w:rsidRDefault="00DA3890" w:rsidP="00DA3890">
      <w:pPr>
        <w:pStyle w:val="EndNoteBibliography"/>
        <w:spacing w:after="0"/>
        <w:rPr>
          <w:rFonts w:ascii="Arial" w:hAnsi="Arial" w:cs="Arial"/>
        </w:rPr>
      </w:pPr>
      <w:r>
        <w:rPr>
          <w:rFonts w:ascii="Arial" w:hAnsi="Arial" w:cs="Arial"/>
        </w:rPr>
        <w:t>m.peters@aston.ac.uk</w:t>
      </w:r>
    </w:p>
    <w:p w14:paraId="12AEB7C8" w14:textId="77777777" w:rsidR="00DA3890" w:rsidRDefault="00DA3890" w:rsidP="000B3366">
      <w:pPr>
        <w:pStyle w:val="EndNoteBibliography"/>
        <w:ind w:left="720" w:hanging="720"/>
        <w:rPr>
          <w:rFonts w:ascii="Arial" w:hAnsi="Arial" w:cs="Arial"/>
        </w:rPr>
      </w:pPr>
    </w:p>
    <w:p w14:paraId="012F2BD8" w14:textId="77777777" w:rsidR="00DA3890" w:rsidRDefault="00DA3890" w:rsidP="000B3366">
      <w:pPr>
        <w:pStyle w:val="EndNoteBibliography"/>
        <w:ind w:left="720" w:hanging="720"/>
        <w:rPr>
          <w:rFonts w:ascii="Arial" w:hAnsi="Arial" w:cs="Arial"/>
        </w:rPr>
      </w:pPr>
    </w:p>
    <w:p w14:paraId="02F1CDAA" w14:textId="77777777" w:rsidR="00DA3890" w:rsidRDefault="00DA3890" w:rsidP="000B3366">
      <w:pPr>
        <w:pStyle w:val="EndNoteBibliography"/>
        <w:ind w:left="720" w:hanging="720"/>
        <w:rPr>
          <w:rFonts w:ascii="Arial" w:hAnsi="Arial" w:cs="Arial"/>
        </w:rPr>
      </w:pPr>
    </w:p>
    <w:p w14:paraId="6C37F1FD" w14:textId="77777777" w:rsidR="00DA3890" w:rsidRDefault="00DA3890" w:rsidP="000B3366">
      <w:pPr>
        <w:pStyle w:val="EndNoteBibliography"/>
        <w:ind w:left="720" w:hanging="720"/>
        <w:rPr>
          <w:rFonts w:ascii="Arial" w:hAnsi="Arial" w:cs="Arial"/>
        </w:rPr>
      </w:pPr>
    </w:p>
    <w:p w14:paraId="1AE56646" w14:textId="77777777" w:rsidR="00DA3890" w:rsidRDefault="00DA3890" w:rsidP="000B3366">
      <w:pPr>
        <w:pStyle w:val="EndNoteBibliography"/>
        <w:ind w:left="720" w:hanging="720"/>
        <w:rPr>
          <w:rFonts w:ascii="Arial" w:hAnsi="Arial" w:cs="Arial"/>
        </w:rPr>
      </w:pPr>
    </w:p>
    <w:p w14:paraId="77B14141" w14:textId="77777777" w:rsidR="00DA3890" w:rsidRDefault="00DA3890" w:rsidP="000B3366">
      <w:pPr>
        <w:pStyle w:val="EndNoteBibliography"/>
        <w:ind w:left="720" w:hanging="720"/>
        <w:rPr>
          <w:rFonts w:ascii="Arial" w:hAnsi="Arial" w:cs="Arial"/>
        </w:rPr>
      </w:pPr>
    </w:p>
    <w:p w14:paraId="252ABDC4" w14:textId="77777777" w:rsidR="00DA3890" w:rsidRDefault="00DA3890" w:rsidP="000B3366">
      <w:pPr>
        <w:pStyle w:val="EndNoteBibliography"/>
        <w:ind w:left="720" w:hanging="720"/>
        <w:rPr>
          <w:rFonts w:ascii="Arial" w:hAnsi="Arial" w:cs="Arial"/>
        </w:rPr>
      </w:pPr>
    </w:p>
    <w:p w14:paraId="79E794B6" w14:textId="77777777" w:rsidR="00DA3890" w:rsidRDefault="00DA3890" w:rsidP="000B3366">
      <w:pPr>
        <w:pStyle w:val="EndNoteBibliography"/>
        <w:ind w:left="720" w:hanging="720"/>
        <w:rPr>
          <w:rFonts w:ascii="Arial" w:hAnsi="Arial" w:cs="Arial"/>
        </w:rPr>
      </w:pPr>
    </w:p>
    <w:p w14:paraId="0ECB36D0" w14:textId="77777777" w:rsidR="00DA3890" w:rsidRDefault="00DA3890" w:rsidP="000B3366">
      <w:pPr>
        <w:pStyle w:val="EndNoteBibliography"/>
        <w:ind w:left="720" w:hanging="720"/>
        <w:rPr>
          <w:rFonts w:ascii="Arial" w:hAnsi="Arial" w:cs="Arial"/>
        </w:rPr>
      </w:pPr>
    </w:p>
    <w:p w14:paraId="6EDF33A2" w14:textId="77777777" w:rsidR="00DA3890" w:rsidRDefault="00DA3890" w:rsidP="000B3366">
      <w:pPr>
        <w:pStyle w:val="EndNoteBibliography"/>
        <w:ind w:left="720" w:hanging="720"/>
        <w:rPr>
          <w:rFonts w:ascii="Arial" w:hAnsi="Arial" w:cs="Arial"/>
        </w:rPr>
      </w:pPr>
    </w:p>
    <w:p w14:paraId="6249296C" w14:textId="77777777" w:rsidR="00DA3890" w:rsidRDefault="00DA3890" w:rsidP="000B3366">
      <w:pPr>
        <w:pStyle w:val="EndNoteBibliography"/>
        <w:ind w:left="720" w:hanging="720"/>
        <w:rPr>
          <w:rFonts w:ascii="Arial" w:hAnsi="Arial" w:cs="Arial"/>
        </w:rPr>
      </w:pPr>
    </w:p>
    <w:p w14:paraId="0AB9344B" w14:textId="77777777" w:rsidR="00DA3890" w:rsidRDefault="00DA3890" w:rsidP="000B3366">
      <w:pPr>
        <w:pStyle w:val="EndNoteBibliography"/>
        <w:ind w:left="720" w:hanging="720"/>
        <w:rPr>
          <w:rFonts w:ascii="Arial" w:hAnsi="Arial" w:cs="Arial"/>
        </w:rPr>
      </w:pPr>
    </w:p>
    <w:p w14:paraId="72097D3B" w14:textId="77777777" w:rsidR="00DA3890" w:rsidRDefault="00DA3890" w:rsidP="000B3366">
      <w:pPr>
        <w:pStyle w:val="EndNoteBibliography"/>
        <w:ind w:left="720" w:hanging="720"/>
        <w:rPr>
          <w:rFonts w:ascii="Arial" w:hAnsi="Arial" w:cs="Arial"/>
        </w:rPr>
      </w:pPr>
    </w:p>
    <w:p w14:paraId="7D3C04A6" w14:textId="77777777" w:rsidR="00DA3890" w:rsidRDefault="00DA3890" w:rsidP="000B3366">
      <w:pPr>
        <w:pStyle w:val="EndNoteBibliography"/>
        <w:ind w:left="720" w:hanging="720"/>
        <w:rPr>
          <w:rFonts w:ascii="Arial" w:hAnsi="Arial" w:cs="Arial"/>
        </w:rPr>
      </w:pPr>
    </w:p>
    <w:p w14:paraId="35A057B3" w14:textId="77777777" w:rsidR="00DA3890" w:rsidRDefault="00DA3890" w:rsidP="000B3366">
      <w:pPr>
        <w:pStyle w:val="EndNoteBibliography"/>
        <w:ind w:left="720" w:hanging="720"/>
        <w:rPr>
          <w:rFonts w:ascii="Arial" w:hAnsi="Arial" w:cs="Arial"/>
        </w:rPr>
      </w:pPr>
    </w:p>
    <w:p w14:paraId="3ED7A87D" w14:textId="77777777" w:rsidR="00DA3890" w:rsidRDefault="00DA3890" w:rsidP="000B3366">
      <w:pPr>
        <w:pStyle w:val="EndNoteBibliography"/>
        <w:ind w:left="720" w:hanging="720"/>
        <w:rPr>
          <w:rFonts w:ascii="Arial" w:hAnsi="Arial" w:cs="Arial"/>
        </w:rPr>
      </w:pPr>
    </w:p>
    <w:p w14:paraId="0D10E607" w14:textId="27F05551" w:rsidR="00DA3890" w:rsidRDefault="00DA3890" w:rsidP="000B3366">
      <w:pPr>
        <w:pStyle w:val="EndNoteBibliography"/>
        <w:ind w:left="720" w:hanging="720"/>
        <w:rPr>
          <w:rFonts w:ascii="Arial" w:hAnsi="Arial" w:cs="Arial"/>
        </w:rPr>
      </w:pPr>
    </w:p>
    <w:p w14:paraId="4A05D7E5" w14:textId="5D38535E" w:rsidR="00DA3890" w:rsidRDefault="00DA3890" w:rsidP="000B3366">
      <w:pPr>
        <w:pStyle w:val="EndNoteBibliography"/>
        <w:ind w:left="720" w:hanging="720"/>
        <w:rPr>
          <w:rFonts w:ascii="Arial" w:hAnsi="Arial" w:cs="Arial"/>
        </w:rPr>
      </w:pPr>
    </w:p>
    <w:p w14:paraId="54E31B8F" w14:textId="27A511B2" w:rsidR="00DA3890" w:rsidRDefault="00DA3890" w:rsidP="000B3366">
      <w:pPr>
        <w:pStyle w:val="EndNoteBibliography"/>
        <w:ind w:left="720" w:hanging="720"/>
        <w:rPr>
          <w:rFonts w:ascii="Arial" w:hAnsi="Arial" w:cs="Arial"/>
        </w:rPr>
      </w:pPr>
    </w:p>
    <w:p w14:paraId="02A49DDA" w14:textId="004872EA" w:rsidR="00DA3890" w:rsidRDefault="00DA3890" w:rsidP="000B3366">
      <w:pPr>
        <w:pStyle w:val="EndNoteBibliography"/>
        <w:ind w:left="720" w:hanging="720"/>
        <w:rPr>
          <w:rFonts w:ascii="Arial" w:hAnsi="Arial" w:cs="Arial"/>
        </w:rPr>
      </w:pPr>
    </w:p>
    <w:p w14:paraId="766D2FC2" w14:textId="55CE1184" w:rsidR="00DA3890" w:rsidRDefault="00DA3890" w:rsidP="000B3366">
      <w:pPr>
        <w:pStyle w:val="EndNoteBibliography"/>
        <w:ind w:left="720" w:hanging="720"/>
        <w:rPr>
          <w:rFonts w:ascii="Arial" w:hAnsi="Arial" w:cs="Arial"/>
        </w:rPr>
      </w:pPr>
    </w:p>
    <w:p w14:paraId="0E4BE819" w14:textId="3C141B31" w:rsidR="00DA3890" w:rsidRDefault="00DA3890" w:rsidP="000B3366">
      <w:pPr>
        <w:pStyle w:val="EndNoteBibliography"/>
        <w:ind w:left="720" w:hanging="720"/>
        <w:rPr>
          <w:rFonts w:ascii="Arial" w:hAnsi="Arial" w:cs="Arial"/>
        </w:rPr>
      </w:pPr>
    </w:p>
    <w:p w14:paraId="503FE03F" w14:textId="77777777" w:rsidR="00DA3890" w:rsidRDefault="00DA3890" w:rsidP="000B3366">
      <w:pPr>
        <w:pStyle w:val="EndNoteBibliography"/>
        <w:ind w:left="720" w:hanging="720"/>
        <w:rPr>
          <w:rFonts w:ascii="Arial" w:hAnsi="Arial" w:cs="Arial"/>
        </w:rPr>
      </w:pPr>
    </w:p>
    <w:p w14:paraId="0B9C350E" w14:textId="6A63FE3D" w:rsidR="00DA3890" w:rsidRDefault="00DA3890" w:rsidP="000B3366">
      <w:pPr>
        <w:pStyle w:val="EndNoteBibliography"/>
        <w:ind w:left="720" w:hanging="720"/>
        <w:rPr>
          <w:rFonts w:ascii="Arial" w:hAnsi="Arial" w:cs="Arial"/>
        </w:rPr>
      </w:pPr>
    </w:p>
    <w:p w14:paraId="20657E65" w14:textId="77777777" w:rsidR="00DA3890" w:rsidRDefault="00DA3890" w:rsidP="000B3366">
      <w:pPr>
        <w:pStyle w:val="EndNoteBibliography"/>
        <w:ind w:left="720" w:hanging="720"/>
        <w:rPr>
          <w:rFonts w:ascii="Arial" w:hAnsi="Arial" w:cs="Arial"/>
        </w:rPr>
      </w:pPr>
    </w:p>
    <w:p w14:paraId="7AF10982" w14:textId="493E5015" w:rsidR="00DA3890" w:rsidRDefault="00DA3890" w:rsidP="000B3366">
      <w:pPr>
        <w:pStyle w:val="EndNoteBibliography"/>
        <w:ind w:left="720" w:hanging="720"/>
        <w:rPr>
          <w:rFonts w:ascii="Arial" w:hAnsi="Arial" w:cs="Arial"/>
        </w:rPr>
      </w:pPr>
      <w:r w:rsidRPr="00851C0A">
        <w:rPr>
          <w:rFonts w:ascii="Arial" w:hAnsi="Arial" w:cs="Arial"/>
          <w:lang w:eastAsia="en-GB"/>
        </w:rPr>
        <w:drawing>
          <wp:inline distT="0" distB="0" distL="0" distR="0" wp14:anchorId="76930905" wp14:editId="01CE0B64">
            <wp:extent cx="1319367" cy="465667"/>
            <wp:effectExtent l="0" t="0" r="0" b="0"/>
            <wp:docPr id="2" name="Picture 2" descr="C:\Users\jroslof\Desktop\creative-commons-783531_128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p>
    <w:p w14:paraId="41583313" w14:textId="1860E524" w:rsidR="00824958" w:rsidRDefault="00DA3890" w:rsidP="003E1C68">
      <w:pPr>
        <w:spacing w:before="0" w:after="0"/>
        <w:rPr>
          <w:rStyle w:val="Hyperlink"/>
          <w:rFonts w:ascii="Arial" w:hAnsi="Arial" w:cs="Arial"/>
          <w:sz w:val="22"/>
          <w:lang w:val="en-US"/>
        </w:rPr>
      </w:pPr>
      <w:r w:rsidRPr="000F74FB">
        <w:rPr>
          <w:rFonts w:ascii="Arial" w:hAnsi="Arial" w:cs="Arial"/>
          <w:sz w:val="22"/>
          <w:lang w:val="en-US"/>
        </w:rPr>
        <w:t>This work is licensed under a </w:t>
      </w:r>
      <w:hyperlink r:id="rId11" w:history="1">
        <w:r w:rsidRPr="000F74FB">
          <w:rPr>
            <w:rStyle w:val="Hyperlink"/>
            <w:rFonts w:ascii="Arial" w:hAnsi="Arial" w:cs="Arial"/>
            <w:sz w:val="22"/>
            <w:lang w:val="en-US"/>
          </w:rPr>
          <w:t>Creative Commons Attr</w:t>
        </w:r>
        <w:r>
          <w:rPr>
            <w:rStyle w:val="Hyperlink"/>
            <w:rFonts w:ascii="Arial" w:hAnsi="Arial" w:cs="Arial"/>
            <w:sz w:val="22"/>
            <w:lang w:val="en-US"/>
          </w:rPr>
          <w:t>ibution-</w:t>
        </w:r>
        <w:proofErr w:type="spellStart"/>
        <w:r>
          <w:rPr>
            <w:rStyle w:val="Hyperlink"/>
            <w:rFonts w:ascii="Arial" w:hAnsi="Arial" w:cs="Arial"/>
            <w:sz w:val="22"/>
            <w:lang w:val="en-US"/>
          </w:rPr>
          <w:t>NonCommercial</w:t>
        </w:r>
        <w:proofErr w:type="spellEnd"/>
        <w:r>
          <w:rPr>
            <w:rStyle w:val="Hyperlink"/>
            <w:rFonts w:ascii="Arial" w:hAnsi="Arial" w:cs="Arial"/>
            <w:sz w:val="22"/>
            <w:lang w:val="en-US"/>
          </w:rPr>
          <w:t>-</w:t>
        </w:r>
        <w:proofErr w:type="spellStart"/>
        <w:r>
          <w:rPr>
            <w:rStyle w:val="Hyperlink"/>
            <w:rFonts w:ascii="Arial" w:hAnsi="Arial" w:cs="Arial"/>
            <w:sz w:val="22"/>
            <w:lang w:val="en-US"/>
          </w:rPr>
          <w:t>NoDerivs</w:t>
        </w:r>
        <w:proofErr w:type="spellEnd"/>
        <w:r>
          <w:rPr>
            <w:rStyle w:val="Hyperlink"/>
            <w:rFonts w:ascii="Arial" w:hAnsi="Arial" w:cs="Arial"/>
            <w:sz w:val="22"/>
            <w:lang w:val="en-US"/>
          </w:rPr>
          <w:t xml:space="preserve"> 4</w:t>
        </w:r>
        <w:r w:rsidRPr="000F74FB">
          <w:rPr>
            <w:rStyle w:val="Hyperlink"/>
            <w:rFonts w:ascii="Arial" w:hAnsi="Arial" w:cs="Arial"/>
            <w:sz w:val="22"/>
            <w:lang w:val="en-US"/>
          </w:rPr>
          <w:t xml:space="preserve">.0 </w:t>
        </w:r>
        <w:r>
          <w:rPr>
            <w:rStyle w:val="Hyperlink"/>
            <w:rFonts w:ascii="Arial" w:hAnsi="Arial" w:cs="Arial"/>
            <w:sz w:val="22"/>
            <w:lang w:val="en-US"/>
          </w:rPr>
          <w:t xml:space="preserve">International </w:t>
        </w:r>
        <w:r w:rsidRPr="000F74FB">
          <w:rPr>
            <w:rStyle w:val="Hyperlink"/>
            <w:rFonts w:ascii="Arial" w:hAnsi="Arial" w:cs="Arial"/>
            <w:sz w:val="22"/>
            <w:lang w:val="en-US"/>
          </w:rPr>
          <w:t>License</w:t>
        </w:r>
      </w:hyperlink>
    </w:p>
    <w:p w14:paraId="58435850" w14:textId="2A9FE4C8" w:rsidR="00DA3890" w:rsidRDefault="00DA3890" w:rsidP="003E1C68">
      <w:pPr>
        <w:spacing w:before="0" w:after="0"/>
        <w:rPr>
          <w:rStyle w:val="Hyperlink"/>
          <w:rFonts w:ascii="Arial" w:hAnsi="Arial" w:cs="Arial"/>
          <w:sz w:val="22"/>
          <w:lang w:val="en-US"/>
        </w:rPr>
      </w:pPr>
    </w:p>
    <w:p w14:paraId="53189FD3" w14:textId="72B85351" w:rsidR="00DA3890" w:rsidRDefault="00DA3890" w:rsidP="003E1C68">
      <w:pPr>
        <w:spacing w:before="0" w:after="0"/>
        <w:rPr>
          <w:rStyle w:val="Hyperlink"/>
          <w:rFonts w:ascii="Arial" w:hAnsi="Arial" w:cs="Arial"/>
          <w:sz w:val="22"/>
          <w:lang w:val="en-US"/>
        </w:rPr>
      </w:pPr>
    </w:p>
    <w:p w14:paraId="24613952" w14:textId="40E0D209" w:rsidR="00DA3890" w:rsidRDefault="00DA3890" w:rsidP="003E1C68">
      <w:pPr>
        <w:spacing w:before="0" w:after="0"/>
        <w:rPr>
          <w:rStyle w:val="Hyperlink"/>
          <w:rFonts w:ascii="Arial" w:hAnsi="Arial" w:cs="Arial"/>
          <w:sz w:val="22"/>
          <w:lang w:val="en-US"/>
        </w:rPr>
      </w:pPr>
    </w:p>
    <w:p w14:paraId="0BE6758B" w14:textId="233819E8" w:rsidR="00DA3890" w:rsidRDefault="00DA3890" w:rsidP="003E1C68">
      <w:pPr>
        <w:spacing w:before="0" w:after="0"/>
        <w:rPr>
          <w:rStyle w:val="Hyperlink"/>
          <w:rFonts w:ascii="Arial" w:hAnsi="Arial" w:cs="Arial"/>
          <w:sz w:val="22"/>
          <w:lang w:val="en-US"/>
        </w:rPr>
      </w:pPr>
    </w:p>
    <w:p w14:paraId="3A46ACE7" w14:textId="4463E8AB" w:rsidR="00DA3890" w:rsidRDefault="00DA3890" w:rsidP="003E1C68">
      <w:pPr>
        <w:spacing w:before="0" w:after="0"/>
        <w:rPr>
          <w:rStyle w:val="Hyperlink"/>
          <w:rFonts w:ascii="Arial" w:hAnsi="Arial" w:cs="Arial"/>
          <w:sz w:val="22"/>
          <w:lang w:val="en-US"/>
        </w:rPr>
      </w:pPr>
    </w:p>
    <w:p w14:paraId="47E1BE4A" w14:textId="3A4DF260" w:rsidR="00DA3890" w:rsidRDefault="00DA3890" w:rsidP="003E1C68">
      <w:pPr>
        <w:spacing w:before="0" w:after="0"/>
        <w:rPr>
          <w:rStyle w:val="Hyperlink"/>
          <w:rFonts w:ascii="Arial" w:hAnsi="Arial" w:cs="Arial"/>
          <w:sz w:val="22"/>
          <w:lang w:val="en-US"/>
        </w:rPr>
      </w:pPr>
    </w:p>
    <w:p w14:paraId="5B583061" w14:textId="6144DB78" w:rsidR="00DA3890" w:rsidRDefault="00DA3890" w:rsidP="003E1C68">
      <w:pPr>
        <w:spacing w:before="0" w:after="0"/>
        <w:rPr>
          <w:rStyle w:val="Hyperlink"/>
          <w:rFonts w:ascii="Arial" w:hAnsi="Arial" w:cs="Arial"/>
          <w:sz w:val="22"/>
          <w:lang w:val="en-US"/>
        </w:rPr>
      </w:pPr>
    </w:p>
    <w:p w14:paraId="29A46974" w14:textId="236E5F55" w:rsidR="00DA3890" w:rsidRDefault="00DA3890" w:rsidP="003E1C68">
      <w:pPr>
        <w:spacing w:before="0" w:after="0"/>
        <w:rPr>
          <w:rStyle w:val="Hyperlink"/>
          <w:rFonts w:ascii="Arial" w:hAnsi="Arial" w:cs="Arial"/>
          <w:sz w:val="22"/>
          <w:lang w:val="en-US"/>
        </w:rPr>
      </w:pPr>
    </w:p>
    <w:p w14:paraId="5C4C11B3" w14:textId="6D4FE75A" w:rsidR="00DA3890" w:rsidRDefault="00DA3890" w:rsidP="003E1C68">
      <w:pPr>
        <w:spacing w:before="0" w:after="0"/>
        <w:rPr>
          <w:rStyle w:val="Hyperlink"/>
          <w:rFonts w:ascii="Arial" w:hAnsi="Arial" w:cs="Arial"/>
          <w:sz w:val="22"/>
          <w:lang w:val="en-US"/>
        </w:rPr>
      </w:pPr>
    </w:p>
    <w:p w14:paraId="2D6B540B" w14:textId="0983F6A7" w:rsidR="00DA3890" w:rsidRDefault="00DA3890" w:rsidP="003E1C68">
      <w:pPr>
        <w:spacing w:before="0" w:after="0"/>
        <w:rPr>
          <w:rStyle w:val="Hyperlink"/>
          <w:rFonts w:ascii="Arial" w:hAnsi="Arial" w:cs="Arial"/>
          <w:sz w:val="22"/>
          <w:lang w:val="en-US"/>
        </w:rPr>
      </w:pPr>
    </w:p>
    <w:p w14:paraId="269A112D" w14:textId="7F91C123" w:rsidR="00DA3890" w:rsidRDefault="00DA3890" w:rsidP="003E1C68">
      <w:pPr>
        <w:spacing w:before="0" w:after="0"/>
        <w:rPr>
          <w:rStyle w:val="Hyperlink"/>
          <w:rFonts w:ascii="Arial" w:hAnsi="Arial" w:cs="Arial"/>
          <w:sz w:val="22"/>
          <w:lang w:val="en-US"/>
        </w:rPr>
      </w:pPr>
    </w:p>
    <w:p w14:paraId="15AB5B19" w14:textId="69D27977" w:rsidR="00DA3890" w:rsidRDefault="00DA3890" w:rsidP="003E1C68">
      <w:pPr>
        <w:spacing w:before="0" w:after="0"/>
        <w:rPr>
          <w:rStyle w:val="Hyperlink"/>
          <w:rFonts w:ascii="Arial" w:hAnsi="Arial" w:cs="Arial"/>
          <w:sz w:val="22"/>
          <w:lang w:val="en-US"/>
        </w:rPr>
      </w:pPr>
    </w:p>
    <w:p w14:paraId="4A8AAA97" w14:textId="44BF2CF6" w:rsidR="00DA3890" w:rsidRDefault="00DA3890" w:rsidP="003E1C68">
      <w:pPr>
        <w:spacing w:before="0" w:after="0"/>
        <w:rPr>
          <w:rStyle w:val="Hyperlink"/>
          <w:rFonts w:ascii="Arial" w:hAnsi="Arial" w:cs="Arial"/>
          <w:sz w:val="22"/>
          <w:lang w:val="en-US"/>
        </w:rPr>
      </w:pPr>
    </w:p>
    <w:p w14:paraId="752CA57E" w14:textId="4CD5C198" w:rsidR="00DA3890" w:rsidRDefault="00DA3890" w:rsidP="003E1C68">
      <w:pPr>
        <w:spacing w:before="0" w:after="0"/>
        <w:rPr>
          <w:rStyle w:val="Hyperlink"/>
          <w:rFonts w:ascii="Arial" w:hAnsi="Arial" w:cs="Arial"/>
          <w:sz w:val="22"/>
          <w:lang w:val="en-US"/>
        </w:rPr>
      </w:pPr>
    </w:p>
    <w:p w14:paraId="3F70B092" w14:textId="6132AE66" w:rsidR="00DA3890" w:rsidRDefault="00DA3890" w:rsidP="003E1C68">
      <w:pPr>
        <w:spacing w:before="0" w:after="0"/>
        <w:rPr>
          <w:rStyle w:val="Hyperlink"/>
          <w:rFonts w:ascii="Arial" w:hAnsi="Arial" w:cs="Arial"/>
          <w:sz w:val="22"/>
          <w:lang w:val="en-US"/>
        </w:rPr>
      </w:pPr>
    </w:p>
    <w:p w14:paraId="70596554" w14:textId="30914565" w:rsidR="00DA3890" w:rsidRDefault="00DA3890" w:rsidP="003E1C68">
      <w:pPr>
        <w:spacing w:before="0" w:after="0"/>
        <w:rPr>
          <w:rStyle w:val="Hyperlink"/>
          <w:rFonts w:ascii="Arial" w:hAnsi="Arial" w:cs="Arial"/>
          <w:sz w:val="22"/>
          <w:lang w:val="en-US"/>
        </w:rPr>
      </w:pPr>
    </w:p>
    <w:p w14:paraId="50201386" w14:textId="7999E1BB" w:rsidR="00DA3890" w:rsidRDefault="00DA3890" w:rsidP="003E1C68">
      <w:pPr>
        <w:spacing w:before="0" w:after="0"/>
        <w:rPr>
          <w:rStyle w:val="Hyperlink"/>
          <w:rFonts w:ascii="Arial" w:hAnsi="Arial" w:cs="Arial"/>
          <w:sz w:val="22"/>
          <w:lang w:val="en-US"/>
        </w:rPr>
      </w:pPr>
    </w:p>
    <w:p w14:paraId="1F75ABE9" w14:textId="0050CF8F" w:rsidR="00DA3890" w:rsidRDefault="00DA3890" w:rsidP="003E1C68">
      <w:pPr>
        <w:spacing w:before="0" w:after="0"/>
        <w:rPr>
          <w:rStyle w:val="Hyperlink"/>
          <w:rFonts w:ascii="Arial" w:hAnsi="Arial" w:cs="Arial"/>
          <w:sz w:val="22"/>
          <w:lang w:val="en-US"/>
        </w:rPr>
      </w:pPr>
    </w:p>
    <w:p w14:paraId="3737401F" w14:textId="5DA3AE51" w:rsidR="00DA3890" w:rsidRDefault="00DA3890" w:rsidP="003E1C68">
      <w:pPr>
        <w:spacing w:before="0" w:after="0"/>
        <w:rPr>
          <w:rStyle w:val="Hyperlink"/>
          <w:rFonts w:ascii="Arial" w:hAnsi="Arial" w:cs="Arial"/>
          <w:sz w:val="22"/>
          <w:lang w:val="en-US"/>
        </w:rPr>
      </w:pPr>
    </w:p>
    <w:p w14:paraId="6B634578" w14:textId="5A6D09F3" w:rsidR="00DA3890" w:rsidRDefault="00DA3890" w:rsidP="003E1C68">
      <w:pPr>
        <w:spacing w:before="0" w:after="0"/>
        <w:rPr>
          <w:rStyle w:val="Hyperlink"/>
          <w:rFonts w:ascii="Arial" w:hAnsi="Arial" w:cs="Arial"/>
          <w:sz w:val="22"/>
          <w:lang w:val="en-US"/>
        </w:rPr>
      </w:pPr>
    </w:p>
    <w:p w14:paraId="242384C6" w14:textId="01A95D13" w:rsidR="00DA3890" w:rsidRDefault="00DA3890" w:rsidP="003E1C68">
      <w:pPr>
        <w:spacing w:before="0" w:after="0"/>
        <w:rPr>
          <w:rStyle w:val="Hyperlink"/>
          <w:rFonts w:ascii="Arial" w:hAnsi="Arial" w:cs="Arial"/>
          <w:sz w:val="22"/>
          <w:lang w:val="en-US"/>
        </w:rPr>
      </w:pPr>
    </w:p>
    <w:p w14:paraId="59645DC5" w14:textId="7A6E2D6C" w:rsidR="00DA3890" w:rsidRDefault="00DA3890" w:rsidP="003E1C68">
      <w:pPr>
        <w:spacing w:before="0" w:after="0"/>
        <w:rPr>
          <w:rStyle w:val="Hyperlink"/>
          <w:rFonts w:ascii="Arial" w:hAnsi="Arial" w:cs="Arial"/>
          <w:sz w:val="22"/>
          <w:lang w:val="en-US"/>
        </w:rPr>
      </w:pPr>
    </w:p>
    <w:p w14:paraId="6FD19240" w14:textId="55E49191" w:rsidR="00DA3890" w:rsidRDefault="00DA3890" w:rsidP="003E1C68">
      <w:pPr>
        <w:spacing w:before="0" w:after="0"/>
        <w:rPr>
          <w:rStyle w:val="Hyperlink"/>
          <w:rFonts w:ascii="Arial" w:hAnsi="Arial" w:cs="Arial"/>
          <w:sz w:val="22"/>
          <w:lang w:val="en-US"/>
        </w:rPr>
      </w:pPr>
    </w:p>
    <w:p w14:paraId="3CB14C4E" w14:textId="78C92400" w:rsidR="00DA3890" w:rsidRDefault="00DA3890" w:rsidP="003E1C68">
      <w:pPr>
        <w:spacing w:before="0" w:after="0"/>
        <w:rPr>
          <w:rStyle w:val="Hyperlink"/>
          <w:rFonts w:ascii="Arial" w:hAnsi="Arial" w:cs="Arial"/>
          <w:sz w:val="22"/>
          <w:lang w:val="en-US"/>
        </w:rPr>
      </w:pPr>
    </w:p>
    <w:p w14:paraId="577701C5" w14:textId="0B8BC075" w:rsidR="00DA3890" w:rsidRDefault="00DA3890" w:rsidP="003E1C68">
      <w:pPr>
        <w:spacing w:before="0" w:after="0"/>
        <w:rPr>
          <w:rStyle w:val="Hyperlink"/>
          <w:rFonts w:ascii="Arial" w:hAnsi="Arial" w:cs="Arial"/>
          <w:sz w:val="22"/>
          <w:lang w:val="en-US"/>
        </w:rPr>
      </w:pPr>
    </w:p>
    <w:p w14:paraId="0B62EC79" w14:textId="6D1698A0" w:rsidR="00DA3890" w:rsidRDefault="00DA3890" w:rsidP="003E1C68">
      <w:pPr>
        <w:spacing w:before="0" w:after="0"/>
        <w:rPr>
          <w:rStyle w:val="Hyperlink"/>
          <w:rFonts w:ascii="Arial" w:hAnsi="Arial" w:cs="Arial"/>
          <w:sz w:val="22"/>
          <w:lang w:val="en-US"/>
        </w:rPr>
      </w:pPr>
    </w:p>
    <w:p w14:paraId="16EA1495" w14:textId="2D2465AE" w:rsidR="00DA3890" w:rsidRDefault="00DA3890" w:rsidP="003E1C68">
      <w:pPr>
        <w:spacing w:before="0" w:after="0"/>
        <w:rPr>
          <w:rStyle w:val="Hyperlink"/>
          <w:rFonts w:ascii="Arial" w:hAnsi="Arial" w:cs="Arial"/>
          <w:sz w:val="22"/>
          <w:lang w:val="en-US"/>
        </w:rPr>
      </w:pPr>
    </w:p>
    <w:p w14:paraId="685D9DF9" w14:textId="6A824A86" w:rsidR="00DA3890" w:rsidRDefault="00DA3890" w:rsidP="003E1C68">
      <w:pPr>
        <w:spacing w:before="0" w:after="0"/>
        <w:rPr>
          <w:rStyle w:val="Hyperlink"/>
          <w:rFonts w:ascii="Arial" w:hAnsi="Arial" w:cs="Arial"/>
          <w:sz w:val="22"/>
          <w:lang w:val="en-US"/>
        </w:rPr>
      </w:pPr>
    </w:p>
    <w:p w14:paraId="2371D431" w14:textId="60E629A6" w:rsidR="00DA3890" w:rsidRDefault="00DA3890" w:rsidP="003E1C68">
      <w:pPr>
        <w:spacing w:before="0" w:after="0"/>
        <w:rPr>
          <w:rStyle w:val="Hyperlink"/>
          <w:rFonts w:ascii="Arial" w:hAnsi="Arial" w:cs="Arial"/>
          <w:sz w:val="22"/>
          <w:lang w:val="en-US"/>
        </w:rPr>
      </w:pPr>
    </w:p>
    <w:p w14:paraId="3E2FC9B0" w14:textId="1CD4FDB6" w:rsidR="00DA3890" w:rsidRDefault="00DA3890" w:rsidP="003E1C68">
      <w:pPr>
        <w:spacing w:before="0" w:after="0"/>
        <w:rPr>
          <w:rStyle w:val="Hyperlink"/>
          <w:rFonts w:ascii="Arial" w:hAnsi="Arial" w:cs="Arial"/>
          <w:sz w:val="22"/>
          <w:lang w:val="en-US"/>
        </w:rPr>
      </w:pPr>
    </w:p>
    <w:p w14:paraId="69A27296" w14:textId="77777777" w:rsidR="00DA3890" w:rsidRDefault="00DA3890" w:rsidP="003E1C68">
      <w:pPr>
        <w:spacing w:before="0" w:after="0"/>
        <w:rPr>
          <w:rStyle w:val="Hyperlink"/>
          <w:rFonts w:ascii="Arial" w:hAnsi="Arial" w:cs="Arial"/>
          <w:b/>
          <w:color w:val="auto"/>
          <w:sz w:val="22"/>
          <w:u w:val="none"/>
          <w:lang w:val="en-US"/>
        </w:rPr>
        <w:sectPr w:rsidR="00DA3890" w:rsidSect="00DA3890">
          <w:type w:val="continuous"/>
          <w:pgSz w:w="11906" w:h="16838" w:code="9"/>
          <w:pgMar w:top="1440" w:right="1440" w:bottom="1440" w:left="1440" w:header="737" w:footer="737" w:gutter="0"/>
          <w:cols w:num="2" w:space="720"/>
          <w:titlePg/>
          <w:docGrid w:linePitch="360"/>
        </w:sectPr>
      </w:pPr>
    </w:p>
    <w:p w14:paraId="3215EDAF" w14:textId="49E17716" w:rsidR="00DA3890" w:rsidRDefault="00DA3890" w:rsidP="003E1C68">
      <w:pPr>
        <w:spacing w:before="0" w:after="0"/>
        <w:rPr>
          <w:rStyle w:val="Hyperlink"/>
          <w:rFonts w:ascii="Arial" w:hAnsi="Arial" w:cs="Arial"/>
          <w:b/>
          <w:color w:val="auto"/>
          <w:sz w:val="22"/>
          <w:u w:val="none"/>
          <w:lang w:val="en-US"/>
        </w:rPr>
      </w:pPr>
      <w:r w:rsidRPr="00DA3890">
        <w:rPr>
          <w:rStyle w:val="Hyperlink"/>
          <w:rFonts w:ascii="Arial" w:hAnsi="Arial" w:cs="Arial"/>
          <w:b/>
          <w:color w:val="auto"/>
          <w:sz w:val="22"/>
          <w:u w:val="none"/>
          <w:lang w:val="en-US"/>
        </w:rPr>
        <w:t>APPENDIX 1</w:t>
      </w:r>
    </w:p>
    <w:p w14:paraId="29FE0CAA" w14:textId="47EB5298" w:rsidR="00DA3890" w:rsidRDefault="00DA3890" w:rsidP="003E1C68">
      <w:pPr>
        <w:spacing w:before="0" w:after="0"/>
        <w:rPr>
          <w:rStyle w:val="Hyperlink"/>
          <w:rFonts w:ascii="Arial" w:hAnsi="Arial" w:cs="Arial"/>
          <w:b/>
          <w:color w:val="auto"/>
          <w:sz w:val="22"/>
          <w:u w:val="none"/>
          <w:lang w:val="en-US"/>
        </w:rPr>
      </w:pPr>
    </w:p>
    <w:p w14:paraId="29CC5E79" w14:textId="205105DA" w:rsidR="00DA3890" w:rsidRDefault="00DA3890" w:rsidP="003E1C68">
      <w:pPr>
        <w:spacing w:before="0" w:after="0"/>
        <w:rPr>
          <w:rStyle w:val="Hyperlink"/>
          <w:rFonts w:ascii="Arial" w:hAnsi="Arial" w:cs="Arial"/>
          <w:b/>
          <w:color w:val="auto"/>
          <w:sz w:val="22"/>
          <w:u w:val="none"/>
          <w:lang w:val="en-US"/>
        </w:rPr>
      </w:pPr>
      <w:r w:rsidRPr="00824958">
        <w:rPr>
          <w:rFonts w:ascii="Gill Sans MT" w:hAnsi="Gill Sans MT" w:cs="Tahoma"/>
          <w:b/>
          <w:noProof/>
          <w:szCs w:val="24"/>
          <w:lang w:val="en-GB" w:eastAsia="en-GB"/>
        </w:rPr>
        <w:lastRenderedPageBreak/>
        <w:drawing>
          <wp:inline distT="0" distB="0" distL="0" distR="0" wp14:anchorId="5F5A3105" wp14:editId="5E4BD0BF">
            <wp:extent cx="5467350" cy="683085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597" cy="6844909"/>
                    </a:xfrm>
                    <a:prstGeom prst="rect">
                      <a:avLst/>
                    </a:prstGeom>
                    <a:noFill/>
                    <a:ln>
                      <a:noFill/>
                    </a:ln>
                  </pic:spPr>
                </pic:pic>
              </a:graphicData>
            </a:graphic>
          </wp:inline>
        </w:drawing>
      </w:r>
    </w:p>
    <w:sectPr w:rsidR="00DA3890" w:rsidSect="00DA3890">
      <w:type w:val="continuous"/>
      <w:pgSz w:w="11906" w:h="16838" w:code="9"/>
      <w:pgMar w:top="1440" w:right="1440" w:bottom="1440" w:left="1440"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147DD" w14:textId="77777777" w:rsidR="00B524E7" w:rsidRDefault="00B524E7" w:rsidP="00CC7288">
      <w:r>
        <w:separator/>
      </w:r>
    </w:p>
  </w:endnote>
  <w:endnote w:type="continuationSeparator" w:id="0">
    <w:p w14:paraId="56861B47" w14:textId="77777777" w:rsidR="00B524E7" w:rsidRDefault="00B524E7" w:rsidP="00CC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138411"/>
      <w:placeholder>
        <w:docPart w:val="09394703C3C546FFB6941C0CB3AA795F"/>
      </w:placeholder>
      <w:temporary/>
      <w:showingPlcHdr/>
      <w15:appearance w15:val="hidden"/>
    </w:sdtPr>
    <w:sdtContent>
      <w:p w14:paraId="478159E9" w14:textId="77777777" w:rsidR="00D53E8F" w:rsidRDefault="00D53E8F">
        <w:pPr>
          <w:pStyle w:val="Footer"/>
        </w:pPr>
        <w:r w:rsidRPr="00D53E8F">
          <w:rPr>
            <w:rFonts w:ascii="Arial" w:hAnsi="Arial" w:cs="Arial"/>
            <w:i/>
            <w:sz w:val="18"/>
            <w:szCs w:val="18"/>
          </w:rPr>
          <w:t>[Type here]</w:t>
        </w:r>
      </w:p>
    </w:sdtContent>
  </w:sdt>
  <w:p w14:paraId="29A8B054" w14:textId="77777777" w:rsidR="00D53E8F" w:rsidRDefault="00D53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1C68A" w14:textId="77777777" w:rsidR="00B524E7" w:rsidRDefault="00B524E7" w:rsidP="00CC7288">
      <w:r>
        <w:separator/>
      </w:r>
    </w:p>
  </w:footnote>
  <w:footnote w:type="continuationSeparator" w:id="0">
    <w:p w14:paraId="62E841D1" w14:textId="77777777" w:rsidR="00B524E7" w:rsidRDefault="00B524E7" w:rsidP="00CC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909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871CF"/>
    <w:multiLevelType w:val="hybridMultilevel"/>
    <w:tmpl w:val="B1A476C0"/>
    <w:lvl w:ilvl="0" w:tplc="AC025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154E1"/>
    <w:multiLevelType w:val="hybridMultilevel"/>
    <w:tmpl w:val="CC264F18"/>
    <w:lvl w:ilvl="0" w:tplc="69F42C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02A8A"/>
    <w:multiLevelType w:val="hybridMultilevel"/>
    <w:tmpl w:val="B1A476C0"/>
    <w:lvl w:ilvl="0" w:tplc="AC025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F6B56"/>
    <w:multiLevelType w:val="hybridMultilevel"/>
    <w:tmpl w:val="16CC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514EF"/>
    <w:multiLevelType w:val="hybridMultilevel"/>
    <w:tmpl w:val="75D2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D55C1"/>
    <w:multiLevelType w:val="hybridMultilevel"/>
    <w:tmpl w:val="C208295A"/>
    <w:lvl w:ilvl="0" w:tplc="75E69D80">
      <w:start w:val="5"/>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15550"/>
    <w:multiLevelType w:val="hybridMultilevel"/>
    <w:tmpl w:val="D8FA80DC"/>
    <w:lvl w:ilvl="0" w:tplc="2842C2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86F10"/>
    <w:multiLevelType w:val="hybridMultilevel"/>
    <w:tmpl w:val="02E8D6D2"/>
    <w:lvl w:ilvl="0" w:tplc="08447182">
      <w:start w:val="3"/>
      <w:numFmt w:val="bullet"/>
      <w:lvlText w:val="-"/>
      <w:lvlJc w:val="left"/>
      <w:pPr>
        <w:ind w:left="720" w:hanging="360"/>
      </w:pPr>
      <w:rPr>
        <w:rFonts w:ascii="Arial" w:eastAsia="Times New Roman" w:hAnsi="Arial" w:cs="Aria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61848"/>
    <w:multiLevelType w:val="hybridMultilevel"/>
    <w:tmpl w:val="7E28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0673A"/>
    <w:multiLevelType w:val="hybridMultilevel"/>
    <w:tmpl w:val="B2E6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16974"/>
    <w:multiLevelType w:val="hybridMultilevel"/>
    <w:tmpl w:val="935C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7"/>
  </w:num>
  <w:num w:numId="6">
    <w:abstractNumId w:val="6"/>
  </w:num>
  <w:num w:numId="7">
    <w:abstractNumId w:val="10"/>
  </w:num>
  <w:num w:numId="8">
    <w:abstractNumId w:val="9"/>
  </w:num>
  <w:num w:numId="9">
    <w:abstractNumId w:val="11"/>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29"/>
    <w:rsid w:val="00004EBA"/>
    <w:rsid w:val="000214FE"/>
    <w:rsid w:val="00022D9D"/>
    <w:rsid w:val="00030EBD"/>
    <w:rsid w:val="00034BA0"/>
    <w:rsid w:val="00036628"/>
    <w:rsid w:val="000406B0"/>
    <w:rsid w:val="00040A05"/>
    <w:rsid w:val="000849C5"/>
    <w:rsid w:val="000A01E6"/>
    <w:rsid w:val="000A2480"/>
    <w:rsid w:val="000B2C28"/>
    <w:rsid w:val="000B3366"/>
    <w:rsid w:val="000B7EFE"/>
    <w:rsid w:val="000D17BA"/>
    <w:rsid w:val="001047B3"/>
    <w:rsid w:val="00105314"/>
    <w:rsid w:val="00122032"/>
    <w:rsid w:val="00122E50"/>
    <w:rsid w:val="001232AD"/>
    <w:rsid w:val="00125F71"/>
    <w:rsid w:val="00137854"/>
    <w:rsid w:val="00170908"/>
    <w:rsid w:val="001954D1"/>
    <w:rsid w:val="001A4A73"/>
    <w:rsid w:val="001A78C3"/>
    <w:rsid w:val="001B12F9"/>
    <w:rsid w:val="001C137B"/>
    <w:rsid w:val="001D6D31"/>
    <w:rsid w:val="001E7E70"/>
    <w:rsid w:val="001F3955"/>
    <w:rsid w:val="002006D0"/>
    <w:rsid w:val="00205638"/>
    <w:rsid w:val="002172A1"/>
    <w:rsid w:val="00221F06"/>
    <w:rsid w:val="00230B74"/>
    <w:rsid w:val="002334C3"/>
    <w:rsid w:val="00237B97"/>
    <w:rsid w:val="00246A8E"/>
    <w:rsid w:val="00253FDC"/>
    <w:rsid w:val="00262678"/>
    <w:rsid w:val="002755AB"/>
    <w:rsid w:val="00280647"/>
    <w:rsid w:val="0029157B"/>
    <w:rsid w:val="00293A84"/>
    <w:rsid w:val="00296775"/>
    <w:rsid w:val="0029742B"/>
    <w:rsid w:val="00297566"/>
    <w:rsid w:val="002A3B7C"/>
    <w:rsid w:val="002B10F7"/>
    <w:rsid w:val="002C271C"/>
    <w:rsid w:val="002C364F"/>
    <w:rsid w:val="002F3EDE"/>
    <w:rsid w:val="00301F5E"/>
    <w:rsid w:val="00313D70"/>
    <w:rsid w:val="003216C1"/>
    <w:rsid w:val="0032258D"/>
    <w:rsid w:val="00332312"/>
    <w:rsid w:val="00340FB6"/>
    <w:rsid w:val="00345A5F"/>
    <w:rsid w:val="0035292C"/>
    <w:rsid w:val="003573FD"/>
    <w:rsid w:val="00357627"/>
    <w:rsid w:val="003626D3"/>
    <w:rsid w:val="003927E1"/>
    <w:rsid w:val="0039761C"/>
    <w:rsid w:val="003B4C01"/>
    <w:rsid w:val="003D0476"/>
    <w:rsid w:val="003D3051"/>
    <w:rsid w:val="003D6276"/>
    <w:rsid w:val="003E1C68"/>
    <w:rsid w:val="0041023B"/>
    <w:rsid w:val="00417A28"/>
    <w:rsid w:val="004243A3"/>
    <w:rsid w:val="0043211E"/>
    <w:rsid w:val="00472DBC"/>
    <w:rsid w:val="00473937"/>
    <w:rsid w:val="004A226C"/>
    <w:rsid w:val="004A6EA8"/>
    <w:rsid w:val="004B0317"/>
    <w:rsid w:val="004C6D42"/>
    <w:rsid w:val="005043BF"/>
    <w:rsid w:val="00507234"/>
    <w:rsid w:val="0052602C"/>
    <w:rsid w:val="00536C08"/>
    <w:rsid w:val="0054109D"/>
    <w:rsid w:val="005455B0"/>
    <w:rsid w:val="0056129D"/>
    <w:rsid w:val="005744D9"/>
    <w:rsid w:val="00582F60"/>
    <w:rsid w:val="005A0C8E"/>
    <w:rsid w:val="005C0C0F"/>
    <w:rsid w:val="005C5085"/>
    <w:rsid w:val="005D4BCA"/>
    <w:rsid w:val="005E2826"/>
    <w:rsid w:val="006003D2"/>
    <w:rsid w:val="0060423B"/>
    <w:rsid w:val="006246F0"/>
    <w:rsid w:val="00653EA0"/>
    <w:rsid w:val="00655B15"/>
    <w:rsid w:val="006737CA"/>
    <w:rsid w:val="00675586"/>
    <w:rsid w:val="00687557"/>
    <w:rsid w:val="0069628D"/>
    <w:rsid w:val="006A5588"/>
    <w:rsid w:val="006B1985"/>
    <w:rsid w:val="006B3992"/>
    <w:rsid w:val="006B5329"/>
    <w:rsid w:val="006C1816"/>
    <w:rsid w:val="006D22D7"/>
    <w:rsid w:val="006D2B02"/>
    <w:rsid w:val="006D6C72"/>
    <w:rsid w:val="006F12A4"/>
    <w:rsid w:val="00702CF0"/>
    <w:rsid w:val="0072166C"/>
    <w:rsid w:val="00750DC7"/>
    <w:rsid w:val="0075469F"/>
    <w:rsid w:val="00771092"/>
    <w:rsid w:val="007B71D6"/>
    <w:rsid w:val="007C633B"/>
    <w:rsid w:val="007D1EFC"/>
    <w:rsid w:val="007D4A84"/>
    <w:rsid w:val="007F64CD"/>
    <w:rsid w:val="0081124D"/>
    <w:rsid w:val="008126F9"/>
    <w:rsid w:val="00815486"/>
    <w:rsid w:val="00817BCA"/>
    <w:rsid w:val="00824958"/>
    <w:rsid w:val="008276B0"/>
    <w:rsid w:val="00846130"/>
    <w:rsid w:val="008560E5"/>
    <w:rsid w:val="00856FBB"/>
    <w:rsid w:val="00861049"/>
    <w:rsid w:val="0086112C"/>
    <w:rsid w:val="008671A8"/>
    <w:rsid w:val="00874ACD"/>
    <w:rsid w:val="00875AE2"/>
    <w:rsid w:val="008835D7"/>
    <w:rsid w:val="008865C4"/>
    <w:rsid w:val="00886FC3"/>
    <w:rsid w:val="008B539B"/>
    <w:rsid w:val="008B6FA4"/>
    <w:rsid w:val="008D1C50"/>
    <w:rsid w:val="008D3EAC"/>
    <w:rsid w:val="008F389E"/>
    <w:rsid w:val="008F4B6A"/>
    <w:rsid w:val="008F4C33"/>
    <w:rsid w:val="00934C77"/>
    <w:rsid w:val="0094682E"/>
    <w:rsid w:val="00961E04"/>
    <w:rsid w:val="0097003E"/>
    <w:rsid w:val="00970EFC"/>
    <w:rsid w:val="00977B08"/>
    <w:rsid w:val="0098159A"/>
    <w:rsid w:val="00986DFA"/>
    <w:rsid w:val="009902A6"/>
    <w:rsid w:val="009A3B8C"/>
    <w:rsid w:val="009C2483"/>
    <w:rsid w:val="009C7345"/>
    <w:rsid w:val="009D3623"/>
    <w:rsid w:val="009D7A28"/>
    <w:rsid w:val="009F25A7"/>
    <w:rsid w:val="00A22CD5"/>
    <w:rsid w:val="00A4062A"/>
    <w:rsid w:val="00A43542"/>
    <w:rsid w:val="00A62F5B"/>
    <w:rsid w:val="00A72BA6"/>
    <w:rsid w:val="00A751F1"/>
    <w:rsid w:val="00AA2526"/>
    <w:rsid w:val="00AA3C1D"/>
    <w:rsid w:val="00AA5AB2"/>
    <w:rsid w:val="00AB61F6"/>
    <w:rsid w:val="00AE2002"/>
    <w:rsid w:val="00AF4CA0"/>
    <w:rsid w:val="00B026CC"/>
    <w:rsid w:val="00B07486"/>
    <w:rsid w:val="00B13555"/>
    <w:rsid w:val="00B14357"/>
    <w:rsid w:val="00B213BB"/>
    <w:rsid w:val="00B23A7F"/>
    <w:rsid w:val="00B257C9"/>
    <w:rsid w:val="00B4233E"/>
    <w:rsid w:val="00B42EDB"/>
    <w:rsid w:val="00B51A1B"/>
    <w:rsid w:val="00B51D98"/>
    <w:rsid w:val="00B524E7"/>
    <w:rsid w:val="00B53B75"/>
    <w:rsid w:val="00B7567F"/>
    <w:rsid w:val="00B8076F"/>
    <w:rsid w:val="00B80E79"/>
    <w:rsid w:val="00BA6811"/>
    <w:rsid w:val="00BB75E3"/>
    <w:rsid w:val="00BC6D8B"/>
    <w:rsid w:val="00BC6FD5"/>
    <w:rsid w:val="00BE201B"/>
    <w:rsid w:val="00BF71BB"/>
    <w:rsid w:val="00C1232A"/>
    <w:rsid w:val="00C13507"/>
    <w:rsid w:val="00C35BEB"/>
    <w:rsid w:val="00C364EE"/>
    <w:rsid w:val="00C4336F"/>
    <w:rsid w:val="00C4349B"/>
    <w:rsid w:val="00C440E4"/>
    <w:rsid w:val="00C44803"/>
    <w:rsid w:val="00C46266"/>
    <w:rsid w:val="00C5605C"/>
    <w:rsid w:val="00C76229"/>
    <w:rsid w:val="00C9618D"/>
    <w:rsid w:val="00CB247C"/>
    <w:rsid w:val="00CB3C8D"/>
    <w:rsid w:val="00CC6756"/>
    <w:rsid w:val="00CC7288"/>
    <w:rsid w:val="00CC791A"/>
    <w:rsid w:val="00CE070D"/>
    <w:rsid w:val="00CF214B"/>
    <w:rsid w:val="00D05664"/>
    <w:rsid w:val="00D06837"/>
    <w:rsid w:val="00D06F62"/>
    <w:rsid w:val="00D139F8"/>
    <w:rsid w:val="00D32CC3"/>
    <w:rsid w:val="00D53E8F"/>
    <w:rsid w:val="00D6188F"/>
    <w:rsid w:val="00D7414B"/>
    <w:rsid w:val="00D93460"/>
    <w:rsid w:val="00DA3890"/>
    <w:rsid w:val="00DA4ED1"/>
    <w:rsid w:val="00DB3692"/>
    <w:rsid w:val="00DC2D22"/>
    <w:rsid w:val="00DC671D"/>
    <w:rsid w:val="00DC7223"/>
    <w:rsid w:val="00DF3EF0"/>
    <w:rsid w:val="00DF70C9"/>
    <w:rsid w:val="00E01C6B"/>
    <w:rsid w:val="00E129B5"/>
    <w:rsid w:val="00E14D0A"/>
    <w:rsid w:val="00E21406"/>
    <w:rsid w:val="00E46F47"/>
    <w:rsid w:val="00E73762"/>
    <w:rsid w:val="00E820A7"/>
    <w:rsid w:val="00E866CE"/>
    <w:rsid w:val="00E9499E"/>
    <w:rsid w:val="00EA7646"/>
    <w:rsid w:val="00EB6337"/>
    <w:rsid w:val="00EC2091"/>
    <w:rsid w:val="00EC2690"/>
    <w:rsid w:val="00EC69CD"/>
    <w:rsid w:val="00EC7BEF"/>
    <w:rsid w:val="00EF4D8F"/>
    <w:rsid w:val="00EF550F"/>
    <w:rsid w:val="00EF5675"/>
    <w:rsid w:val="00F02C9B"/>
    <w:rsid w:val="00F066ED"/>
    <w:rsid w:val="00F07B17"/>
    <w:rsid w:val="00F23422"/>
    <w:rsid w:val="00F3004B"/>
    <w:rsid w:val="00F3641A"/>
    <w:rsid w:val="00F3651B"/>
    <w:rsid w:val="00F36726"/>
    <w:rsid w:val="00F60BD7"/>
    <w:rsid w:val="00F87E86"/>
    <w:rsid w:val="00FA2662"/>
    <w:rsid w:val="00FB09F7"/>
    <w:rsid w:val="00FB3039"/>
    <w:rsid w:val="00FB4463"/>
    <w:rsid w:val="00FC57B8"/>
    <w:rsid w:val="00FD3EFB"/>
    <w:rsid w:val="00FE652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33C6A"/>
  <w15:docId w15:val="{953CD9A9-B2C6-4B43-B7B9-B436B5CC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4B"/>
    <w:pPr>
      <w:spacing w:before="120" w:after="120"/>
    </w:pPr>
    <w:rPr>
      <w:rFonts w:ascii="Adobe Caslon Pro" w:eastAsia="Times New Roman" w:hAnsi="Adobe Caslon Pro"/>
      <w:szCs w:val="22"/>
    </w:rPr>
  </w:style>
  <w:style w:type="paragraph" w:styleId="Heading1">
    <w:name w:val="heading 1"/>
    <w:basedOn w:val="Normal"/>
    <w:next w:val="Normal"/>
    <w:link w:val="Heading1Char"/>
    <w:uiPriority w:val="9"/>
    <w:qFormat/>
    <w:rsid w:val="00E03599"/>
    <w:pPr>
      <w:keepNext/>
      <w:keepLines/>
      <w:spacing w:before="720"/>
      <w:ind w:left="-567"/>
      <w:outlineLvl w:val="0"/>
    </w:pPr>
    <w:rPr>
      <w:rFonts w:ascii="Arial" w:hAnsi="Arial"/>
      <w:b/>
      <w:bCs/>
      <w:sz w:val="30"/>
      <w:szCs w:val="28"/>
      <w:lang w:val="x-none" w:eastAsia="x-none"/>
    </w:rPr>
  </w:style>
  <w:style w:type="paragraph" w:styleId="Heading2">
    <w:name w:val="heading 2"/>
    <w:basedOn w:val="Normal"/>
    <w:next w:val="Normal"/>
    <w:link w:val="Heading2Char"/>
    <w:uiPriority w:val="9"/>
    <w:qFormat/>
    <w:rsid w:val="00C20DB5"/>
    <w:pPr>
      <w:keepNext/>
      <w:keepLines/>
      <w:spacing w:before="360" w:after="0"/>
      <w:ind w:left="-397"/>
      <w:outlineLvl w:val="1"/>
    </w:pPr>
    <w:rPr>
      <w:rFonts w:ascii="Arial" w:hAnsi="Arial"/>
      <w:b/>
      <w:bCs/>
      <w:color w:val="262626"/>
      <w:szCs w:val="26"/>
      <w:lang w:val="x-none" w:eastAsia="x-none"/>
    </w:rPr>
  </w:style>
  <w:style w:type="paragraph" w:styleId="Heading3">
    <w:name w:val="heading 3"/>
    <w:basedOn w:val="Normal"/>
    <w:next w:val="Normal"/>
    <w:link w:val="Heading3Char"/>
    <w:uiPriority w:val="9"/>
    <w:qFormat/>
    <w:rsid w:val="00933D9E"/>
    <w:pPr>
      <w:keepNext/>
      <w:keepLines/>
      <w:spacing w:before="360" w:after="60"/>
      <w:outlineLvl w:val="2"/>
    </w:pPr>
    <w:rPr>
      <w:rFonts w:ascii="Arial" w:hAnsi="Arial"/>
      <w:b/>
      <w:bCs/>
      <w:color w:val="595959"/>
      <w:szCs w:val="20"/>
      <w:lang w:val="x-none" w:eastAsia="x-none"/>
    </w:rPr>
  </w:style>
  <w:style w:type="paragraph" w:styleId="Heading4">
    <w:name w:val="heading 4"/>
    <w:basedOn w:val="Normal"/>
    <w:next w:val="Normal"/>
    <w:link w:val="Heading4Char"/>
    <w:uiPriority w:val="9"/>
    <w:qFormat/>
    <w:rsid w:val="00511CA9"/>
    <w:pPr>
      <w:keepNext/>
      <w:keepLines/>
      <w:spacing w:before="200" w:after="0"/>
      <w:ind w:left="-284"/>
      <w:outlineLvl w:val="3"/>
    </w:pPr>
    <w:rPr>
      <w:rFonts w:ascii="Arial" w:hAnsi="Arial"/>
      <w:bCs/>
      <w:i/>
      <w:iCs/>
      <w:color w:val="80808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31">
    <w:name w:val="Medium Shading 1 - Accent 31"/>
    <w:basedOn w:val="Normal"/>
    <w:next w:val="Normal"/>
    <w:link w:val="MediumShading1-Accent3Char"/>
    <w:uiPriority w:val="29"/>
    <w:qFormat/>
    <w:rsid w:val="00BE1673"/>
    <w:pPr>
      <w:ind w:left="720"/>
    </w:pPr>
    <w:rPr>
      <w:rFonts w:ascii="Arial" w:eastAsia="Calibri" w:hAnsi="Arial"/>
      <w:i/>
      <w:iCs/>
      <w:color w:val="000000"/>
      <w:szCs w:val="20"/>
      <w:lang w:val="x-none" w:eastAsia="x-none"/>
    </w:rPr>
  </w:style>
  <w:style w:type="character" w:customStyle="1" w:styleId="MediumShading1-Accent3Char">
    <w:name w:val="Medium Shading 1 - Accent 3 Char"/>
    <w:link w:val="MediumShading1-Accent31"/>
    <w:uiPriority w:val="29"/>
    <w:rsid w:val="00BE1673"/>
    <w:rPr>
      <w:rFonts w:ascii="Arial" w:hAnsi="Arial" w:cs="Times New Roman"/>
      <w:i/>
      <w:iCs/>
      <w:color w:val="000000"/>
      <w:sz w:val="20"/>
      <w:szCs w:val="20"/>
    </w:rPr>
  </w:style>
  <w:style w:type="character" w:customStyle="1" w:styleId="Heading2Char">
    <w:name w:val="Heading 2 Char"/>
    <w:link w:val="Heading2"/>
    <w:uiPriority w:val="9"/>
    <w:rsid w:val="00C20DB5"/>
    <w:rPr>
      <w:rFonts w:ascii="Arial" w:eastAsia="Times New Roman" w:hAnsi="Arial" w:cs="Times New Roman"/>
      <w:b/>
      <w:bCs/>
      <w:color w:val="262626"/>
      <w:sz w:val="24"/>
      <w:szCs w:val="26"/>
    </w:rPr>
  </w:style>
  <w:style w:type="character" w:customStyle="1" w:styleId="Heading1Char">
    <w:name w:val="Heading 1 Char"/>
    <w:link w:val="Heading1"/>
    <w:uiPriority w:val="9"/>
    <w:rsid w:val="00E03599"/>
    <w:rPr>
      <w:rFonts w:ascii="Arial" w:eastAsia="Times New Roman" w:hAnsi="Arial" w:cs="Times New Roman"/>
      <w:b/>
      <w:bCs/>
      <w:sz w:val="30"/>
      <w:szCs w:val="28"/>
    </w:rPr>
  </w:style>
  <w:style w:type="character" w:customStyle="1" w:styleId="Heading3Char">
    <w:name w:val="Heading 3 Char"/>
    <w:link w:val="Heading3"/>
    <w:uiPriority w:val="9"/>
    <w:rsid w:val="00933D9E"/>
    <w:rPr>
      <w:rFonts w:ascii="Arial" w:eastAsia="Times New Roman" w:hAnsi="Arial" w:cs="Times New Roman"/>
      <w:b/>
      <w:bCs/>
      <w:color w:val="595959"/>
      <w:szCs w:val="20"/>
    </w:rPr>
  </w:style>
  <w:style w:type="paragraph" w:styleId="Title">
    <w:name w:val="Title"/>
    <w:aliases w:val="AAEE_Title"/>
    <w:basedOn w:val="Normal"/>
    <w:next w:val="Normal"/>
    <w:link w:val="TitleChar"/>
    <w:uiPriority w:val="10"/>
    <w:qFormat/>
    <w:rsid w:val="00283B60"/>
    <w:pPr>
      <w:spacing w:before="240" w:after="240"/>
      <w:jc w:val="center"/>
    </w:pPr>
    <w:rPr>
      <w:b/>
      <w:bCs/>
      <w:sz w:val="28"/>
      <w:szCs w:val="28"/>
      <w:lang w:val="x-none"/>
    </w:rPr>
  </w:style>
  <w:style w:type="character" w:customStyle="1" w:styleId="TitleChar">
    <w:name w:val="Title Char"/>
    <w:aliases w:val="AAEE_Title Char"/>
    <w:link w:val="Title"/>
    <w:uiPriority w:val="10"/>
    <w:rsid w:val="00283B60"/>
    <w:rPr>
      <w:rFonts w:ascii="Adobe Caslon Pro" w:eastAsia="Times New Roman" w:hAnsi="Adobe Caslon Pro"/>
      <w:b/>
      <w:bCs/>
      <w:sz w:val="28"/>
      <w:szCs w:val="28"/>
      <w:lang w:eastAsia="en-AU"/>
    </w:rPr>
  </w:style>
  <w:style w:type="paragraph" w:styleId="Subtitle">
    <w:name w:val="Subtitle"/>
    <w:basedOn w:val="Normal"/>
    <w:next w:val="Normal"/>
    <w:link w:val="SubtitleChar"/>
    <w:uiPriority w:val="11"/>
    <w:qFormat/>
    <w:rsid w:val="002B3295"/>
    <w:pPr>
      <w:numPr>
        <w:ilvl w:val="1"/>
      </w:numPr>
    </w:pPr>
    <w:rPr>
      <w:rFonts w:ascii="Arial" w:hAnsi="Arial"/>
      <w:i/>
      <w:iCs/>
      <w:color w:val="7F7F7F"/>
      <w:spacing w:val="15"/>
      <w:szCs w:val="24"/>
      <w:lang w:val="x-none"/>
    </w:rPr>
  </w:style>
  <w:style w:type="character" w:customStyle="1" w:styleId="SubtitleChar">
    <w:name w:val="Subtitle Char"/>
    <w:link w:val="Subtitle"/>
    <w:uiPriority w:val="11"/>
    <w:rsid w:val="002B3295"/>
    <w:rPr>
      <w:rFonts w:ascii="Arial" w:eastAsia="Times New Roman" w:hAnsi="Arial" w:cs="Times New Roman"/>
      <w:i/>
      <w:iCs/>
      <w:color w:val="7F7F7F"/>
      <w:spacing w:val="15"/>
      <w:sz w:val="24"/>
      <w:szCs w:val="24"/>
      <w:lang w:eastAsia="en-AU"/>
    </w:rPr>
  </w:style>
  <w:style w:type="character" w:customStyle="1" w:styleId="Heading4Char">
    <w:name w:val="Heading 4 Char"/>
    <w:link w:val="Heading4"/>
    <w:uiPriority w:val="9"/>
    <w:rsid w:val="00511CA9"/>
    <w:rPr>
      <w:rFonts w:ascii="Arial" w:eastAsia="Times New Roman" w:hAnsi="Arial" w:cs="Times New Roman"/>
      <w:bCs/>
      <w:i/>
      <w:iCs/>
      <w:color w:val="808080"/>
      <w:sz w:val="20"/>
      <w:szCs w:val="20"/>
    </w:rPr>
  </w:style>
  <w:style w:type="paragraph" w:styleId="Header">
    <w:name w:val="header"/>
    <w:basedOn w:val="Normal"/>
    <w:link w:val="HeaderChar"/>
    <w:uiPriority w:val="99"/>
    <w:unhideWhenUsed/>
    <w:rsid w:val="00403C93"/>
    <w:pPr>
      <w:tabs>
        <w:tab w:val="center" w:pos="4513"/>
        <w:tab w:val="right" w:pos="9026"/>
      </w:tabs>
      <w:spacing w:before="0" w:after="0"/>
    </w:pPr>
    <w:rPr>
      <w:rFonts w:ascii="Arial" w:hAnsi="Arial"/>
      <w:szCs w:val="20"/>
      <w:lang w:val="x-none"/>
    </w:rPr>
  </w:style>
  <w:style w:type="character" w:customStyle="1" w:styleId="HeaderChar">
    <w:name w:val="Header Char"/>
    <w:link w:val="Header"/>
    <w:uiPriority w:val="99"/>
    <w:rsid w:val="00403C93"/>
    <w:rPr>
      <w:rFonts w:ascii="Arial" w:eastAsia="Times New Roman" w:hAnsi="Arial"/>
      <w:sz w:val="20"/>
      <w:lang w:eastAsia="en-AU"/>
    </w:rPr>
  </w:style>
  <w:style w:type="paragraph" w:styleId="Footer">
    <w:name w:val="footer"/>
    <w:basedOn w:val="Normal"/>
    <w:link w:val="FooterChar"/>
    <w:uiPriority w:val="99"/>
    <w:unhideWhenUsed/>
    <w:rsid w:val="00403C93"/>
    <w:pPr>
      <w:tabs>
        <w:tab w:val="center" w:pos="4513"/>
        <w:tab w:val="right" w:pos="9026"/>
      </w:tabs>
      <w:spacing w:before="0" w:after="0"/>
    </w:pPr>
    <w:rPr>
      <w:szCs w:val="20"/>
      <w:lang w:val="x-none"/>
    </w:rPr>
  </w:style>
  <w:style w:type="character" w:customStyle="1" w:styleId="FooterChar">
    <w:name w:val="Footer Char"/>
    <w:link w:val="Footer"/>
    <w:uiPriority w:val="99"/>
    <w:rsid w:val="00403C93"/>
    <w:rPr>
      <w:rFonts w:ascii="Adobe Caslon Pro" w:eastAsia="Times New Roman" w:hAnsi="Adobe Caslon Pro"/>
      <w:sz w:val="20"/>
      <w:lang w:eastAsia="en-AU"/>
    </w:rPr>
  </w:style>
  <w:style w:type="character" w:styleId="Hyperlink">
    <w:name w:val="Hyperlink"/>
    <w:uiPriority w:val="99"/>
    <w:unhideWhenUsed/>
    <w:rsid w:val="00B22AF3"/>
    <w:rPr>
      <w:color w:val="0000FF"/>
      <w:u w:val="single"/>
    </w:rPr>
  </w:style>
  <w:style w:type="paragraph" w:customStyle="1" w:styleId="AAEEAuthors">
    <w:name w:val="AAEE_Authors"/>
    <w:basedOn w:val="Normal"/>
    <w:qFormat/>
    <w:rsid w:val="00B22AF3"/>
    <w:pPr>
      <w:spacing w:before="240" w:after="0"/>
      <w:jc w:val="center"/>
    </w:pPr>
    <w:rPr>
      <w:sz w:val="22"/>
    </w:rPr>
  </w:style>
  <w:style w:type="paragraph" w:customStyle="1" w:styleId="Style1">
    <w:name w:val="Style1"/>
    <w:basedOn w:val="AAEEAuthors"/>
    <w:qFormat/>
    <w:rsid w:val="00B22AF3"/>
    <w:pPr>
      <w:spacing w:before="0" w:after="240"/>
    </w:pPr>
    <w:rPr>
      <w:i/>
      <w:iCs/>
    </w:rPr>
  </w:style>
  <w:style w:type="paragraph" w:customStyle="1" w:styleId="AAEEAuthAffiliation">
    <w:name w:val="AAEE_AuthAffiliation"/>
    <w:basedOn w:val="AAEEAuthors"/>
    <w:qFormat/>
    <w:rsid w:val="00B22AF3"/>
    <w:pPr>
      <w:spacing w:before="0" w:after="240"/>
    </w:pPr>
    <w:rPr>
      <w:i/>
      <w:sz w:val="18"/>
    </w:rPr>
  </w:style>
  <w:style w:type="paragraph" w:customStyle="1" w:styleId="AAEEHeading1">
    <w:name w:val="AAEE_Heading_1"/>
    <w:basedOn w:val="Normal"/>
    <w:qFormat/>
    <w:rsid w:val="0069651D"/>
    <w:pPr>
      <w:spacing w:before="240" w:after="240"/>
      <w:ind w:left="-142"/>
    </w:pPr>
    <w:rPr>
      <w:b/>
      <w:bCs/>
    </w:rPr>
  </w:style>
  <w:style w:type="paragraph" w:customStyle="1" w:styleId="AAEE1stPageHeaderSubTitle">
    <w:name w:val="AAEE_1stPageHeaderSubTitle"/>
    <w:basedOn w:val="Normal"/>
    <w:qFormat/>
    <w:rsid w:val="0069651D"/>
    <w:pPr>
      <w:tabs>
        <w:tab w:val="center" w:pos="7230"/>
      </w:tabs>
      <w:spacing w:before="0" w:after="0"/>
      <w:contextualSpacing/>
    </w:pPr>
    <w:rPr>
      <w:i/>
      <w:sz w:val="18"/>
    </w:rPr>
  </w:style>
  <w:style w:type="paragraph" w:customStyle="1" w:styleId="AAEE1stPgHeaderHypLink">
    <w:name w:val="AAEE_1stPgHeaderHypLink"/>
    <w:basedOn w:val="Normal"/>
    <w:next w:val="Normal"/>
    <w:qFormat/>
    <w:rsid w:val="0069651D"/>
    <w:pPr>
      <w:tabs>
        <w:tab w:val="center" w:pos="7230"/>
      </w:tabs>
      <w:spacing w:before="0" w:after="0"/>
      <w:contextualSpacing/>
    </w:pPr>
    <w:rPr>
      <w:sz w:val="16"/>
    </w:rPr>
  </w:style>
  <w:style w:type="paragraph" w:customStyle="1" w:styleId="AAEE1stPgHeaderTitle">
    <w:name w:val="AAEE_1stPgHeaderTitle"/>
    <w:basedOn w:val="Normal"/>
    <w:next w:val="AAEE1stPageHeaderSubTitle"/>
    <w:qFormat/>
    <w:rsid w:val="0069651D"/>
    <w:pPr>
      <w:tabs>
        <w:tab w:val="center" w:pos="7230"/>
      </w:tabs>
      <w:spacing w:before="0" w:after="0"/>
    </w:pPr>
    <w:rPr>
      <w:rFonts w:ascii="Adobe Caslon Pro Bold" w:hAnsi="Adobe Caslon Pro Bold"/>
      <w:b/>
      <w:smallCaps/>
      <w:sz w:val="22"/>
    </w:rPr>
  </w:style>
  <w:style w:type="paragraph" w:customStyle="1" w:styleId="AAEEAuthorsAffiliationCrossReference">
    <w:name w:val="AAEE_Authors_AffiliationCrossReference"/>
    <w:basedOn w:val="AAEEAuthors"/>
    <w:qFormat/>
    <w:rsid w:val="0069651D"/>
    <w:rPr>
      <w:vertAlign w:val="superscript"/>
    </w:rPr>
  </w:style>
  <w:style w:type="paragraph" w:customStyle="1" w:styleId="AAEEAffiliationAuthorCrossRef">
    <w:name w:val="AAEE_Affiliation_AuthorCrossRef"/>
    <w:basedOn w:val="AAEEAuthAffiliation"/>
    <w:qFormat/>
    <w:rsid w:val="00283B60"/>
    <w:pPr>
      <w:pBdr>
        <w:bottom w:val="single" w:sz="4" w:space="15" w:color="auto"/>
      </w:pBdr>
    </w:pPr>
    <w:rPr>
      <w:vertAlign w:val="superscript"/>
    </w:rPr>
  </w:style>
  <w:style w:type="character" w:styleId="CommentReference">
    <w:name w:val="annotation reference"/>
    <w:uiPriority w:val="99"/>
    <w:semiHidden/>
    <w:unhideWhenUsed/>
    <w:rsid w:val="00A508BC"/>
    <w:rPr>
      <w:sz w:val="16"/>
      <w:szCs w:val="16"/>
    </w:rPr>
  </w:style>
  <w:style w:type="paragraph" w:styleId="CommentText">
    <w:name w:val="annotation text"/>
    <w:basedOn w:val="Normal"/>
    <w:link w:val="CommentTextChar"/>
    <w:uiPriority w:val="99"/>
    <w:semiHidden/>
    <w:unhideWhenUsed/>
    <w:rsid w:val="00A508BC"/>
    <w:rPr>
      <w:szCs w:val="20"/>
      <w:lang w:val="x-none"/>
    </w:rPr>
  </w:style>
  <w:style w:type="character" w:customStyle="1" w:styleId="CommentTextChar">
    <w:name w:val="Comment Text Char"/>
    <w:link w:val="CommentText"/>
    <w:uiPriority w:val="99"/>
    <w:semiHidden/>
    <w:rsid w:val="00A508BC"/>
    <w:rPr>
      <w:rFonts w:ascii="Adobe Caslon Pro" w:eastAsia="Times New Roman" w:hAnsi="Adobe Caslon Pro"/>
      <w:sz w:val="20"/>
      <w:szCs w:val="20"/>
      <w:lang w:eastAsia="en-AU"/>
    </w:rPr>
  </w:style>
  <w:style w:type="paragraph" w:styleId="CommentSubject">
    <w:name w:val="annotation subject"/>
    <w:basedOn w:val="CommentText"/>
    <w:next w:val="CommentText"/>
    <w:link w:val="CommentSubjectChar"/>
    <w:uiPriority w:val="99"/>
    <w:semiHidden/>
    <w:unhideWhenUsed/>
    <w:rsid w:val="00A508BC"/>
    <w:rPr>
      <w:b/>
      <w:bCs/>
    </w:rPr>
  </w:style>
  <w:style w:type="character" w:customStyle="1" w:styleId="CommentSubjectChar">
    <w:name w:val="Comment Subject Char"/>
    <w:link w:val="CommentSubject"/>
    <w:uiPriority w:val="99"/>
    <w:semiHidden/>
    <w:rsid w:val="00A508BC"/>
    <w:rPr>
      <w:rFonts w:ascii="Adobe Caslon Pro" w:eastAsia="Times New Roman" w:hAnsi="Adobe Caslon Pro"/>
      <w:b/>
      <w:bCs/>
      <w:sz w:val="20"/>
      <w:szCs w:val="20"/>
      <w:lang w:eastAsia="en-AU"/>
    </w:rPr>
  </w:style>
  <w:style w:type="paragraph" w:styleId="BalloonText">
    <w:name w:val="Balloon Text"/>
    <w:basedOn w:val="Normal"/>
    <w:link w:val="BalloonTextChar"/>
    <w:uiPriority w:val="99"/>
    <w:semiHidden/>
    <w:unhideWhenUsed/>
    <w:rsid w:val="00A508BC"/>
    <w:pPr>
      <w:spacing w:before="0" w:after="0"/>
    </w:pPr>
    <w:rPr>
      <w:rFonts w:ascii="Tahoma" w:hAnsi="Tahoma"/>
      <w:sz w:val="16"/>
      <w:szCs w:val="16"/>
      <w:lang w:val="x-none"/>
    </w:rPr>
  </w:style>
  <w:style w:type="character" w:customStyle="1" w:styleId="BalloonTextChar">
    <w:name w:val="Balloon Text Char"/>
    <w:link w:val="BalloonText"/>
    <w:uiPriority w:val="99"/>
    <w:semiHidden/>
    <w:rsid w:val="00A508BC"/>
    <w:rPr>
      <w:rFonts w:ascii="Tahoma" w:eastAsia="Times New Roman" w:hAnsi="Tahoma" w:cs="Tahoma"/>
      <w:sz w:val="16"/>
      <w:szCs w:val="16"/>
      <w:lang w:eastAsia="en-AU"/>
    </w:rPr>
  </w:style>
  <w:style w:type="table" w:styleId="TableGrid">
    <w:name w:val="Table Grid"/>
    <w:basedOn w:val="TableNormal"/>
    <w:rsid w:val="00D3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6F12A4"/>
  </w:style>
  <w:style w:type="character" w:styleId="PlaceholderText">
    <w:name w:val="Placeholder Text"/>
    <w:basedOn w:val="DefaultParagraphFont"/>
    <w:rsid w:val="00E9499E"/>
    <w:rPr>
      <w:color w:val="808080"/>
    </w:rPr>
  </w:style>
  <w:style w:type="paragraph" w:styleId="ListParagraph">
    <w:name w:val="List Paragraph"/>
    <w:basedOn w:val="Normal"/>
    <w:qFormat/>
    <w:rsid w:val="00357627"/>
    <w:pPr>
      <w:ind w:left="720"/>
      <w:contextualSpacing/>
    </w:pPr>
  </w:style>
  <w:style w:type="paragraph" w:styleId="EndnoteText">
    <w:name w:val="endnote text"/>
    <w:basedOn w:val="Normal"/>
    <w:link w:val="EndnoteTextChar"/>
    <w:semiHidden/>
    <w:unhideWhenUsed/>
    <w:rsid w:val="005C0C0F"/>
    <w:pPr>
      <w:spacing w:before="0" w:after="0"/>
    </w:pPr>
    <w:rPr>
      <w:szCs w:val="20"/>
    </w:rPr>
  </w:style>
  <w:style w:type="character" w:customStyle="1" w:styleId="EndnoteTextChar">
    <w:name w:val="Endnote Text Char"/>
    <w:basedOn w:val="DefaultParagraphFont"/>
    <w:link w:val="EndnoteText"/>
    <w:semiHidden/>
    <w:rsid w:val="005C0C0F"/>
    <w:rPr>
      <w:rFonts w:ascii="Adobe Caslon Pro" w:eastAsia="Times New Roman" w:hAnsi="Adobe Caslon Pro"/>
    </w:rPr>
  </w:style>
  <w:style w:type="character" w:styleId="EndnoteReference">
    <w:name w:val="endnote reference"/>
    <w:basedOn w:val="DefaultParagraphFont"/>
    <w:semiHidden/>
    <w:unhideWhenUsed/>
    <w:rsid w:val="005C0C0F"/>
    <w:rPr>
      <w:vertAlign w:val="superscript"/>
    </w:rPr>
  </w:style>
  <w:style w:type="paragraph" w:styleId="BodyText">
    <w:name w:val="Body Text"/>
    <w:basedOn w:val="Normal"/>
    <w:link w:val="BodyTextChar"/>
    <w:rsid w:val="00262678"/>
    <w:pPr>
      <w:widowControl w:val="0"/>
      <w:suppressAutoHyphens/>
      <w:spacing w:before="0"/>
    </w:pPr>
    <w:rPr>
      <w:rFonts w:ascii="Helvetica" w:eastAsia="SimSun" w:hAnsi="Helvetica" w:cs="Lucida Sans"/>
      <w:kern w:val="1"/>
      <w:szCs w:val="24"/>
      <w:lang w:val="en-GB" w:eastAsia="hi-IN" w:bidi="hi-IN"/>
    </w:rPr>
  </w:style>
  <w:style w:type="character" w:customStyle="1" w:styleId="BodyTextChar">
    <w:name w:val="Body Text Char"/>
    <w:basedOn w:val="DefaultParagraphFont"/>
    <w:link w:val="BodyText"/>
    <w:rsid w:val="00262678"/>
    <w:rPr>
      <w:rFonts w:ascii="Helvetica" w:eastAsia="SimSun" w:hAnsi="Helvetica" w:cs="Lucida Sans"/>
      <w:kern w:val="1"/>
      <w:sz w:val="24"/>
      <w:szCs w:val="24"/>
      <w:lang w:val="en-GB" w:eastAsia="hi-IN" w:bidi="hi-IN"/>
    </w:rPr>
  </w:style>
  <w:style w:type="character" w:styleId="FollowedHyperlink">
    <w:name w:val="FollowedHyperlink"/>
    <w:basedOn w:val="DefaultParagraphFont"/>
    <w:semiHidden/>
    <w:unhideWhenUsed/>
    <w:rsid w:val="00E73762"/>
    <w:rPr>
      <w:color w:val="800080" w:themeColor="followedHyperlink"/>
      <w:u w:val="single"/>
    </w:rPr>
  </w:style>
  <w:style w:type="paragraph" w:styleId="Revision">
    <w:name w:val="Revision"/>
    <w:hidden/>
    <w:semiHidden/>
    <w:rsid w:val="008835D7"/>
    <w:rPr>
      <w:rFonts w:ascii="Adobe Caslon Pro" w:eastAsia="Times New Roman" w:hAnsi="Adobe Caslon Pro"/>
      <w:szCs w:val="22"/>
    </w:rPr>
  </w:style>
  <w:style w:type="paragraph" w:customStyle="1" w:styleId="EndNoteBibliography">
    <w:name w:val="EndNote Bibliography"/>
    <w:basedOn w:val="Normal"/>
    <w:link w:val="EndNoteBibliographyChar"/>
    <w:rsid w:val="009A3B8C"/>
    <w:pPr>
      <w:spacing w:before="0" w:after="160"/>
    </w:pPr>
    <w:rPr>
      <w:rFonts w:ascii="Gill Sans MT" w:eastAsiaTheme="minorHAnsi" w:hAnsi="Gill Sans MT" w:cstheme="minorBidi"/>
      <w:noProof/>
      <w:sz w:val="22"/>
      <w:lang w:val="en-US" w:eastAsia="en-US"/>
    </w:rPr>
  </w:style>
  <w:style w:type="character" w:customStyle="1" w:styleId="EndNoteBibliographyChar">
    <w:name w:val="EndNote Bibliography Char"/>
    <w:basedOn w:val="DefaultParagraphFont"/>
    <w:link w:val="EndNoteBibliography"/>
    <w:rsid w:val="009A3B8C"/>
    <w:rPr>
      <w:rFonts w:ascii="Gill Sans MT" w:eastAsiaTheme="minorHAnsi" w:hAnsi="Gill Sans MT" w:cstheme="minorBidi"/>
      <w:noProof/>
      <w:sz w:val="22"/>
      <w:szCs w:val="22"/>
      <w:lang w:val="en-US" w:eastAsia="en-US"/>
    </w:rPr>
  </w:style>
  <w:style w:type="paragraph" w:styleId="Bibliography">
    <w:name w:val="Bibliography"/>
    <w:basedOn w:val="Normal"/>
    <w:next w:val="Normal"/>
    <w:unhideWhenUsed/>
    <w:rsid w:val="006B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488">
      <w:bodyDiv w:val="1"/>
      <w:marLeft w:val="0"/>
      <w:marRight w:val="0"/>
      <w:marTop w:val="0"/>
      <w:marBottom w:val="0"/>
      <w:divBdr>
        <w:top w:val="none" w:sz="0" w:space="0" w:color="auto"/>
        <w:left w:val="none" w:sz="0" w:space="0" w:color="auto"/>
        <w:bottom w:val="none" w:sz="0" w:space="0" w:color="auto"/>
        <w:right w:val="none" w:sz="0" w:space="0" w:color="auto"/>
      </w:divBdr>
    </w:div>
    <w:div w:id="14815409">
      <w:bodyDiv w:val="1"/>
      <w:marLeft w:val="0"/>
      <w:marRight w:val="0"/>
      <w:marTop w:val="0"/>
      <w:marBottom w:val="0"/>
      <w:divBdr>
        <w:top w:val="none" w:sz="0" w:space="0" w:color="auto"/>
        <w:left w:val="none" w:sz="0" w:space="0" w:color="auto"/>
        <w:bottom w:val="none" w:sz="0" w:space="0" w:color="auto"/>
        <w:right w:val="none" w:sz="0" w:space="0" w:color="auto"/>
      </w:divBdr>
    </w:div>
    <w:div w:id="58213703">
      <w:bodyDiv w:val="1"/>
      <w:marLeft w:val="0"/>
      <w:marRight w:val="0"/>
      <w:marTop w:val="0"/>
      <w:marBottom w:val="0"/>
      <w:divBdr>
        <w:top w:val="none" w:sz="0" w:space="0" w:color="auto"/>
        <w:left w:val="none" w:sz="0" w:space="0" w:color="auto"/>
        <w:bottom w:val="none" w:sz="0" w:space="0" w:color="auto"/>
        <w:right w:val="none" w:sz="0" w:space="0" w:color="auto"/>
      </w:divBdr>
    </w:div>
    <w:div w:id="81806821">
      <w:bodyDiv w:val="1"/>
      <w:marLeft w:val="0"/>
      <w:marRight w:val="0"/>
      <w:marTop w:val="0"/>
      <w:marBottom w:val="0"/>
      <w:divBdr>
        <w:top w:val="none" w:sz="0" w:space="0" w:color="auto"/>
        <w:left w:val="none" w:sz="0" w:space="0" w:color="auto"/>
        <w:bottom w:val="none" w:sz="0" w:space="0" w:color="auto"/>
        <w:right w:val="none" w:sz="0" w:space="0" w:color="auto"/>
      </w:divBdr>
    </w:div>
    <w:div w:id="87433991">
      <w:bodyDiv w:val="1"/>
      <w:marLeft w:val="0"/>
      <w:marRight w:val="0"/>
      <w:marTop w:val="0"/>
      <w:marBottom w:val="0"/>
      <w:divBdr>
        <w:top w:val="none" w:sz="0" w:space="0" w:color="auto"/>
        <w:left w:val="none" w:sz="0" w:space="0" w:color="auto"/>
        <w:bottom w:val="none" w:sz="0" w:space="0" w:color="auto"/>
        <w:right w:val="none" w:sz="0" w:space="0" w:color="auto"/>
      </w:divBdr>
    </w:div>
    <w:div w:id="128941978">
      <w:bodyDiv w:val="1"/>
      <w:marLeft w:val="0"/>
      <w:marRight w:val="0"/>
      <w:marTop w:val="0"/>
      <w:marBottom w:val="0"/>
      <w:divBdr>
        <w:top w:val="none" w:sz="0" w:space="0" w:color="auto"/>
        <w:left w:val="none" w:sz="0" w:space="0" w:color="auto"/>
        <w:bottom w:val="none" w:sz="0" w:space="0" w:color="auto"/>
        <w:right w:val="none" w:sz="0" w:space="0" w:color="auto"/>
      </w:divBdr>
    </w:div>
    <w:div w:id="144778910">
      <w:bodyDiv w:val="1"/>
      <w:marLeft w:val="0"/>
      <w:marRight w:val="0"/>
      <w:marTop w:val="0"/>
      <w:marBottom w:val="0"/>
      <w:divBdr>
        <w:top w:val="none" w:sz="0" w:space="0" w:color="auto"/>
        <w:left w:val="none" w:sz="0" w:space="0" w:color="auto"/>
        <w:bottom w:val="none" w:sz="0" w:space="0" w:color="auto"/>
        <w:right w:val="none" w:sz="0" w:space="0" w:color="auto"/>
      </w:divBdr>
    </w:div>
    <w:div w:id="171117148">
      <w:bodyDiv w:val="1"/>
      <w:marLeft w:val="0"/>
      <w:marRight w:val="0"/>
      <w:marTop w:val="0"/>
      <w:marBottom w:val="0"/>
      <w:divBdr>
        <w:top w:val="none" w:sz="0" w:space="0" w:color="auto"/>
        <w:left w:val="none" w:sz="0" w:space="0" w:color="auto"/>
        <w:bottom w:val="none" w:sz="0" w:space="0" w:color="auto"/>
        <w:right w:val="none" w:sz="0" w:space="0" w:color="auto"/>
      </w:divBdr>
    </w:div>
    <w:div w:id="240259749">
      <w:bodyDiv w:val="1"/>
      <w:marLeft w:val="0"/>
      <w:marRight w:val="0"/>
      <w:marTop w:val="0"/>
      <w:marBottom w:val="0"/>
      <w:divBdr>
        <w:top w:val="none" w:sz="0" w:space="0" w:color="auto"/>
        <w:left w:val="none" w:sz="0" w:space="0" w:color="auto"/>
        <w:bottom w:val="none" w:sz="0" w:space="0" w:color="auto"/>
        <w:right w:val="none" w:sz="0" w:space="0" w:color="auto"/>
      </w:divBdr>
    </w:div>
    <w:div w:id="253250990">
      <w:bodyDiv w:val="1"/>
      <w:marLeft w:val="0"/>
      <w:marRight w:val="0"/>
      <w:marTop w:val="0"/>
      <w:marBottom w:val="0"/>
      <w:divBdr>
        <w:top w:val="none" w:sz="0" w:space="0" w:color="auto"/>
        <w:left w:val="none" w:sz="0" w:space="0" w:color="auto"/>
        <w:bottom w:val="none" w:sz="0" w:space="0" w:color="auto"/>
        <w:right w:val="none" w:sz="0" w:space="0" w:color="auto"/>
      </w:divBdr>
    </w:div>
    <w:div w:id="289939945">
      <w:bodyDiv w:val="1"/>
      <w:marLeft w:val="0"/>
      <w:marRight w:val="0"/>
      <w:marTop w:val="0"/>
      <w:marBottom w:val="0"/>
      <w:divBdr>
        <w:top w:val="none" w:sz="0" w:space="0" w:color="auto"/>
        <w:left w:val="none" w:sz="0" w:space="0" w:color="auto"/>
        <w:bottom w:val="none" w:sz="0" w:space="0" w:color="auto"/>
        <w:right w:val="none" w:sz="0" w:space="0" w:color="auto"/>
      </w:divBdr>
    </w:div>
    <w:div w:id="305545904">
      <w:bodyDiv w:val="1"/>
      <w:marLeft w:val="0"/>
      <w:marRight w:val="0"/>
      <w:marTop w:val="0"/>
      <w:marBottom w:val="0"/>
      <w:divBdr>
        <w:top w:val="none" w:sz="0" w:space="0" w:color="auto"/>
        <w:left w:val="none" w:sz="0" w:space="0" w:color="auto"/>
        <w:bottom w:val="none" w:sz="0" w:space="0" w:color="auto"/>
        <w:right w:val="none" w:sz="0" w:space="0" w:color="auto"/>
      </w:divBdr>
    </w:div>
    <w:div w:id="351079932">
      <w:bodyDiv w:val="1"/>
      <w:marLeft w:val="0"/>
      <w:marRight w:val="0"/>
      <w:marTop w:val="0"/>
      <w:marBottom w:val="0"/>
      <w:divBdr>
        <w:top w:val="none" w:sz="0" w:space="0" w:color="auto"/>
        <w:left w:val="none" w:sz="0" w:space="0" w:color="auto"/>
        <w:bottom w:val="none" w:sz="0" w:space="0" w:color="auto"/>
        <w:right w:val="none" w:sz="0" w:space="0" w:color="auto"/>
      </w:divBdr>
    </w:div>
    <w:div w:id="352268453">
      <w:bodyDiv w:val="1"/>
      <w:marLeft w:val="0"/>
      <w:marRight w:val="0"/>
      <w:marTop w:val="0"/>
      <w:marBottom w:val="0"/>
      <w:divBdr>
        <w:top w:val="none" w:sz="0" w:space="0" w:color="auto"/>
        <w:left w:val="none" w:sz="0" w:space="0" w:color="auto"/>
        <w:bottom w:val="none" w:sz="0" w:space="0" w:color="auto"/>
        <w:right w:val="none" w:sz="0" w:space="0" w:color="auto"/>
      </w:divBdr>
    </w:div>
    <w:div w:id="427965598">
      <w:bodyDiv w:val="1"/>
      <w:marLeft w:val="0"/>
      <w:marRight w:val="0"/>
      <w:marTop w:val="0"/>
      <w:marBottom w:val="0"/>
      <w:divBdr>
        <w:top w:val="none" w:sz="0" w:space="0" w:color="auto"/>
        <w:left w:val="none" w:sz="0" w:space="0" w:color="auto"/>
        <w:bottom w:val="none" w:sz="0" w:space="0" w:color="auto"/>
        <w:right w:val="none" w:sz="0" w:space="0" w:color="auto"/>
      </w:divBdr>
    </w:div>
    <w:div w:id="444890547">
      <w:bodyDiv w:val="1"/>
      <w:marLeft w:val="0"/>
      <w:marRight w:val="0"/>
      <w:marTop w:val="0"/>
      <w:marBottom w:val="0"/>
      <w:divBdr>
        <w:top w:val="none" w:sz="0" w:space="0" w:color="auto"/>
        <w:left w:val="none" w:sz="0" w:space="0" w:color="auto"/>
        <w:bottom w:val="none" w:sz="0" w:space="0" w:color="auto"/>
        <w:right w:val="none" w:sz="0" w:space="0" w:color="auto"/>
      </w:divBdr>
    </w:div>
    <w:div w:id="456338262">
      <w:bodyDiv w:val="1"/>
      <w:marLeft w:val="0"/>
      <w:marRight w:val="0"/>
      <w:marTop w:val="0"/>
      <w:marBottom w:val="0"/>
      <w:divBdr>
        <w:top w:val="none" w:sz="0" w:space="0" w:color="auto"/>
        <w:left w:val="none" w:sz="0" w:space="0" w:color="auto"/>
        <w:bottom w:val="none" w:sz="0" w:space="0" w:color="auto"/>
        <w:right w:val="none" w:sz="0" w:space="0" w:color="auto"/>
      </w:divBdr>
    </w:div>
    <w:div w:id="472799379">
      <w:bodyDiv w:val="1"/>
      <w:marLeft w:val="0"/>
      <w:marRight w:val="0"/>
      <w:marTop w:val="0"/>
      <w:marBottom w:val="0"/>
      <w:divBdr>
        <w:top w:val="none" w:sz="0" w:space="0" w:color="auto"/>
        <w:left w:val="none" w:sz="0" w:space="0" w:color="auto"/>
        <w:bottom w:val="none" w:sz="0" w:space="0" w:color="auto"/>
        <w:right w:val="none" w:sz="0" w:space="0" w:color="auto"/>
      </w:divBdr>
    </w:div>
    <w:div w:id="540017205">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11206518">
      <w:bodyDiv w:val="1"/>
      <w:marLeft w:val="0"/>
      <w:marRight w:val="0"/>
      <w:marTop w:val="0"/>
      <w:marBottom w:val="0"/>
      <w:divBdr>
        <w:top w:val="none" w:sz="0" w:space="0" w:color="auto"/>
        <w:left w:val="none" w:sz="0" w:space="0" w:color="auto"/>
        <w:bottom w:val="none" w:sz="0" w:space="0" w:color="auto"/>
        <w:right w:val="none" w:sz="0" w:space="0" w:color="auto"/>
      </w:divBdr>
    </w:div>
    <w:div w:id="616058093">
      <w:bodyDiv w:val="1"/>
      <w:marLeft w:val="0"/>
      <w:marRight w:val="0"/>
      <w:marTop w:val="0"/>
      <w:marBottom w:val="0"/>
      <w:divBdr>
        <w:top w:val="none" w:sz="0" w:space="0" w:color="auto"/>
        <w:left w:val="none" w:sz="0" w:space="0" w:color="auto"/>
        <w:bottom w:val="none" w:sz="0" w:space="0" w:color="auto"/>
        <w:right w:val="none" w:sz="0" w:space="0" w:color="auto"/>
      </w:divBdr>
    </w:div>
    <w:div w:id="646321502">
      <w:bodyDiv w:val="1"/>
      <w:marLeft w:val="0"/>
      <w:marRight w:val="0"/>
      <w:marTop w:val="0"/>
      <w:marBottom w:val="0"/>
      <w:divBdr>
        <w:top w:val="none" w:sz="0" w:space="0" w:color="auto"/>
        <w:left w:val="none" w:sz="0" w:space="0" w:color="auto"/>
        <w:bottom w:val="none" w:sz="0" w:space="0" w:color="auto"/>
        <w:right w:val="none" w:sz="0" w:space="0" w:color="auto"/>
      </w:divBdr>
    </w:div>
    <w:div w:id="650327768">
      <w:bodyDiv w:val="1"/>
      <w:marLeft w:val="0"/>
      <w:marRight w:val="0"/>
      <w:marTop w:val="0"/>
      <w:marBottom w:val="0"/>
      <w:divBdr>
        <w:top w:val="none" w:sz="0" w:space="0" w:color="auto"/>
        <w:left w:val="none" w:sz="0" w:space="0" w:color="auto"/>
        <w:bottom w:val="none" w:sz="0" w:space="0" w:color="auto"/>
        <w:right w:val="none" w:sz="0" w:space="0" w:color="auto"/>
      </w:divBdr>
    </w:div>
    <w:div w:id="697314959">
      <w:bodyDiv w:val="1"/>
      <w:marLeft w:val="0"/>
      <w:marRight w:val="0"/>
      <w:marTop w:val="0"/>
      <w:marBottom w:val="0"/>
      <w:divBdr>
        <w:top w:val="none" w:sz="0" w:space="0" w:color="auto"/>
        <w:left w:val="none" w:sz="0" w:space="0" w:color="auto"/>
        <w:bottom w:val="none" w:sz="0" w:space="0" w:color="auto"/>
        <w:right w:val="none" w:sz="0" w:space="0" w:color="auto"/>
      </w:divBdr>
    </w:div>
    <w:div w:id="729959168">
      <w:bodyDiv w:val="1"/>
      <w:marLeft w:val="0"/>
      <w:marRight w:val="0"/>
      <w:marTop w:val="0"/>
      <w:marBottom w:val="0"/>
      <w:divBdr>
        <w:top w:val="none" w:sz="0" w:space="0" w:color="auto"/>
        <w:left w:val="none" w:sz="0" w:space="0" w:color="auto"/>
        <w:bottom w:val="none" w:sz="0" w:space="0" w:color="auto"/>
        <w:right w:val="none" w:sz="0" w:space="0" w:color="auto"/>
      </w:divBdr>
    </w:div>
    <w:div w:id="761757572">
      <w:bodyDiv w:val="1"/>
      <w:marLeft w:val="0"/>
      <w:marRight w:val="0"/>
      <w:marTop w:val="0"/>
      <w:marBottom w:val="0"/>
      <w:divBdr>
        <w:top w:val="none" w:sz="0" w:space="0" w:color="auto"/>
        <w:left w:val="none" w:sz="0" w:space="0" w:color="auto"/>
        <w:bottom w:val="none" w:sz="0" w:space="0" w:color="auto"/>
        <w:right w:val="none" w:sz="0" w:space="0" w:color="auto"/>
      </w:divBdr>
    </w:div>
    <w:div w:id="883716514">
      <w:bodyDiv w:val="1"/>
      <w:marLeft w:val="0"/>
      <w:marRight w:val="0"/>
      <w:marTop w:val="0"/>
      <w:marBottom w:val="0"/>
      <w:divBdr>
        <w:top w:val="none" w:sz="0" w:space="0" w:color="auto"/>
        <w:left w:val="none" w:sz="0" w:space="0" w:color="auto"/>
        <w:bottom w:val="none" w:sz="0" w:space="0" w:color="auto"/>
        <w:right w:val="none" w:sz="0" w:space="0" w:color="auto"/>
      </w:divBdr>
    </w:div>
    <w:div w:id="897284553">
      <w:bodyDiv w:val="1"/>
      <w:marLeft w:val="0"/>
      <w:marRight w:val="0"/>
      <w:marTop w:val="0"/>
      <w:marBottom w:val="0"/>
      <w:divBdr>
        <w:top w:val="none" w:sz="0" w:space="0" w:color="auto"/>
        <w:left w:val="none" w:sz="0" w:space="0" w:color="auto"/>
        <w:bottom w:val="none" w:sz="0" w:space="0" w:color="auto"/>
        <w:right w:val="none" w:sz="0" w:space="0" w:color="auto"/>
      </w:divBdr>
    </w:div>
    <w:div w:id="977030062">
      <w:bodyDiv w:val="1"/>
      <w:marLeft w:val="0"/>
      <w:marRight w:val="0"/>
      <w:marTop w:val="0"/>
      <w:marBottom w:val="0"/>
      <w:divBdr>
        <w:top w:val="none" w:sz="0" w:space="0" w:color="auto"/>
        <w:left w:val="none" w:sz="0" w:space="0" w:color="auto"/>
        <w:bottom w:val="none" w:sz="0" w:space="0" w:color="auto"/>
        <w:right w:val="none" w:sz="0" w:space="0" w:color="auto"/>
      </w:divBdr>
    </w:div>
    <w:div w:id="986325624">
      <w:bodyDiv w:val="1"/>
      <w:marLeft w:val="0"/>
      <w:marRight w:val="0"/>
      <w:marTop w:val="0"/>
      <w:marBottom w:val="0"/>
      <w:divBdr>
        <w:top w:val="none" w:sz="0" w:space="0" w:color="auto"/>
        <w:left w:val="none" w:sz="0" w:space="0" w:color="auto"/>
        <w:bottom w:val="none" w:sz="0" w:space="0" w:color="auto"/>
        <w:right w:val="none" w:sz="0" w:space="0" w:color="auto"/>
      </w:divBdr>
    </w:div>
    <w:div w:id="989940470">
      <w:bodyDiv w:val="1"/>
      <w:marLeft w:val="0"/>
      <w:marRight w:val="0"/>
      <w:marTop w:val="0"/>
      <w:marBottom w:val="0"/>
      <w:divBdr>
        <w:top w:val="none" w:sz="0" w:space="0" w:color="auto"/>
        <w:left w:val="none" w:sz="0" w:space="0" w:color="auto"/>
        <w:bottom w:val="none" w:sz="0" w:space="0" w:color="auto"/>
        <w:right w:val="none" w:sz="0" w:space="0" w:color="auto"/>
      </w:divBdr>
    </w:div>
    <w:div w:id="1001617852">
      <w:bodyDiv w:val="1"/>
      <w:marLeft w:val="0"/>
      <w:marRight w:val="0"/>
      <w:marTop w:val="0"/>
      <w:marBottom w:val="0"/>
      <w:divBdr>
        <w:top w:val="none" w:sz="0" w:space="0" w:color="auto"/>
        <w:left w:val="none" w:sz="0" w:space="0" w:color="auto"/>
        <w:bottom w:val="none" w:sz="0" w:space="0" w:color="auto"/>
        <w:right w:val="none" w:sz="0" w:space="0" w:color="auto"/>
      </w:divBdr>
    </w:div>
    <w:div w:id="1134559904">
      <w:bodyDiv w:val="1"/>
      <w:marLeft w:val="0"/>
      <w:marRight w:val="0"/>
      <w:marTop w:val="0"/>
      <w:marBottom w:val="0"/>
      <w:divBdr>
        <w:top w:val="none" w:sz="0" w:space="0" w:color="auto"/>
        <w:left w:val="none" w:sz="0" w:space="0" w:color="auto"/>
        <w:bottom w:val="none" w:sz="0" w:space="0" w:color="auto"/>
        <w:right w:val="none" w:sz="0" w:space="0" w:color="auto"/>
      </w:divBdr>
    </w:div>
    <w:div w:id="1142233089">
      <w:bodyDiv w:val="1"/>
      <w:marLeft w:val="0"/>
      <w:marRight w:val="0"/>
      <w:marTop w:val="0"/>
      <w:marBottom w:val="0"/>
      <w:divBdr>
        <w:top w:val="none" w:sz="0" w:space="0" w:color="auto"/>
        <w:left w:val="none" w:sz="0" w:space="0" w:color="auto"/>
        <w:bottom w:val="none" w:sz="0" w:space="0" w:color="auto"/>
        <w:right w:val="none" w:sz="0" w:space="0" w:color="auto"/>
      </w:divBdr>
    </w:div>
    <w:div w:id="1191256506">
      <w:bodyDiv w:val="1"/>
      <w:marLeft w:val="0"/>
      <w:marRight w:val="0"/>
      <w:marTop w:val="0"/>
      <w:marBottom w:val="0"/>
      <w:divBdr>
        <w:top w:val="none" w:sz="0" w:space="0" w:color="auto"/>
        <w:left w:val="none" w:sz="0" w:space="0" w:color="auto"/>
        <w:bottom w:val="none" w:sz="0" w:space="0" w:color="auto"/>
        <w:right w:val="none" w:sz="0" w:space="0" w:color="auto"/>
      </w:divBdr>
    </w:div>
    <w:div w:id="1210605081">
      <w:bodyDiv w:val="1"/>
      <w:marLeft w:val="0"/>
      <w:marRight w:val="0"/>
      <w:marTop w:val="0"/>
      <w:marBottom w:val="0"/>
      <w:divBdr>
        <w:top w:val="none" w:sz="0" w:space="0" w:color="auto"/>
        <w:left w:val="none" w:sz="0" w:space="0" w:color="auto"/>
        <w:bottom w:val="none" w:sz="0" w:space="0" w:color="auto"/>
        <w:right w:val="none" w:sz="0" w:space="0" w:color="auto"/>
      </w:divBdr>
    </w:div>
    <w:div w:id="1236360947">
      <w:bodyDiv w:val="1"/>
      <w:marLeft w:val="0"/>
      <w:marRight w:val="0"/>
      <w:marTop w:val="0"/>
      <w:marBottom w:val="0"/>
      <w:divBdr>
        <w:top w:val="none" w:sz="0" w:space="0" w:color="auto"/>
        <w:left w:val="none" w:sz="0" w:space="0" w:color="auto"/>
        <w:bottom w:val="none" w:sz="0" w:space="0" w:color="auto"/>
        <w:right w:val="none" w:sz="0" w:space="0" w:color="auto"/>
      </w:divBdr>
    </w:div>
    <w:div w:id="1253319476">
      <w:bodyDiv w:val="1"/>
      <w:marLeft w:val="0"/>
      <w:marRight w:val="0"/>
      <w:marTop w:val="0"/>
      <w:marBottom w:val="0"/>
      <w:divBdr>
        <w:top w:val="none" w:sz="0" w:space="0" w:color="auto"/>
        <w:left w:val="none" w:sz="0" w:space="0" w:color="auto"/>
        <w:bottom w:val="none" w:sz="0" w:space="0" w:color="auto"/>
        <w:right w:val="none" w:sz="0" w:space="0" w:color="auto"/>
      </w:divBdr>
    </w:div>
    <w:div w:id="1270774524">
      <w:bodyDiv w:val="1"/>
      <w:marLeft w:val="0"/>
      <w:marRight w:val="0"/>
      <w:marTop w:val="0"/>
      <w:marBottom w:val="0"/>
      <w:divBdr>
        <w:top w:val="none" w:sz="0" w:space="0" w:color="auto"/>
        <w:left w:val="none" w:sz="0" w:space="0" w:color="auto"/>
        <w:bottom w:val="none" w:sz="0" w:space="0" w:color="auto"/>
        <w:right w:val="none" w:sz="0" w:space="0" w:color="auto"/>
      </w:divBdr>
    </w:div>
    <w:div w:id="1309287115">
      <w:bodyDiv w:val="1"/>
      <w:marLeft w:val="0"/>
      <w:marRight w:val="0"/>
      <w:marTop w:val="0"/>
      <w:marBottom w:val="0"/>
      <w:divBdr>
        <w:top w:val="none" w:sz="0" w:space="0" w:color="auto"/>
        <w:left w:val="none" w:sz="0" w:space="0" w:color="auto"/>
        <w:bottom w:val="none" w:sz="0" w:space="0" w:color="auto"/>
        <w:right w:val="none" w:sz="0" w:space="0" w:color="auto"/>
      </w:divBdr>
    </w:div>
    <w:div w:id="1314606491">
      <w:bodyDiv w:val="1"/>
      <w:marLeft w:val="0"/>
      <w:marRight w:val="0"/>
      <w:marTop w:val="0"/>
      <w:marBottom w:val="0"/>
      <w:divBdr>
        <w:top w:val="none" w:sz="0" w:space="0" w:color="auto"/>
        <w:left w:val="none" w:sz="0" w:space="0" w:color="auto"/>
        <w:bottom w:val="none" w:sz="0" w:space="0" w:color="auto"/>
        <w:right w:val="none" w:sz="0" w:space="0" w:color="auto"/>
      </w:divBdr>
    </w:div>
    <w:div w:id="1328753020">
      <w:bodyDiv w:val="1"/>
      <w:marLeft w:val="0"/>
      <w:marRight w:val="0"/>
      <w:marTop w:val="0"/>
      <w:marBottom w:val="0"/>
      <w:divBdr>
        <w:top w:val="none" w:sz="0" w:space="0" w:color="auto"/>
        <w:left w:val="none" w:sz="0" w:space="0" w:color="auto"/>
        <w:bottom w:val="none" w:sz="0" w:space="0" w:color="auto"/>
        <w:right w:val="none" w:sz="0" w:space="0" w:color="auto"/>
      </w:divBdr>
    </w:div>
    <w:div w:id="1347824108">
      <w:bodyDiv w:val="1"/>
      <w:marLeft w:val="0"/>
      <w:marRight w:val="0"/>
      <w:marTop w:val="0"/>
      <w:marBottom w:val="0"/>
      <w:divBdr>
        <w:top w:val="none" w:sz="0" w:space="0" w:color="auto"/>
        <w:left w:val="none" w:sz="0" w:space="0" w:color="auto"/>
        <w:bottom w:val="none" w:sz="0" w:space="0" w:color="auto"/>
        <w:right w:val="none" w:sz="0" w:space="0" w:color="auto"/>
      </w:divBdr>
    </w:div>
    <w:div w:id="1369917787">
      <w:bodyDiv w:val="1"/>
      <w:marLeft w:val="0"/>
      <w:marRight w:val="0"/>
      <w:marTop w:val="0"/>
      <w:marBottom w:val="0"/>
      <w:divBdr>
        <w:top w:val="none" w:sz="0" w:space="0" w:color="auto"/>
        <w:left w:val="none" w:sz="0" w:space="0" w:color="auto"/>
        <w:bottom w:val="none" w:sz="0" w:space="0" w:color="auto"/>
        <w:right w:val="none" w:sz="0" w:space="0" w:color="auto"/>
      </w:divBdr>
    </w:div>
    <w:div w:id="1399205067">
      <w:bodyDiv w:val="1"/>
      <w:marLeft w:val="0"/>
      <w:marRight w:val="0"/>
      <w:marTop w:val="0"/>
      <w:marBottom w:val="0"/>
      <w:divBdr>
        <w:top w:val="none" w:sz="0" w:space="0" w:color="auto"/>
        <w:left w:val="none" w:sz="0" w:space="0" w:color="auto"/>
        <w:bottom w:val="none" w:sz="0" w:space="0" w:color="auto"/>
        <w:right w:val="none" w:sz="0" w:space="0" w:color="auto"/>
      </w:divBdr>
    </w:div>
    <w:div w:id="1427771666">
      <w:bodyDiv w:val="1"/>
      <w:marLeft w:val="0"/>
      <w:marRight w:val="0"/>
      <w:marTop w:val="0"/>
      <w:marBottom w:val="0"/>
      <w:divBdr>
        <w:top w:val="none" w:sz="0" w:space="0" w:color="auto"/>
        <w:left w:val="none" w:sz="0" w:space="0" w:color="auto"/>
        <w:bottom w:val="none" w:sz="0" w:space="0" w:color="auto"/>
        <w:right w:val="none" w:sz="0" w:space="0" w:color="auto"/>
      </w:divBdr>
    </w:div>
    <w:div w:id="1437167136">
      <w:bodyDiv w:val="1"/>
      <w:marLeft w:val="0"/>
      <w:marRight w:val="0"/>
      <w:marTop w:val="0"/>
      <w:marBottom w:val="0"/>
      <w:divBdr>
        <w:top w:val="none" w:sz="0" w:space="0" w:color="auto"/>
        <w:left w:val="none" w:sz="0" w:space="0" w:color="auto"/>
        <w:bottom w:val="none" w:sz="0" w:space="0" w:color="auto"/>
        <w:right w:val="none" w:sz="0" w:space="0" w:color="auto"/>
      </w:divBdr>
    </w:div>
    <w:div w:id="1443845209">
      <w:bodyDiv w:val="1"/>
      <w:marLeft w:val="0"/>
      <w:marRight w:val="0"/>
      <w:marTop w:val="0"/>
      <w:marBottom w:val="0"/>
      <w:divBdr>
        <w:top w:val="none" w:sz="0" w:space="0" w:color="auto"/>
        <w:left w:val="none" w:sz="0" w:space="0" w:color="auto"/>
        <w:bottom w:val="none" w:sz="0" w:space="0" w:color="auto"/>
        <w:right w:val="none" w:sz="0" w:space="0" w:color="auto"/>
      </w:divBdr>
    </w:div>
    <w:div w:id="1460032580">
      <w:bodyDiv w:val="1"/>
      <w:marLeft w:val="0"/>
      <w:marRight w:val="0"/>
      <w:marTop w:val="0"/>
      <w:marBottom w:val="0"/>
      <w:divBdr>
        <w:top w:val="none" w:sz="0" w:space="0" w:color="auto"/>
        <w:left w:val="none" w:sz="0" w:space="0" w:color="auto"/>
        <w:bottom w:val="none" w:sz="0" w:space="0" w:color="auto"/>
        <w:right w:val="none" w:sz="0" w:space="0" w:color="auto"/>
      </w:divBdr>
    </w:div>
    <w:div w:id="1461191901">
      <w:bodyDiv w:val="1"/>
      <w:marLeft w:val="0"/>
      <w:marRight w:val="0"/>
      <w:marTop w:val="0"/>
      <w:marBottom w:val="0"/>
      <w:divBdr>
        <w:top w:val="none" w:sz="0" w:space="0" w:color="auto"/>
        <w:left w:val="none" w:sz="0" w:space="0" w:color="auto"/>
        <w:bottom w:val="none" w:sz="0" w:space="0" w:color="auto"/>
        <w:right w:val="none" w:sz="0" w:space="0" w:color="auto"/>
      </w:divBdr>
    </w:div>
    <w:div w:id="1467891738">
      <w:bodyDiv w:val="1"/>
      <w:marLeft w:val="0"/>
      <w:marRight w:val="0"/>
      <w:marTop w:val="0"/>
      <w:marBottom w:val="0"/>
      <w:divBdr>
        <w:top w:val="none" w:sz="0" w:space="0" w:color="auto"/>
        <w:left w:val="none" w:sz="0" w:space="0" w:color="auto"/>
        <w:bottom w:val="none" w:sz="0" w:space="0" w:color="auto"/>
        <w:right w:val="none" w:sz="0" w:space="0" w:color="auto"/>
      </w:divBdr>
    </w:div>
    <w:div w:id="1502117462">
      <w:bodyDiv w:val="1"/>
      <w:marLeft w:val="0"/>
      <w:marRight w:val="0"/>
      <w:marTop w:val="0"/>
      <w:marBottom w:val="0"/>
      <w:divBdr>
        <w:top w:val="none" w:sz="0" w:space="0" w:color="auto"/>
        <w:left w:val="none" w:sz="0" w:space="0" w:color="auto"/>
        <w:bottom w:val="none" w:sz="0" w:space="0" w:color="auto"/>
        <w:right w:val="none" w:sz="0" w:space="0" w:color="auto"/>
      </w:divBdr>
    </w:div>
    <w:div w:id="1522890712">
      <w:bodyDiv w:val="1"/>
      <w:marLeft w:val="0"/>
      <w:marRight w:val="0"/>
      <w:marTop w:val="0"/>
      <w:marBottom w:val="0"/>
      <w:divBdr>
        <w:top w:val="none" w:sz="0" w:space="0" w:color="auto"/>
        <w:left w:val="none" w:sz="0" w:space="0" w:color="auto"/>
        <w:bottom w:val="none" w:sz="0" w:space="0" w:color="auto"/>
        <w:right w:val="none" w:sz="0" w:space="0" w:color="auto"/>
      </w:divBdr>
    </w:div>
    <w:div w:id="1565602139">
      <w:bodyDiv w:val="1"/>
      <w:marLeft w:val="0"/>
      <w:marRight w:val="0"/>
      <w:marTop w:val="0"/>
      <w:marBottom w:val="0"/>
      <w:divBdr>
        <w:top w:val="none" w:sz="0" w:space="0" w:color="auto"/>
        <w:left w:val="none" w:sz="0" w:space="0" w:color="auto"/>
        <w:bottom w:val="none" w:sz="0" w:space="0" w:color="auto"/>
        <w:right w:val="none" w:sz="0" w:space="0" w:color="auto"/>
      </w:divBdr>
    </w:div>
    <w:div w:id="1582327582">
      <w:bodyDiv w:val="1"/>
      <w:marLeft w:val="0"/>
      <w:marRight w:val="0"/>
      <w:marTop w:val="0"/>
      <w:marBottom w:val="0"/>
      <w:divBdr>
        <w:top w:val="none" w:sz="0" w:space="0" w:color="auto"/>
        <w:left w:val="none" w:sz="0" w:space="0" w:color="auto"/>
        <w:bottom w:val="none" w:sz="0" w:space="0" w:color="auto"/>
        <w:right w:val="none" w:sz="0" w:space="0" w:color="auto"/>
      </w:divBdr>
    </w:div>
    <w:div w:id="1603684779">
      <w:bodyDiv w:val="1"/>
      <w:marLeft w:val="0"/>
      <w:marRight w:val="0"/>
      <w:marTop w:val="0"/>
      <w:marBottom w:val="0"/>
      <w:divBdr>
        <w:top w:val="none" w:sz="0" w:space="0" w:color="auto"/>
        <w:left w:val="none" w:sz="0" w:space="0" w:color="auto"/>
        <w:bottom w:val="none" w:sz="0" w:space="0" w:color="auto"/>
        <w:right w:val="none" w:sz="0" w:space="0" w:color="auto"/>
      </w:divBdr>
    </w:div>
    <w:div w:id="1607345936">
      <w:bodyDiv w:val="1"/>
      <w:marLeft w:val="0"/>
      <w:marRight w:val="0"/>
      <w:marTop w:val="0"/>
      <w:marBottom w:val="0"/>
      <w:divBdr>
        <w:top w:val="none" w:sz="0" w:space="0" w:color="auto"/>
        <w:left w:val="none" w:sz="0" w:space="0" w:color="auto"/>
        <w:bottom w:val="none" w:sz="0" w:space="0" w:color="auto"/>
        <w:right w:val="none" w:sz="0" w:space="0" w:color="auto"/>
      </w:divBdr>
    </w:div>
    <w:div w:id="1608349920">
      <w:bodyDiv w:val="1"/>
      <w:marLeft w:val="0"/>
      <w:marRight w:val="0"/>
      <w:marTop w:val="0"/>
      <w:marBottom w:val="0"/>
      <w:divBdr>
        <w:top w:val="none" w:sz="0" w:space="0" w:color="auto"/>
        <w:left w:val="none" w:sz="0" w:space="0" w:color="auto"/>
        <w:bottom w:val="none" w:sz="0" w:space="0" w:color="auto"/>
        <w:right w:val="none" w:sz="0" w:space="0" w:color="auto"/>
      </w:divBdr>
    </w:div>
    <w:div w:id="1632320071">
      <w:bodyDiv w:val="1"/>
      <w:marLeft w:val="0"/>
      <w:marRight w:val="0"/>
      <w:marTop w:val="0"/>
      <w:marBottom w:val="0"/>
      <w:divBdr>
        <w:top w:val="none" w:sz="0" w:space="0" w:color="auto"/>
        <w:left w:val="none" w:sz="0" w:space="0" w:color="auto"/>
        <w:bottom w:val="none" w:sz="0" w:space="0" w:color="auto"/>
        <w:right w:val="none" w:sz="0" w:space="0" w:color="auto"/>
      </w:divBdr>
    </w:div>
    <w:div w:id="1705205667">
      <w:bodyDiv w:val="1"/>
      <w:marLeft w:val="0"/>
      <w:marRight w:val="0"/>
      <w:marTop w:val="0"/>
      <w:marBottom w:val="0"/>
      <w:divBdr>
        <w:top w:val="none" w:sz="0" w:space="0" w:color="auto"/>
        <w:left w:val="none" w:sz="0" w:space="0" w:color="auto"/>
        <w:bottom w:val="none" w:sz="0" w:space="0" w:color="auto"/>
        <w:right w:val="none" w:sz="0" w:space="0" w:color="auto"/>
      </w:divBdr>
    </w:div>
    <w:div w:id="1714957697">
      <w:bodyDiv w:val="1"/>
      <w:marLeft w:val="0"/>
      <w:marRight w:val="0"/>
      <w:marTop w:val="0"/>
      <w:marBottom w:val="0"/>
      <w:divBdr>
        <w:top w:val="none" w:sz="0" w:space="0" w:color="auto"/>
        <w:left w:val="none" w:sz="0" w:space="0" w:color="auto"/>
        <w:bottom w:val="none" w:sz="0" w:space="0" w:color="auto"/>
        <w:right w:val="none" w:sz="0" w:space="0" w:color="auto"/>
      </w:divBdr>
    </w:div>
    <w:div w:id="1777404520">
      <w:bodyDiv w:val="1"/>
      <w:marLeft w:val="0"/>
      <w:marRight w:val="0"/>
      <w:marTop w:val="0"/>
      <w:marBottom w:val="0"/>
      <w:divBdr>
        <w:top w:val="none" w:sz="0" w:space="0" w:color="auto"/>
        <w:left w:val="none" w:sz="0" w:space="0" w:color="auto"/>
        <w:bottom w:val="none" w:sz="0" w:space="0" w:color="auto"/>
        <w:right w:val="none" w:sz="0" w:space="0" w:color="auto"/>
      </w:divBdr>
    </w:div>
    <w:div w:id="1778939190">
      <w:bodyDiv w:val="1"/>
      <w:marLeft w:val="0"/>
      <w:marRight w:val="0"/>
      <w:marTop w:val="0"/>
      <w:marBottom w:val="0"/>
      <w:divBdr>
        <w:top w:val="none" w:sz="0" w:space="0" w:color="auto"/>
        <w:left w:val="none" w:sz="0" w:space="0" w:color="auto"/>
        <w:bottom w:val="none" w:sz="0" w:space="0" w:color="auto"/>
        <w:right w:val="none" w:sz="0" w:space="0" w:color="auto"/>
      </w:divBdr>
    </w:div>
    <w:div w:id="1839731234">
      <w:bodyDiv w:val="1"/>
      <w:marLeft w:val="0"/>
      <w:marRight w:val="0"/>
      <w:marTop w:val="0"/>
      <w:marBottom w:val="0"/>
      <w:divBdr>
        <w:top w:val="none" w:sz="0" w:space="0" w:color="auto"/>
        <w:left w:val="none" w:sz="0" w:space="0" w:color="auto"/>
        <w:bottom w:val="none" w:sz="0" w:space="0" w:color="auto"/>
        <w:right w:val="none" w:sz="0" w:space="0" w:color="auto"/>
      </w:divBdr>
    </w:div>
    <w:div w:id="1849367734">
      <w:bodyDiv w:val="1"/>
      <w:marLeft w:val="0"/>
      <w:marRight w:val="0"/>
      <w:marTop w:val="0"/>
      <w:marBottom w:val="0"/>
      <w:divBdr>
        <w:top w:val="none" w:sz="0" w:space="0" w:color="auto"/>
        <w:left w:val="none" w:sz="0" w:space="0" w:color="auto"/>
        <w:bottom w:val="none" w:sz="0" w:space="0" w:color="auto"/>
        <w:right w:val="none" w:sz="0" w:space="0" w:color="auto"/>
      </w:divBdr>
    </w:div>
    <w:div w:id="1852141209">
      <w:bodyDiv w:val="1"/>
      <w:marLeft w:val="0"/>
      <w:marRight w:val="0"/>
      <w:marTop w:val="0"/>
      <w:marBottom w:val="0"/>
      <w:divBdr>
        <w:top w:val="none" w:sz="0" w:space="0" w:color="auto"/>
        <w:left w:val="none" w:sz="0" w:space="0" w:color="auto"/>
        <w:bottom w:val="none" w:sz="0" w:space="0" w:color="auto"/>
        <w:right w:val="none" w:sz="0" w:space="0" w:color="auto"/>
      </w:divBdr>
    </w:div>
    <w:div w:id="1866746684">
      <w:bodyDiv w:val="1"/>
      <w:marLeft w:val="0"/>
      <w:marRight w:val="0"/>
      <w:marTop w:val="0"/>
      <w:marBottom w:val="0"/>
      <w:divBdr>
        <w:top w:val="none" w:sz="0" w:space="0" w:color="auto"/>
        <w:left w:val="none" w:sz="0" w:space="0" w:color="auto"/>
        <w:bottom w:val="none" w:sz="0" w:space="0" w:color="auto"/>
        <w:right w:val="none" w:sz="0" w:space="0" w:color="auto"/>
      </w:divBdr>
    </w:div>
    <w:div w:id="1924409865">
      <w:bodyDiv w:val="1"/>
      <w:marLeft w:val="0"/>
      <w:marRight w:val="0"/>
      <w:marTop w:val="0"/>
      <w:marBottom w:val="0"/>
      <w:divBdr>
        <w:top w:val="none" w:sz="0" w:space="0" w:color="auto"/>
        <w:left w:val="none" w:sz="0" w:space="0" w:color="auto"/>
        <w:bottom w:val="none" w:sz="0" w:space="0" w:color="auto"/>
        <w:right w:val="none" w:sz="0" w:space="0" w:color="auto"/>
      </w:divBdr>
    </w:div>
    <w:div w:id="1924951071">
      <w:bodyDiv w:val="1"/>
      <w:marLeft w:val="0"/>
      <w:marRight w:val="0"/>
      <w:marTop w:val="0"/>
      <w:marBottom w:val="0"/>
      <w:divBdr>
        <w:top w:val="none" w:sz="0" w:space="0" w:color="auto"/>
        <w:left w:val="none" w:sz="0" w:space="0" w:color="auto"/>
        <w:bottom w:val="none" w:sz="0" w:space="0" w:color="auto"/>
        <w:right w:val="none" w:sz="0" w:space="0" w:color="auto"/>
      </w:divBdr>
    </w:div>
    <w:div w:id="1942374237">
      <w:bodyDiv w:val="1"/>
      <w:marLeft w:val="0"/>
      <w:marRight w:val="0"/>
      <w:marTop w:val="0"/>
      <w:marBottom w:val="0"/>
      <w:divBdr>
        <w:top w:val="none" w:sz="0" w:space="0" w:color="auto"/>
        <w:left w:val="none" w:sz="0" w:space="0" w:color="auto"/>
        <w:bottom w:val="none" w:sz="0" w:space="0" w:color="auto"/>
        <w:right w:val="none" w:sz="0" w:space="0" w:color="auto"/>
      </w:divBdr>
    </w:div>
    <w:div w:id="1990012694">
      <w:bodyDiv w:val="1"/>
      <w:marLeft w:val="0"/>
      <w:marRight w:val="0"/>
      <w:marTop w:val="0"/>
      <w:marBottom w:val="0"/>
      <w:divBdr>
        <w:top w:val="none" w:sz="0" w:space="0" w:color="auto"/>
        <w:left w:val="none" w:sz="0" w:space="0" w:color="auto"/>
        <w:bottom w:val="none" w:sz="0" w:space="0" w:color="auto"/>
        <w:right w:val="none" w:sz="0" w:space="0" w:color="auto"/>
      </w:divBdr>
    </w:div>
    <w:div w:id="2079590821">
      <w:bodyDiv w:val="1"/>
      <w:marLeft w:val="0"/>
      <w:marRight w:val="0"/>
      <w:marTop w:val="0"/>
      <w:marBottom w:val="0"/>
      <w:divBdr>
        <w:top w:val="none" w:sz="0" w:space="0" w:color="auto"/>
        <w:left w:val="none" w:sz="0" w:space="0" w:color="auto"/>
        <w:bottom w:val="none" w:sz="0" w:space="0" w:color="auto"/>
        <w:right w:val="none" w:sz="0" w:space="0" w:color="auto"/>
      </w:divBdr>
    </w:div>
    <w:div w:id="2104181844">
      <w:bodyDiv w:val="1"/>
      <w:marLeft w:val="0"/>
      <w:marRight w:val="0"/>
      <w:marTop w:val="0"/>
      <w:marBottom w:val="0"/>
      <w:divBdr>
        <w:top w:val="none" w:sz="0" w:space="0" w:color="auto"/>
        <w:left w:val="none" w:sz="0" w:space="0" w:color="auto"/>
        <w:bottom w:val="none" w:sz="0" w:space="0" w:color="auto"/>
        <w:right w:val="none" w:sz="0" w:space="0" w:color="auto"/>
      </w:divBdr>
    </w:div>
    <w:div w:id="2122261542">
      <w:bodyDiv w:val="1"/>
      <w:marLeft w:val="0"/>
      <w:marRight w:val="0"/>
      <w:marTop w:val="0"/>
      <w:marBottom w:val="0"/>
      <w:divBdr>
        <w:top w:val="none" w:sz="0" w:space="0" w:color="auto"/>
        <w:left w:val="none" w:sz="0" w:space="0" w:color="auto"/>
        <w:bottom w:val="none" w:sz="0" w:space="0" w:color="auto"/>
        <w:right w:val="none" w:sz="0" w:space="0" w:color="auto"/>
      </w:divBdr>
    </w:div>
    <w:div w:id="2122530097">
      <w:bodyDiv w:val="1"/>
      <w:marLeft w:val="0"/>
      <w:marRight w:val="0"/>
      <w:marTop w:val="0"/>
      <w:marBottom w:val="0"/>
      <w:divBdr>
        <w:top w:val="none" w:sz="0" w:space="0" w:color="auto"/>
        <w:left w:val="none" w:sz="0" w:space="0" w:color="auto"/>
        <w:bottom w:val="none" w:sz="0" w:space="0" w:color="auto"/>
        <w:right w:val="none" w:sz="0" w:space="0" w:color="auto"/>
      </w:divBdr>
    </w:div>
    <w:div w:id="212345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reativecommons.org/licenses/by-nc-nd/4.0/"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hys\Documents\012%20Swinburne\AAEE\Abstract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394703C3C546FFB6941C0CB3AA795F"/>
        <w:category>
          <w:name w:val="General"/>
          <w:gallery w:val="placeholder"/>
        </w:category>
        <w:types>
          <w:type w:val="bbPlcHdr"/>
        </w:types>
        <w:behaviors>
          <w:behavior w:val="content"/>
        </w:behaviors>
        <w:guid w:val="{4DA5C121-DBB0-4CA6-925C-ADBAD688952A}"/>
      </w:docPartPr>
      <w:docPartBody>
        <w:p w:rsidR="00000000" w:rsidRDefault="000D2D84" w:rsidP="000D2D84">
          <w:pPr>
            <w:pStyle w:val="09394703C3C546FFB6941C0CB3AA795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84"/>
    <w:rsid w:val="000D2D84"/>
    <w:rsid w:val="00D0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94703C3C546FFB6941C0CB3AA795F">
    <w:name w:val="09394703C3C546FFB6941C0CB3AA795F"/>
    <w:rsid w:val="000D2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SEF13</b:Tag>
    <b:SourceType>Book</b:SourceType>
    <b:Guid>{3E21DB3A-6EBF-4070-89C8-DB95EDECD556}</b:Guid>
    <b:Title>A Framework for Mathematics Curricula in Engineering Education</b:Title>
    <b:City>Brussels</b:City>
    <b:Year>2013</b:Year>
    <b:Author>
      <b:Author>
        <b:Corporate>SEFI</b:Corporate>
      </b:Author>
    </b:Author>
    <b:Publisher>SEFI</b:Publisher>
    <b:RefOrder>15</b:RefOrder>
  </b:Source>
  <b:Source>
    <b:Tag>Cra01</b:Tag>
    <b:SourceType>Report</b:SourceType>
    <b:Guid>{5748CC95-E6CA-4E3F-84F9-B60B4A0C0AD5}</b:Guid>
    <b:Title>The CDIO Syllabus A Statement of Goals for Undergraduate Engineering Education</b:Title>
    <b:Year>2001</b:Year>
    <b:Publisher>MIT</b:Publisher>
    <b:Author>
      <b:Author>
        <b:NameList>
          <b:Person>
            <b:Last>Crawley</b:Last>
            <b:First>E.F.</b:First>
          </b:Person>
        </b:NameList>
      </b:Author>
    </b:Author>
    <b:RefOrder>1</b:RefOrder>
  </b:Source>
  <b:Source>
    <b:Tag>Luc14</b:Tag>
    <b:SourceType>Report</b:SourceType>
    <b:Guid>{2AAED6B0-022C-47B6-A6E1-8567F2A0E79C}</b:Guid>
    <b:Author>
      <b:Author>
        <b:NameList>
          <b:Person>
            <b:Last>Lucas</b:Last>
            <b:First>B</b:First>
          </b:Person>
          <b:Person>
            <b:Last>Hanson</b:Last>
            <b:First>J</b:First>
          </b:Person>
          <b:Person>
            <b:Last>Glaxton</b:Last>
            <b:First>G</b:First>
          </b:Person>
        </b:NameList>
      </b:Author>
    </b:Author>
    <b:Title>Thinking like and Engineer:  Implications for the education system.</b:Title>
    <b:Year>2014</b:Year>
    <b:Publisher>Royal Academy of Engineering</b:Publisher>
    <b:City>London</b:City>
    <b:RefOrder>2</b:RefOrder>
  </b:Source>
  <b:Source>
    <b:Tag>SEF131</b:Tag>
    <b:SourceType>Report</b:SourceType>
    <b:Guid>{51D605DA-D55D-46DE-8797-26114FE0BA83}</b:Guid>
    <b:Author>
      <b:Author>
        <b:NameList>
          <b:Person>
            <b:Last>Group</b:Last>
            <b:First>SEFI</b:First>
            <b:Middle>Mathematics Working</b:Middle>
          </b:Person>
        </b:NameList>
      </b:Author>
    </b:Author>
    <b:Title>A framework for mathematics curricula for Engineering Education</b:Title>
    <b:Year>2013</b:Year>
    <b:Publisher>SEFI</b:Publisher>
    <b:City>Brussels</b:City>
    <b:RefOrder>3</b:RefOrder>
  </b:Source>
  <b:Source>
    <b:Tag>Chi82</b:Tag>
    <b:SourceType>BookSection</b:SourceType>
    <b:Guid>{B36F3472-0A2F-4D33-B2F2-16C039C57932}</b:Guid>
    <b:Title>Expertise in problem solving</b:Title>
    <b:Year>1982</b:Year>
    <b:Publisher>Erlbaum</b:Publisher>
    <b:City>NJ</b:City>
    <b:Author>
      <b:Author>
        <b:NameList>
          <b:Person>
            <b:Last>Chi</b:Last>
            <b:First>M</b:First>
          </b:Person>
          <b:Person>
            <b:Last>Rees</b:Last>
            <b:First>E</b:First>
          </b:Person>
        </b:NameList>
      </b:Author>
      <b:Editor>
        <b:NameList>
          <b:Person>
            <b:Last>Sterberg</b:Last>
            <b:First>R</b:First>
          </b:Person>
        </b:NameList>
      </b:Editor>
    </b:Author>
    <b:BookTitle>Advances in the psychology of human intelligence</b:BookTitle>
    <b:RefOrder>9</b:RefOrder>
  </b:Source>
  <b:Source>
    <b:Tag>DMe10</b:Tag>
    <b:SourceType>ConferenceProceedings</b:SourceType>
    <b:Guid>{CEE2D7A7-602F-4FD2-825A-547E2CC9E8ED}</b:Guid>
    <b:Title>Modelling cognitive-affective dynamics with hidden Markov models</b:Title>
    <b:Year>2010</b:Year>
    <b:Pages>2721-2726</b:Pages>
    <b:Author>
      <b:Author>
        <b:NameList>
          <b:Person>
            <b:Last>D'Mello</b:Last>
            <b:First>S</b:First>
          </b:Person>
          <b:Person>
            <b:Last>Graesser</b:Last>
            <b:First>A</b:First>
          </b:Person>
        </b:NameList>
      </b:Author>
    </b:Author>
    <b:ConferenceName>Cognitive Science Society</b:ConferenceName>
    <b:Volume>32</b:Volume>
    <b:RefOrder>10</b:RefOrder>
  </b:Source>
  <b:Source>
    <b:Tag>Pet151</b:Tag>
    <b:SourceType>JournalArticle</b:SourceType>
    <b:Guid>{5B080DF3-A4CD-4F54-88E4-F6F757506F78}</b:Guid>
    <b:Title>Using cognitive load theory to intepret student difficulties with a problem based learning approach to engineering education:a case study</b:Title>
    <b:Pages>53-62</b:Pages>
    <b:Year>2015</b:Year>
    <b:Author>
      <b:Author>
        <b:NameList>
          <b:Person>
            <b:Last>Peters</b:Last>
            <b:First>M</b:First>
          </b:Person>
        </b:NameList>
      </b:Author>
    </b:Author>
    <b:JournalName>Teaching Mathematics and its Applications</b:JournalName>
    <b:RefOrder>11</b:RefOrder>
  </b:Source>
  <b:Source>
    <b:Tag>Pet171</b:Tag>
    <b:SourceType>ConferenceProceedings</b:SourceType>
    <b:Guid>{1E0C00B1-2A14-4F6B-9C70-BF9B64549313}</b:Guid>
    <b:Author>
      <b:Author>
        <b:NameList>
          <b:Person>
            <b:Last>Peters</b:Last>
            <b:First>M</b:First>
          </b:Person>
        </b:NameList>
      </b:Author>
    </b:Author>
    <b:Title>Implementing PBL within a First Year Engineering Mathematics Module.</b:Title>
    <b:Year>2017</b:Year>
    <b:ConferenceName>HEA Annual Conference</b:ConferenceName>
    <b:City>Manchester</b:City>
    <b:RefOrder>12</b:RefOrder>
  </b:Source>
  <b:Source>
    <b:Tag>RAE10</b:Tag>
    <b:SourceType>Report</b:SourceType>
    <b:Guid>{52D70381-AF4D-4FD1-B3B7-49B70F0A22AF}</b:Guid>
    <b:Author>
      <b:Author>
        <b:Corporate>RAE</b:Corporate>
      </b:Author>
    </b:Author>
    <b:Title>Educating Engineers for the 21st century</b:Title>
    <b:Year>2010</b:Year>
    <b:Publisher>Royal Academy of Engineering</b:Publisher>
    <b:City>London</b:City>
    <b:RefOrder>13</b:RefOrder>
  </b:Source>
  <b:Source>
    <b:Tag>Roy07</b:Tag>
    <b:SourceType>Report</b:SourceType>
    <b:Guid>{B991A2C0-CF88-441D-89B5-54D0348E58A2}</b:Guid>
    <b:Title>Educating Engineers for the 21st century</b:Title>
    <b:Year>2007</b:Year>
    <b:City>London</b:City>
    <b:Author>
      <b:Author>
        <b:Corporate>RAE</b:Corporate>
      </b:Author>
    </b:Author>
    <b:Publisher>Royal Academy of Engineering</b:Publisher>
    <b:RefOrder>14</b:RefOrder>
  </b:Source>
  <b:Source>
    <b:Tag>Tre14</b:Tag>
    <b:SourceType>Book</b:SourceType>
    <b:Guid>{D3B6323D-9A96-4017-81F2-E08BF8D75727}</b:Guid>
    <b:Author>
      <b:Author>
        <b:NameList>
          <b:Person>
            <b:Last>Treveyan</b:Last>
            <b:First>J.</b:First>
          </b:Person>
        </b:NameList>
      </b:Author>
    </b:Author>
    <b:Title> The making of an expert engineer</b:Title>
    <b:Year>2014</b:Year>
    <b:City>New York</b:City>
    <b:Publisher>CRC Press</b:Publisher>
    <b:RefOrder>6</b:RefOrder>
  </b:Source>
  <b:Source>
    <b:Tag>Whi75</b:Tag>
    <b:SourceType>Book</b:SourceType>
    <b:Guid>{B99E4A86-8537-4848-BE78-5677DF04792B}</b:Guid>
    <b:Author>
      <b:Author>
        <b:NameList>
          <b:Person>
            <b:Last>Whitfield</b:Last>
            <b:First>P.R.</b:First>
          </b:Person>
        </b:NameList>
      </b:Author>
    </b:Author>
    <b:Title>Creativity in industry</b:Title>
    <b:Year>1975</b:Year>
    <b:City>Harmondsworth</b:City>
    <b:Publisher>Penguin Books Ltd</b:Publisher>
    <b:RefOrder>7</b:RefOrder>
  </b:Source>
  <b:Source>
    <b:Tag>For18</b:Tag>
    <b:SourceType>BookSection</b:SourceType>
    <b:Guid>{DC6F5A6F-444B-4433-BC24-FE16E92E6A5A}</b:Guid>
    <b:Title>Bloom's Taxonomy: Original and revised</b:Title>
    <b:Author>
      <b:Author>
        <b:NameList>
          <b:Person>
            <b:Last>Forehand</b:Last>
            <b:First>M</b:First>
          </b:Person>
        </b:NameList>
      </b:Author>
      <b:Editor>
        <b:NameList>
          <b:Person>
            <b:Last>Orey</b:Last>
            <b:First>M</b:First>
          </b:Person>
        </b:NameList>
      </b:Editor>
    </b:Author>
    <b:YearAccessed>2018</b:YearAccessed>
    <b:MonthAccessed>September</b:MonthAccessed>
    <b:DayAccessed>6</b:DayAccessed>
    <b:BookTitle>Emerging perspectives on learning, teaching and technology.</b:BookTitle>
    <b:Year>2005</b:Year>
    <b:RefOrder>4</b:RefOrder>
  </b:Source>
  <b:Source>
    <b:Tag>Saz</b:Tag>
    <b:SourceType>JournalArticle</b:SourceType>
    <b:Guid>{AE7D6774-013A-442E-AC2C-31DAE981CBBD}</b:Guid>
    <b:Title>Teaching mathematics to engineering students</b:Title>
    <b:Publisher> Tempus Publications</b:Publisher>
    <b:Author>
      <b:Author>
        <b:NameList>
          <b:Person>
            <b:Last>Sazsin</b:Last>
            <b:First>S.S.</b:First>
            <b:Middle>(1998)</b:Middle>
          </b:Person>
        </b:NameList>
      </b:Author>
    </b:Author>
    <b:JournalName>International Journal of Engineering Education</b:JournalName>
    <b:Pages>145-152</b:Pages>
    <b:Volume> 14</b:Volume>
    <b:Issue>2</b:Issue>
    <b:Year>1998</b:Year>
    <b:RefOrder>5</b:RefOrder>
  </b:Source>
  <b:Source>
    <b:Tag>Swe98</b:Tag>
    <b:SourceType>JournalArticle</b:SourceType>
    <b:Guid>{EB41C17A-ABE5-4A51-B4A1-E9C3CE82886B}</b:Guid>
    <b:Title>Cognitive Load during Problem Solving:  Effects on Learning</b:Title>
    <b:Year>1998</b:Year>
    <b:Author>
      <b:Author>
        <b:NameList>
          <b:Person>
            <b:Last>Sweller</b:Last>
            <b:First>J.</b:First>
          </b:Person>
        </b:NameList>
      </b:Author>
    </b:Author>
    <b:JournalName>Cognitive Science</b:JournalName>
    <b:Pages>257-285.</b:Pages>
    <b:Volume>12</b:Volume>
    <b:RefOrder>8</b:RefOrder>
  </b:Source>
</b:Sources>
</file>

<file path=customXml/itemProps1.xml><?xml version="1.0" encoding="utf-8"?>
<ds:datastoreItem xmlns:ds="http://schemas.openxmlformats.org/officeDocument/2006/customXml" ds:itemID="{DD3FAA55-5CD4-490E-8AA0-2A3EA084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AbstractV1.dotx</Template>
  <TotalTime>0</TotalTime>
  <Pages>11</Pages>
  <Words>5112</Words>
  <Characters>29141</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CQUniversity Australia</Company>
  <LinksUpToDate>false</LinksUpToDate>
  <CharactersWithSpaces>34185</CharactersWithSpaces>
  <SharedDoc>false</SharedDoc>
  <HyperlinkBase/>
  <HLinks>
    <vt:vector size="6" baseType="variant">
      <vt:variant>
        <vt:i4>7602227</vt:i4>
      </vt:variant>
      <vt:variant>
        <vt:i4>0</vt:i4>
      </vt:variant>
      <vt:variant>
        <vt:i4>0</vt:i4>
      </vt:variant>
      <vt:variant>
        <vt:i4>5</vt:i4>
      </vt:variant>
      <vt:variant>
        <vt:lpwstr>https://www.engineersaustralia.org.au/AAEE2013/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 Mann</dc:creator>
  <cp:keywords/>
  <dc:description/>
  <cp:lastModifiedBy>Peters, Michael</cp:lastModifiedBy>
  <cp:revision>2</cp:revision>
  <cp:lastPrinted>2019-01-03T12:14:00Z</cp:lastPrinted>
  <dcterms:created xsi:type="dcterms:W3CDTF">2019-01-28T14:48:00Z</dcterms:created>
  <dcterms:modified xsi:type="dcterms:W3CDTF">2019-01-28T14:48:00Z</dcterms:modified>
</cp:coreProperties>
</file>