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E20E" w14:textId="77777777" w:rsidR="00C60F6C" w:rsidRDefault="00C60F6C">
      <w:pPr>
        <w:jc w:val="center"/>
        <w:rPr>
          <w:rFonts w:ascii="Times New Roman" w:eastAsia="Times New Roman" w:hAnsi="Times New Roman" w:cs="Times New Roman"/>
          <w:b/>
          <w:color w:val="FF0000"/>
          <w:sz w:val="24"/>
          <w:szCs w:val="24"/>
        </w:rPr>
      </w:pPr>
    </w:p>
    <w:p w14:paraId="00000002" w14:textId="7693FECC" w:rsidR="00CB2059" w:rsidRPr="00C60F6C" w:rsidRDefault="00C60F6C">
      <w:pPr>
        <w:jc w:val="center"/>
        <w:rPr>
          <w:rFonts w:ascii="Times New Roman" w:eastAsia="Times New Roman" w:hAnsi="Times New Roman" w:cs="Times New Roman"/>
          <w:bCs/>
          <w:color w:val="000000" w:themeColor="text1"/>
          <w:sz w:val="24"/>
          <w:szCs w:val="24"/>
        </w:rPr>
      </w:pPr>
      <w:r w:rsidRPr="00C60F6C">
        <w:rPr>
          <w:rFonts w:ascii="Times New Roman" w:eastAsia="Times New Roman" w:hAnsi="Times New Roman" w:cs="Times New Roman"/>
          <w:b/>
          <w:color w:val="FF0000"/>
          <w:sz w:val="24"/>
          <w:szCs w:val="24"/>
        </w:rPr>
        <w:t xml:space="preserve">This is a preprint of </w:t>
      </w:r>
      <w:r>
        <w:rPr>
          <w:rFonts w:ascii="Times New Roman" w:eastAsia="Times New Roman" w:hAnsi="Times New Roman" w:cs="Times New Roman"/>
          <w:b/>
          <w:color w:val="FF0000"/>
          <w:sz w:val="24"/>
          <w:szCs w:val="24"/>
        </w:rPr>
        <w:t>an</w:t>
      </w:r>
      <w:r w:rsidRPr="00C60F6C">
        <w:rPr>
          <w:rFonts w:ascii="Times New Roman" w:eastAsia="Times New Roman" w:hAnsi="Times New Roman" w:cs="Times New Roman"/>
          <w:b/>
          <w:color w:val="FF0000"/>
          <w:sz w:val="24"/>
          <w:szCs w:val="24"/>
        </w:rPr>
        <w:t xml:space="preserve"> article </w:t>
      </w:r>
      <w:r>
        <w:rPr>
          <w:rFonts w:ascii="Times New Roman" w:eastAsia="Times New Roman" w:hAnsi="Times New Roman" w:cs="Times New Roman"/>
          <w:b/>
          <w:color w:val="FF0000"/>
          <w:sz w:val="24"/>
          <w:szCs w:val="24"/>
        </w:rPr>
        <w:t>accepted for publication</w:t>
      </w:r>
      <w:r w:rsidRPr="00C60F6C">
        <w:rPr>
          <w:rFonts w:ascii="Times New Roman" w:eastAsia="Times New Roman" w:hAnsi="Times New Roman" w:cs="Times New Roman"/>
          <w:b/>
          <w:color w:val="FF0000"/>
          <w:sz w:val="24"/>
          <w:szCs w:val="24"/>
        </w:rPr>
        <w:t xml:space="preserve"> in </w:t>
      </w:r>
      <w:r w:rsidRPr="00C60F6C">
        <w:rPr>
          <w:rFonts w:ascii="Times New Roman" w:eastAsia="Times New Roman" w:hAnsi="Times New Roman" w:cs="Times New Roman"/>
          <w:b/>
          <w:i/>
          <w:iCs/>
          <w:color w:val="FF0000"/>
          <w:sz w:val="24"/>
          <w:szCs w:val="24"/>
        </w:rPr>
        <w:t>Addiction</w:t>
      </w:r>
      <w:r>
        <w:rPr>
          <w:rFonts w:ascii="Times New Roman" w:eastAsia="Times New Roman" w:hAnsi="Times New Roman" w:cs="Times New Roman"/>
          <w:b/>
          <w:color w:val="FF0000"/>
          <w:sz w:val="24"/>
          <w:szCs w:val="24"/>
        </w:rPr>
        <w:t xml:space="preserve">, under a </w:t>
      </w:r>
      <w:r w:rsidRPr="00C60F6C">
        <w:rPr>
          <w:rFonts w:ascii="Times New Roman" w:eastAsia="Times New Roman" w:hAnsi="Times New Roman" w:cs="Times New Roman"/>
          <w:b/>
          <w:color w:val="FF0000"/>
          <w:sz w:val="24"/>
          <w:szCs w:val="24"/>
        </w:rPr>
        <w:t>CC BY Attribution 4.0</w:t>
      </w:r>
      <w:r>
        <w:rPr>
          <w:rFonts w:ascii="Times New Roman" w:eastAsia="Times New Roman" w:hAnsi="Times New Roman" w:cs="Times New Roman"/>
          <w:b/>
          <w:color w:val="FF0000"/>
          <w:sz w:val="24"/>
          <w:szCs w:val="24"/>
        </w:rPr>
        <w:t xml:space="preserve"> license. </w:t>
      </w:r>
    </w:p>
    <w:p w14:paraId="00000003" w14:textId="77777777" w:rsidR="00CB2059" w:rsidRDefault="00CB2059">
      <w:pPr>
        <w:jc w:val="center"/>
        <w:rPr>
          <w:rFonts w:ascii="Times New Roman" w:eastAsia="Times New Roman" w:hAnsi="Times New Roman" w:cs="Times New Roman"/>
          <w:b/>
          <w:sz w:val="24"/>
          <w:szCs w:val="24"/>
        </w:rPr>
      </w:pPr>
    </w:p>
    <w:p w14:paraId="00000004" w14:textId="3F0E7316" w:rsidR="00CB2059" w:rsidRPr="0041550F" w:rsidRDefault="00C3572E">
      <w:pPr>
        <w:spacing w:line="480" w:lineRule="auto"/>
        <w:jc w:val="center"/>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 xml:space="preserve">Raising the Bar: Improving Methodological Rigour in Cognitive Alcohol </w:t>
      </w:r>
      <w:sdt>
        <w:sdtPr>
          <w:tag w:val="goog_rdk_0"/>
          <w:id w:val="-185214319"/>
        </w:sdtPr>
        <w:sdtEndPr/>
        <w:sdtContent/>
      </w:sdt>
      <w:r w:rsidRPr="0041550F">
        <w:rPr>
          <w:rFonts w:ascii="Times New Roman" w:eastAsia="Times New Roman" w:hAnsi="Times New Roman" w:cs="Times New Roman"/>
          <w:b/>
          <w:sz w:val="24"/>
          <w:szCs w:val="24"/>
        </w:rPr>
        <w:t>Research</w:t>
      </w:r>
    </w:p>
    <w:p w14:paraId="00000005" w14:textId="2F237E85" w:rsidR="00CB2059" w:rsidRPr="0041550F" w:rsidRDefault="00C3572E">
      <w:pPr>
        <w:spacing w:line="48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Charlotte R. Pennington*</w:t>
      </w:r>
      <w:r w:rsidRPr="0041550F">
        <w:rPr>
          <w:rFonts w:ascii="Times New Roman" w:eastAsia="Times New Roman" w:hAnsi="Times New Roman" w:cs="Times New Roman"/>
          <w:sz w:val="24"/>
          <w:szCs w:val="24"/>
          <w:vertAlign w:val="superscript"/>
        </w:rPr>
        <w:t>1</w:t>
      </w:r>
      <w:r w:rsidRPr="0041550F">
        <w:rPr>
          <w:rFonts w:ascii="Times New Roman" w:eastAsia="Times New Roman" w:hAnsi="Times New Roman" w:cs="Times New Roman"/>
          <w:sz w:val="24"/>
          <w:szCs w:val="24"/>
        </w:rPr>
        <w:t>, Andrew Jones</w:t>
      </w:r>
      <w:r w:rsidRPr="0041550F">
        <w:rPr>
          <w:rFonts w:ascii="Times New Roman" w:eastAsia="Times New Roman" w:hAnsi="Times New Roman" w:cs="Times New Roman"/>
          <w:sz w:val="24"/>
          <w:szCs w:val="24"/>
          <w:vertAlign w:val="superscript"/>
        </w:rPr>
        <w:t>2</w:t>
      </w:r>
      <w:r w:rsidRPr="0041550F">
        <w:rPr>
          <w:rFonts w:ascii="Times New Roman" w:eastAsia="Times New Roman" w:hAnsi="Times New Roman" w:cs="Times New Roman"/>
          <w:sz w:val="24"/>
          <w:szCs w:val="24"/>
        </w:rPr>
        <w:t>, James E. Bartlett</w:t>
      </w:r>
      <w:r w:rsidRPr="0041550F">
        <w:rPr>
          <w:rFonts w:ascii="Times New Roman" w:eastAsia="Times New Roman" w:hAnsi="Times New Roman" w:cs="Times New Roman"/>
          <w:sz w:val="24"/>
          <w:szCs w:val="24"/>
          <w:vertAlign w:val="superscript"/>
        </w:rPr>
        <w:t>3</w:t>
      </w:r>
      <w:r w:rsidRPr="0041550F">
        <w:rPr>
          <w:rFonts w:ascii="Times New Roman" w:eastAsia="Times New Roman" w:hAnsi="Times New Roman" w:cs="Times New Roman"/>
          <w:sz w:val="24"/>
          <w:szCs w:val="24"/>
        </w:rPr>
        <w:t>, Amber Copeland</w:t>
      </w:r>
      <w:r w:rsidRPr="0041550F">
        <w:rPr>
          <w:rFonts w:ascii="Times New Roman" w:eastAsia="Times New Roman" w:hAnsi="Times New Roman" w:cs="Times New Roman"/>
          <w:sz w:val="24"/>
          <w:szCs w:val="24"/>
          <w:vertAlign w:val="superscript"/>
        </w:rPr>
        <w:t>4</w:t>
      </w:r>
      <w:r w:rsidRPr="0041550F">
        <w:rPr>
          <w:rFonts w:ascii="Times New Roman" w:eastAsia="Times New Roman" w:hAnsi="Times New Roman" w:cs="Times New Roman"/>
          <w:sz w:val="24"/>
          <w:szCs w:val="24"/>
        </w:rPr>
        <w:t>, &amp; Daniel J. Shaw</w:t>
      </w:r>
      <w:r w:rsidRPr="0041550F">
        <w:rPr>
          <w:rFonts w:ascii="Times New Roman" w:eastAsia="Times New Roman" w:hAnsi="Times New Roman" w:cs="Times New Roman"/>
          <w:sz w:val="24"/>
          <w:szCs w:val="24"/>
          <w:vertAlign w:val="superscript"/>
        </w:rPr>
        <w:t>1</w:t>
      </w:r>
    </w:p>
    <w:p w14:paraId="00000006" w14:textId="7777777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vertAlign w:val="superscript"/>
        </w:rPr>
        <w:t>1</w:t>
      </w:r>
      <w:r w:rsidRPr="0041550F">
        <w:rPr>
          <w:rFonts w:ascii="Times New Roman" w:eastAsia="Times New Roman" w:hAnsi="Times New Roman" w:cs="Times New Roman"/>
          <w:sz w:val="24"/>
          <w:szCs w:val="24"/>
        </w:rPr>
        <w:t>School of Psychology, Aston University, Birmingham, UK.</w:t>
      </w:r>
    </w:p>
    <w:p w14:paraId="00000007" w14:textId="7777777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vertAlign w:val="superscript"/>
        </w:rPr>
        <w:t>2</w:t>
      </w:r>
      <w:r w:rsidRPr="0041550F">
        <w:rPr>
          <w:rFonts w:ascii="Times New Roman" w:eastAsia="Times New Roman" w:hAnsi="Times New Roman" w:cs="Times New Roman"/>
          <w:sz w:val="24"/>
          <w:szCs w:val="24"/>
        </w:rPr>
        <w:t>Institute of Population Health Sciences, University of Liverpool, Liverpool, UK.</w:t>
      </w:r>
    </w:p>
    <w:p w14:paraId="00000008" w14:textId="77777777" w:rsidR="00CB2059" w:rsidRPr="0041550F" w:rsidRDefault="00C3572E">
      <w:pPr>
        <w:spacing w:line="360" w:lineRule="auto"/>
        <w:jc w:val="center"/>
        <w:rPr>
          <w:rFonts w:ascii="Times New Roman" w:eastAsia="Times New Roman" w:hAnsi="Times New Roman" w:cs="Times New Roman"/>
          <w:sz w:val="24"/>
          <w:szCs w:val="24"/>
          <w:vertAlign w:val="superscript"/>
        </w:rPr>
      </w:pPr>
      <w:r w:rsidRPr="0041550F">
        <w:rPr>
          <w:rFonts w:ascii="Times New Roman" w:eastAsia="Times New Roman" w:hAnsi="Times New Roman" w:cs="Times New Roman"/>
          <w:sz w:val="24"/>
          <w:szCs w:val="24"/>
          <w:vertAlign w:val="superscript"/>
        </w:rPr>
        <w:t>3</w:t>
      </w:r>
      <w:r w:rsidRPr="0041550F">
        <w:rPr>
          <w:rFonts w:ascii="Times New Roman" w:eastAsia="Times New Roman" w:hAnsi="Times New Roman" w:cs="Times New Roman"/>
          <w:sz w:val="24"/>
          <w:szCs w:val="24"/>
        </w:rPr>
        <w:t>School of Psychology, Arden University, Coventry, UK.</w:t>
      </w:r>
    </w:p>
    <w:p w14:paraId="00000009" w14:textId="77777777" w:rsidR="00CB2059" w:rsidRPr="0041550F" w:rsidRDefault="00C3572E">
      <w:pPr>
        <w:spacing w:line="360" w:lineRule="auto"/>
        <w:jc w:val="center"/>
        <w:rPr>
          <w:rFonts w:ascii="Times New Roman" w:eastAsia="Times New Roman" w:hAnsi="Times New Roman" w:cs="Times New Roman"/>
          <w:sz w:val="24"/>
          <w:szCs w:val="24"/>
          <w:vertAlign w:val="superscript"/>
        </w:rPr>
      </w:pPr>
      <w:r w:rsidRPr="0041550F">
        <w:rPr>
          <w:rFonts w:ascii="Times New Roman" w:eastAsia="Times New Roman" w:hAnsi="Times New Roman" w:cs="Times New Roman"/>
          <w:sz w:val="24"/>
          <w:szCs w:val="24"/>
          <w:vertAlign w:val="superscript"/>
        </w:rPr>
        <w:t>4</w:t>
      </w:r>
      <w:r w:rsidRPr="0041550F">
        <w:rPr>
          <w:rFonts w:ascii="Times New Roman" w:eastAsia="Times New Roman" w:hAnsi="Times New Roman" w:cs="Times New Roman"/>
          <w:sz w:val="24"/>
          <w:szCs w:val="24"/>
        </w:rPr>
        <w:t xml:space="preserve">Department of Psychology, University of Sheffield, Sheffield, UK. </w:t>
      </w:r>
    </w:p>
    <w:p w14:paraId="0000000A" w14:textId="77777777" w:rsidR="00CB2059" w:rsidRPr="0041550F" w:rsidRDefault="00CB2059">
      <w:pPr>
        <w:spacing w:line="360" w:lineRule="auto"/>
        <w:jc w:val="center"/>
        <w:rPr>
          <w:rFonts w:ascii="Times New Roman" w:eastAsia="Times New Roman" w:hAnsi="Times New Roman" w:cs="Times New Roman"/>
          <w:sz w:val="24"/>
          <w:szCs w:val="24"/>
        </w:rPr>
      </w:pPr>
    </w:p>
    <w:p w14:paraId="0000000B" w14:textId="77777777" w:rsidR="00CB2059" w:rsidRPr="0041550F" w:rsidRDefault="00C3572E">
      <w:pPr>
        <w:spacing w:line="360" w:lineRule="auto"/>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*Corresponding Author:</w:t>
      </w:r>
      <w:r w:rsidRPr="0041550F">
        <w:rPr>
          <w:rFonts w:ascii="Times New Roman" w:eastAsia="Times New Roman" w:hAnsi="Times New Roman" w:cs="Times New Roman"/>
          <w:sz w:val="24"/>
          <w:szCs w:val="24"/>
        </w:rPr>
        <w:t xml:space="preserve"> Dr Charlotte R. Pennington, School of Psychology, College of Health &amp; Life Sciences, Aston University, Birmingham, UK. E-mail: </w:t>
      </w:r>
      <w:hyperlink r:id="rId9">
        <w:r w:rsidRPr="0041550F">
          <w:rPr>
            <w:rFonts w:ascii="Times New Roman" w:eastAsia="Times New Roman" w:hAnsi="Times New Roman" w:cs="Times New Roman"/>
            <w:color w:val="1155CC"/>
            <w:sz w:val="24"/>
            <w:szCs w:val="24"/>
            <w:u w:val="single"/>
          </w:rPr>
          <w:t>c.pennington@aston.ac.uk</w:t>
        </w:r>
      </w:hyperlink>
      <w:r w:rsidRPr="0041550F">
        <w:rPr>
          <w:rFonts w:ascii="Times New Roman" w:eastAsia="Times New Roman" w:hAnsi="Times New Roman" w:cs="Times New Roman"/>
          <w:sz w:val="24"/>
          <w:szCs w:val="24"/>
        </w:rPr>
        <w:t xml:space="preserve"> </w:t>
      </w:r>
    </w:p>
    <w:p w14:paraId="0000000C" w14:textId="77777777" w:rsidR="00CB2059" w:rsidRPr="0041550F" w:rsidRDefault="00C3572E">
      <w:pPr>
        <w:spacing w:line="480" w:lineRule="auto"/>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Funding:</w:t>
      </w:r>
      <w:r w:rsidRPr="0041550F">
        <w:rPr>
          <w:rFonts w:ascii="Times New Roman" w:eastAsia="Times New Roman" w:hAnsi="Times New Roman" w:cs="Times New Roman"/>
          <w:sz w:val="24"/>
          <w:szCs w:val="24"/>
        </w:rPr>
        <w:t xml:space="preserve"> None.</w:t>
      </w:r>
      <w:r w:rsidRPr="0041550F">
        <w:rPr>
          <w:rFonts w:ascii="Times New Roman" w:eastAsia="Times New Roman" w:hAnsi="Times New Roman" w:cs="Times New Roman"/>
          <w:sz w:val="24"/>
          <w:szCs w:val="24"/>
        </w:rPr>
        <w:br/>
      </w:r>
      <w:r w:rsidRPr="0041550F">
        <w:rPr>
          <w:rFonts w:ascii="Times New Roman" w:eastAsia="Times New Roman" w:hAnsi="Times New Roman" w:cs="Times New Roman"/>
          <w:b/>
          <w:sz w:val="24"/>
          <w:szCs w:val="24"/>
        </w:rPr>
        <w:t>Conflict of Interest:</w:t>
      </w:r>
      <w:r w:rsidRPr="0041550F">
        <w:rPr>
          <w:rFonts w:ascii="Times New Roman" w:eastAsia="Times New Roman" w:hAnsi="Times New Roman" w:cs="Times New Roman"/>
          <w:sz w:val="24"/>
          <w:szCs w:val="24"/>
        </w:rPr>
        <w:t xml:space="preserve"> None to declare.</w:t>
      </w:r>
    </w:p>
    <w:p w14:paraId="0000000D" w14:textId="77777777" w:rsidR="00CB2059" w:rsidRPr="0041550F" w:rsidRDefault="00C3572E">
      <w:pPr>
        <w:spacing w:line="360" w:lineRule="auto"/>
        <w:jc w:val="center"/>
        <w:rPr>
          <w:rFonts w:ascii="Times New Roman" w:eastAsia="Times New Roman" w:hAnsi="Times New Roman" w:cs="Times New Roman"/>
          <w:i/>
          <w:sz w:val="24"/>
          <w:szCs w:val="24"/>
        </w:rPr>
      </w:pPr>
      <w:r w:rsidRPr="0041550F">
        <w:rPr>
          <w:rFonts w:ascii="Times New Roman" w:eastAsia="Times New Roman" w:hAnsi="Times New Roman" w:cs="Times New Roman"/>
          <w:b/>
          <w:sz w:val="24"/>
          <w:szCs w:val="24"/>
        </w:rPr>
        <w:t>Journal:</w:t>
      </w:r>
      <w:r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i/>
          <w:sz w:val="24"/>
          <w:szCs w:val="24"/>
        </w:rPr>
        <w:t>Addiction</w:t>
      </w:r>
    </w:p>
    <w:p w14:paraId="0000000E" w14:textId="77777777" w:rsidR="00CB2059" w:rsidRPr="0041550F" w:rsidRDefault="00C3572E">
      <w:pPr>
        <w:spacing w:line="360" w:lineRule="auto"/>
        <w:jc w:val="center"/>
        <w:rPr>
          <w:rFonts w:ascii="Times New Roman" w:eastAsia="Times New Roman" w:hAnsi="Times New Roman" w:cs="Times New Roman"/>
          <w:i/>
          <w:sz w:val="24"/>
          <w:szCs w:val="24"/>
        </w:rPr>
      </w:pPr>
      <w:r w:rsidRPr="0041550F">
        <w:rPr>
          <w:rFonts w:ascii="Times New Roman" w:eastAsia="Times New Roman" w:hAnsi="Times New Roman" w:cs="Times New Roman"/>
          <w:b/>
          <w:sz w:val="24"/>
          <w:szCs w:val="24"/>
        </w:rPr>
        <w:t>Article Type:</w:t>
      </w:r>
      <w:r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i/>
          <w:sz w:val="24"/>
          <w:szCs w:val="24"/>
        </w:rPr>
        <w:t>Methods &amp; Techniques</w:t>
      </w:r>
    </w:p>
    <w:p w14:paraId="0000000F" w14:textId="4C7EDCA3"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Abstract</w:t>
      </w:r>
      <w:r w:rsidRPr="0041550F">
        <w:rPr>
          <w:rFonts w:ascii="Times New Roman" w:eastAsia="Times New Roman" w:hAnsi="Times New Roman" w:cs="Times New Roman"/>
          <w:sz w:val="24"/>
          <w:szCs w:val="24"/>
        </w:rPr>
        <w:t>: 2</w:t>
      </w:r>
      <w:r w:rsidR="00926CD4" w:rsidRPr="0041550F">
        <w:rPr>
          <w:rFonts w:ascii="Times New Roman" w:eastAsia="Times New Roman" w:hAnsi="Times New Roman" w:cs="Times New Roman"/>
          <w:sz w:val="24"/>
          <w:szCs w:val="24"/>
        </w:rPr>
        <w:t>4</w:t>
      </w:r>
      <w:r w:rsidR="0040311B" w:rsidRPr="0041550F">
        <w:rPr>
          <w:rFonts w:ascii="Times New Roman" w:eastAsia="Times New Roman" w:hAnsi="Times New Roman" w:cs="Times New Roman"/>
          <w:sz w:val="24"/>
          <w:szCs w:val="24"/>
        </w:rPr>
        <w:t>9</w:t>
      </w:r>
      <w:r w:rsidRPr="0041550F">
        <w:rPr>
          <w:rFonts w:ascii="Times New Roman" w:eastAsia="Times New Roman" w:hAnsi="Times New Roman" w:cs="Times New Roman"/>
          <w:sz w:val="24"/>
          <w:szCs w:val="24"/>
        </w:rPr>
        <w:t xml:space="preserve"> words</w:t>
      </w:r>
    </w:p>
    <w:p w14:paraId="00000010" w14:textId="76CA235D" w:rsidR="00CB2059" w:rsidRPr="0041550F" w:rsidRDefault="00C3572E">
      <w:pPr>
        <w:spacing w:line="480" w:lineRule="auto"/>
        <w:jc w:val="center"/>
        <w:rPr>
          <w:rFonts w:ascii="Times New Roman" w:eastAsia="Times New Roman" w:hAnsi="Times New Roman" w:cs="Times New Roman"/>
          <w:sz w:val="24"/>
          <w:szCs w:val="24"/>
        </w:rPr>
      </w:pPr>
      <w:bookmarkStart w:id="0" w:name="_heading=h.gjdgxs" w:colFirst="0" w:colLast="0"/>
      <w:bookmarkEnd w:id="0"/>
      <w:r w:rsidRPr="0041550F">
        <w:rPr>
          <w:rFonts w:ascii="Times New Roman" w:eastAsia="Times New Roman" w:hAnsi="Times New Roman" w:cs="Times New Roman"/>
          <w:b/>
          <w:sz w:val="24"/>
          <w:szCs w:val="24"/>
        </w:rPr>
        <w:t>Article:</w:t>
      </w:r>
      <w:r w:rsidRPr="0041550F">
        <w:rPr>
          <w:rFonts w:ascii="Times New Roman" w:eastAsia="Times New Roman" w:hAnsi="Times New Roman" w:cs="Times New Roman"/>
          <w:sz w:val="24"/>
          <w:szCs w:val="24"/>
        </w:rPr>
        <w:t xml:space="preserve"> 3</w:t>
      </w:r>
      <w:r w:rsidR="00584EF4" w:rsidRPr="0041550F">
        <w:rPr>
          <w:rFonts w:ascii="Times New Roman" w:eastAsia="Times New Roman" w:hAnsi="Times New Roman" w:cs="Times New Roman"/>
          <w:sz w:val="24"/>
          <w:szCs w:val="24"/>
        </w:rPr>
        <w:t>210</w:t>
      </w:r>
      <w:r w:rsidRPr="0041550F">
        <w:rPr>
          <w:rFonts w:ascii="Times New Roman" w:eastAsia="Times New Roman" w:hAnsi="Times New Roman" w:cs="Times New Roman"/>
          <w:sz w:val="24"/>
          <w:szCs w:val="24"/>
        </w:rPr>
        <w:t xml:space="preserve"> words</w:t>
      </w:r>
    </w:p>
    <w:p w14:paraId="00000011" w14:textId="7FB97008" w:rsidR="00CB2059" w:rsidRPr="0041550F" w:rsidRDefault="00C3572E">
      <w:pPr>
        <w:spacing w:line="480" w:lineRule="auto"/>
        <w:jc w:val="center"/>
        <w:rPr>
          <w:rFonts w:ascii="Times New Roman" w:eastAsia="Times New Roman" w:hAnsi="Times New Roman" w:cs="Times New Roman"/>
          <w:sz w:val="24"/>
          <w:szCs w:val="24"/>
          <w:u w:val="single"/>
        </w:rPr>
      </w:pPr>
      <w:r w:rsidRPr="0041550F">
        <w:rPr>
          <w:rFonts w:ascii="Times New Roman" w:eastAsia="Times New Roman" w:hAnsi="Times New Roman" w:cs="Times New Roman"/>
          <w:b/>
          <w:sz w:val="24"/>
          <w:szCs w:val="24"/>
        </w:rPr>
        <w:t xml:space="preserve">Supporting Information: </w:t>
      </w:r>
      <w:r w:rsidRPr="0041550F">
        <w:rPr>
          <w:rFonts w:ascii="Times New Roman" w:eastAsia="Times New Roman" w:hAnsi="Times New Roman" w:cs="Times New Roman"/>
          <w:sz w:val="24"/>
          <w:szCs w:val="24"/>
        </w:rPr>
        <w:t xml:space="preserve">All materials associated with this manuscript are </w:t>
      </w:r>
      <w:r w:rsidR="00823CC4" w:rsidRPr="0041550F">
        <w:rPr>
          <w:rFonts w:ascii="Times New Roman" w:eastAsia="Times New Roman" w:hAnsi="Times New Roman" w:cs="Times New Roman"/>
          <w:sz w:val="24"/>
          <w:szCs w:val="24"/>
        </w:rPr>
        <w:t xml:space="preserve">publicly </w:t>
      </w:r>
      <w:r w:rsidRPr="0041550F">
        <w:rPr>
          <w:rFonts w:ascii="Times New Roman" w:eastAsia="Times New Roman" w:hAnsi="Times New Roman" w:cs="Times New Roman"/>
          <w:sz w:val="24"/>
          <w:szCs w:val="24"/>
        </w:rPr>
        <w:t xml:space="preserve">available on the Open Science Framework: </w:t>
      </w:r>
      <w:hyperlink r:id="rId10">
        <w:r w:rsidRPr="0041550F">
          <w:rPr>
            <w:rFonts w:ascii="Times New Roman" w:eastAsia="Times New Roman" w:hAnsi="Times New Roman" w:cs="Times New Roman"/>
            <w:color w:val="0000FF"/>
            <w:sz w:val="24"/>
            <w:szCs w:val="24"/>
            <w:u w:val="single"/>
          </w:rPr>
          <w:t>https://osf.io/x7gcq/</w:t>
        </w:r>
      </w:hyperlink>
    </w:p>
    <w:p w14:paraId="1D30C166" w14:textId="77777777" w:rsidR="00A45D50" w:rsidRPr="0041550F" w:rsidRDefault="00A45D50" w:rsidP="00031805">
      <w:pPr>
        <w:rPr>
          <w:rFonts w:ascii="Times New Roman" w:eastAsia="Times New Roman" w:hAnsi="Times New Roman" w:cs="Times New Roman"/>
          <w:b/>
          <w:sz w:val="24"/>
          <w:szCs w:val="24"/>
        </w:rPr>
      </w:pPr>
    </w:p>
    <w:p w14:paraId="7C2C8E4D" w14:textId="77777777" w:rsidR="00031805" w:rsidRPr="0041550F" w:rsidRDefault="00031805">
      <w:pPr>
        <w:jc w:val="center"/>
        <w:rPr>
          <w:rFonts w:ascii="Times New Roman" w:eastAsia="Times New Roman" w:hAnsi="Times New Roman" w:cs="Times New Roman"/>
          <w:b/>
          <w:sz w:val="24"/>
          <w:szCs w:val="24"/>
        </w:rPr>
      </w:pPr>
    </w:p>
    <w:p w14:paraId="00000013" w14:textId="2A40F39B" w:rsidR="00CB2059" w:rsidRPr="0041550F" w:rsidRDefault="00C3572E">
      <w:pPr>
        <w:jc w:val="center"/>
        <w:rPr>
          <w:rFonts w:ascii="Times New Roman" w:eastAsia="Times New Roman" w:hAnsi="Times New Roman" w:cs="Times New Roman"/>
          <w:b/>
          <w:sz w:val="24"/>
          <w:szCs w:val="24"/>
        </w:rPr>
      </w:pPr>
      <w:proofErr w:type="spellStart"/>
      <w:r w:rsidRPr="0041550F">
        <w:rPr>
          <w:rFonts w:ascii="Times New Roman" w:eastAsia="Times New Roman" w:hAnsi="Times New Roman" w:cs="Times New Roman"/>
          <w:b/>
          <w:sz w:val="24"/>
          <w:szCs w:val="24"/>
        </w:rPr>
        <w:lastRenderedPageBreak/>
        <w:t>CRediT</w:t>
      </w:r>
      <w:proofErr w:type="spellEnd"/>
      <w:r w:rsidRPr="0041550F">
        <w:rPr>
          <w:rFonts w:ascii="Times New Roman" w:eastAsia="Times New Roman" w:hAnsi="Times New Roman" w:cs="Times New Roman"/>
          <w:b/>
          <w:sz w:val="24"/>
          <w:szCs w:val="24"/>
        </w:rPr>
        <w:t xml:space="preserve"> Contribution</w:t>
      </w:r>
    </w:p>
    <w:p w14:paraId="00000014" w14:textId="77777777" w:rsidR="00CB2059" w:rsidRPr="0041550F" w:rsidRDefault="00CB2059">
      <w:pPr>
        <w:jc w:val="center"/>
        <w:rPr>
          <w:rFonts w:ascii="Times New Roman" w:eastAsia="Times New Roman" w:hAnsi="Times New Roman" w:cs="Times New Roman"/>
          <w:b/>
          <w:sz w:val="24"/>
          <w:szCs w:val="24"/>
        </w:rPr>
      </w:pPr>
    </w:p>
    <w:p w14:paraId="00000015" w14:textId="77777777" w:rsidR="00CB2059" w:rsidRPr="0041550F" w:rsidRDefault="00C3572E">
      <w:pPr>
        <w:spacing w:line="480" w:lineRule="auto"/>
        <w:jc w:val="both"/>
        <w:rPr>
          <w:rFonts w:ascii="Times New Roman" w:eastAsia="Times New Roman" w:hAnsi="Times New Roman" w:cs="Times New Roman"/>
          <w:b/>
          <w:sz w:val="24"/>
          <w:szCs w:val="24"/>
        </w:rPr>
      </w:pPr>
      <w:r w:rsidRPr="0041550F">
        <w:rPr>
          <w:rFonts w:ascii="Times New Roman" w:eastAsia="Times New Roman" w:hAnsi="Times New Roman" w:cs="Times New Roman"/>
          <w:i/>
          <w:sz w:val="24"/>
          <w:szCs w:val="24"/>
        </w:rPr>
        <w:t>Conceptualization: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Methodology:</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Validation: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Formal Analysis:</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Investigation: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 JEB, AC;</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Data Curation: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 xml:space="preserve">Writing – Original Draft: </w:t>
      </w:r>
      <w:r w:rsidRPr="0041550F">
        <w:rPr>
          <w:rFonts w:ascii="Times New Roman" w:eastAsia="Times New Roman" w:hAnsi="Times New Roman" w:cs="Times New Roman"/>
          <w:sz w:val="24"/>
          <w:szCs w:val="24"/>
        </w:rPr>
        <w:t xml:space="preserve">CRP, AJ, JEB, AC; </w:t>
      </w:r>
      <w:r w:rsidRPr="0041550F">
        <w:rPr>
          <w:rFonts w:ascii="Times New Roman" w:eastAsia="Times New Roman" w:hAnsi="Times New Roman" w:cs="Times New Roman"/>
          <w:i/>
          <w:sz w:val="24"/>
          <w:szCs w:val="24"/>
        </w:rPr>
        <w:t>Writing – Review &amp; Editing Preparation: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 DJS, AJ, JEB, AC;</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Supervision: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i/>
          <w:sz w:val="24"/>
          <w:szCs w:val="24"/>
        </w:rPr>
        <w:t>Project Administration:</w:t>
      </w:r>
      <w:r w:rsidRPr="0041550F">
        <w:rPr>
          <w:rFonts w:ascii="Times New Roman" w:eastAsia="Times New Roman" w:hAnsi="Times New Roman" w:cs="Times New Roman"/>
          <w:b/>
          <w:sz w:val="24"/>
          <w:szCs w:val="24"/>
        </w:rPr>
        <w:t xml:space="preserve"> </w:t>
      </w:r>
      <w:r w:rsidRPr="0041550F">
        <w:rPr>
          <w:rFonts w:ascii="Times New Roman" w:eastAsia="Times New Roman" w:hAnsi="Times New Roman" w:cs="Times New Roman"/>
          <w:sz w:val="24"/>
          <w:szCs w:val="24"/>
        </w:rPr>
        <w:t>CRP.</w:t>
      </w:r>
      <w:r w:rsidRPr="0041550F">
        <w:rPr>
          <w:rFonts w:ascii="Times New Roman" w:eastAsia="Times New Roman" w:hAnsi="Times New Roman" w:cs="Times New Roman"/>
          <w:b/>
          <w:sz w:val="24"/>
          <w:szCs w:val="24"/>
        </w:rPr>
        <w:t xml:space="preserve"> </w:t>
      </w:r>
    </w:p>
    <w:p w14:paraId="00000016" w14:textId="77777777" w:rsidR="00CB2059" w:rsidRPr="0041550F" w:rsidRDefault="00CB2059">
      <w:pPr>
        <w:jc w:val="center"/>
        <w:rPr>
          <w:rFonts w:ascii="Times New Roman" w:eastAsia="Times New Roman" w:hAnsi="Times New Roman" w:cs="Times New Roman"/>
          <w:b/>
          <w:sz w:val="24"/>
          <w:szCs w:val="24"/>
        </w:rPr>
      </w:pPr>
    </w:p>
    <w:p w14:paraId="00000017" w14:textId="77777777" w:rsidR="00CB2059" w:rsidRPr="0041550F" w:rsidRDefault="00C3572E">
      <w:pPr>
        <w:jc w:val="center"/>
        <w:rPr>
          <w:rFonts w:ascii="Times New Roman" w:eastAsia="Times New Roman" w:hAnsi="Times New Roman" w:cs="Times New Roman"/>
          <w:b/>
          <w:sz w:val="24"/>
          <w:szCs w:val="24"/>
        </w:rPr>
      </w:pPr>
      <w:r w:rsidRPr="0041550F">
        <w:br w:type="page"/>
      </w:r>
    </w:p>
    <w:p w14:paraId="00000018" w14:textId="77777777" w:rsidR="00CB2059" w:rsidRPr="0041550F" w:rsidRDefault="00C3572E">
      <w:pPr>
        <w:spacing w:after="200" w:line="257" w:lineRule="auto"/>
        <w:jc w:val="center"/>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lastRenderedPageBreak/>
        <w:t>Abstract</w:t>
      </w:r>
    </w:p>
    <w:p w14:paraId="00000019" w14:textId="56AF334D" w:rsidR="00CB2059" w:rsidRPr="0041550F" w:rsidRDefault="00C3572E" w:rsidP="004039B3">
      <w:pPr>
        <w:spacing w:line="480" w:lineRule="auto"/>
        <w:jc w:val="both"/>
        <w:rPr>
          <w:rFonts w:ascii="Times New Roman" w:eastAsia="Times New Roman" w:hAnsi="Times New Roman" w:cs="Times New Roman"/>
          <w:sz w:val="24"/>
          <w:szCs w:val="24"/>
        </w:rPr>
      </w:pPr>
      <w:bookmarkStart w:id="1" w:name="_heading=h.j7tk97hwlqe1" w:colFirst="0" w:colLast="0"/>
      <w:bookmarkEnd w:id="1"/>
      <w:r w:rsidRPr="0041550F">
        <w:rPr>
          <w:rFonts w:ascii="Times New Roman" w:eastAsia="Times New Roman" w:hAnsi="Times New Roman" w:cs="Times New Roman"/>
          <w:b/>
          <w:color w:val="000000"/>
          <w:sz w:val="24"/>
          <w:szCs w:val="24"/>
        </w:rPr>
        <w:t>Background</w:t>
      </w:r>
      <w:r w:rsidR="00E57EF5" w:rsidRPr="0041550F">
        <w:rPr>
          <w:rFonts w:ascii="Times New Roman" w:eastAsia="Times New Roman" w:hAnsi="Times New Roman" w:cs="Times New Roman"/>
          <w:b/>
          <w:color w:val="000000"/>
          <w:sz w:val="24"/>
          <w:szCs w:val="24"/>
        </w:rPr>
        <w:t xml:space="preserve"> &amp; Aims</w:t>
      </w:r>
      <w:r w:rsidRPr="0041550F">
        <w:rPr>
          <w:rFonts w:ascii="Times New Roman" w:eastAsia="Times New Roman" w:hAnsi="Times New Roman" w:cs="Times New Roman"/>
          <w:b/>
          <w:color w:val="000000"/>
          <w:sz w:val="24"/>
          <w:szCs w:val="24"/>
        </w:rPr>
        <w:t xml:space="preserve">: </w:t>
      </w:r>
      <w:r w:rsidRPr="0041550F">
        <w:rPr>
          <w:rFonts w:ascii="Times New Roman" w:eastAsia="Times New Roman" w:hAnsi="Times New Roman" w:cs="Times New Roman"/>
          <w:color w:val="000000"/>
          <w:sz w:val="24"/>
          <w:szCs w:val="24"/>
        </w:rPr>
        <w:t xml:space="preserve">A range of experimental </w:t>
      </w:r>
      <w:r w:rsidR="00462672" w:rsidRPr="0041550F">
        <w:rPr>
          <w:rFonts w:ascii="Times New Roman" w:eastAsia="Times New Roman" w:hAnsi="Times New Roman" w:cs="Times New Roman"/>
          <w:color w:val="000000"/>
          <w:sz w:val="24"/>
          <w:szCs w:val="24"/>
        </w:rPr>
        <w:t>paradigms</w:t>
      </w:r>
      <w:r w:rsidR="00CF604F" w:rsidRPr="0041550F">
        <w:rPr>
          <w:rFonts w:ascii="Times New Roman" w:eastAsia="Times New Roman" w:hAnsi="Times New Roman" w:cs="Times New Roman"/>
          <w:color w:val="000000"/>
          <w:sz w:val="24"/>
          <w:szCs w:val="24"/>
        </w:rPr>
        <w:t xml:space="preserve"> </w:t>
      </w:r>
      <w:r w:rsidRPr="0041550F">
        <w:rPr>
          <w:rFonts w:ascii="Times New Roman" w:eastAsia="Times New Roman" w:hAnsi="Times New Roman" w:cs="Times New Roman"/>
          <w:color w:val="000000"/>
          <w:sz w:val="24"/>
          <w:szCs w:val="24"/>
        </w:rPr>
        <w:t>claim to measure the cognitive</w:t>
      </w:r>
      <w:r w:rsidR="00EA24B7" w:rsidRPr="0041550F">
        <w:rPr>
          <w:rFonts w:ascii="Times New Roman" w:eastAsia="Times New Roman" w:hAnsi="Times New Roman" w:cs="Times New Roman"/>
          <w:color w:val="000000"/>
          <w:sz w:val="24"/>
          <w:szCs w:val="24"/>
        </w:rPr>
        <w:t xml:space="preserve"> </w:t>
      </w:r>
      <w:r w:rsidR="00EF1215" w:rsidRPr="0041550F">
        <w:rPr>
          <w:rFonts w:ascii="Times New Roman" w:eastAsia="Times New Roman" w:hAnsi="Times New Roman" w:cs="Times New Roman"/>
          <w:color w:val="000000"/>
          <w:sz w:val="24"/>
          <w:szCs w:val="24"/>
        </w:rPr>
        <w:t xml:space="preserve">processes </w:t>
      </w:r>
      <w:r w:rsidRPr="0041550F">
        <w:rPr>
          <w:rFonts w:ascii="Times New Roman" w:eastAsia="Times New Roman" w:hAnsi="Times New Roman" w:cs="Times New Roman"/>
          <w:color w:val="000000"/>
          <w:sz w:val="24"/>
          <w:szCs w:val="24"/>
        </w:rPr>
        <w:t>underpinning alcohol use</w:t>
      </w:r>
      <w:r w:rsidR="00C7757B" w:rsidRPr="0041550F">
        <w:rPr>
          <w:rFonts w:ascii="Times New Roman" w:eastAsia="Times New Roman" w:hAnsi="Times New Roman" w:cs="Times New Roman"/>
          <w:color w:val="000000"/>
          <w:sz w:val="24"/>
          <w:szCs w:val="24"/>
        </w:rPr>
        <w:t>,</w:t>
      </w:r>
      <w:r w:rsidR="00CF604F" w:rsidRPr="0041550F">
        <w:rPr>
          <w:rFonts w:ascii="Times New Roman" w:eastAsia="Times New Roman" w:hAnsi="Times New Roman" w:cs="Times New Roman"/>
          <w:color w:val="000000"/>
          <w:sz w:val="24"/>
          <w:szCs w:val="24"/>
        </w:rPr>
        <w:t xml:space="preserve"> </w:t>
      </w:r>
      <w:r w:rsidR="00C7757B" w:rsidRPr="0041550F">
        <w:rPr>
          <w:rFonts w:ascii="Times New Roman" w:eastAsia="Times New Roman" w:hAnsi="Times New Roman" w:cs="Times New Roman"/>
          <w:color w:val="000000"/>
          <w:sz w:val="24"/>
          <w:szCs w:val="24"/>
        </w:rPr>
        <w:t xml:space="preserve">suggesting </w:t>
      </w:r>
      <w:r w:rsidR="00CF604F" w:rsidRPr="0041550F">
        <w:rPr>
          <w:rFonts w:ascii="Times New Roman" w:eastAsia="Times New Roman" w:hAnsi="Times New Roman" w:cs="Times New Roman"/>
          <w:color w:val="000000"/>
          <w:sz w:val="24"/>
          <w:szCs w:val="24"/>
        </w:rPr>
        <w:t xml:space="preserve">that heightened </w:t>
      </w:r>
      <w:r w:rsidR="00CF604F" w:rsidRPr="0041550F">
        <w:rPr>
          <w:rFonts w:ascii="Times New Roman" w:eastAsia="Times New Roman" w:hAnsi="Times New Roman" w:cs="Times New Roman"/>
          <w:sz w:val="24"/>
          <w:szCs w:val="24"/>
        </w:rPr>
        <w:t>attentional bias, greater approach tendencies and reduced cue-specific inhibitory control are important drivers of consumption.</w:t>
      </w:r>
      <w:r w:rsidR="00F5517E" w:rsidRPr="0041550F">
        <w:rPr>
          <w:rFonts w:ascii="Times New Roman" w:eastAsia="Times New Roman" w:hAnsi="Times New Roman" w:cs="Times New Roman"/>
          <w:sz w:val="24"/>
          <w:szCs w:val="24"/>
        </w:rPr>
        <w:t xml:space="preserve"> </w:t>
      </w:r>
      <w:r w:rsidR="00C7757B" w:rsidRPr="0041550F">
        <w:rPr>
          <w:rFonts w:ascii="Times New Roman" w:eastAsia="Times New Roman" w:hAnsi="Times New Roman" w:cs="Times New Roman"/>
          <w:sz w:val="24"/>
          <w:szCs w:val="24"/>
        </w:rPr>
        <w:t>T</w:t>
      </w:r>
      <w:r w:rsidR="00F5517E" w:rsidRPr="0041550F">
        <w:rPr>
          <w:rFonts w:ascii="Times New Roman" w:eastAsia="Times New Roman" w:hAnsi="Times New Roman" w:cs="Times New Roman"/>
          <w:sz w:val="24"/>
          <w:szCs w:val="24"/>
        </w:rPr>
        <w:t xml:space="preserve">his </w:t>
      </w:r>
      <w:r w:rsidR="00BE18AE" w:rsidRPr="0041550F">
        <w:rPr>
          <w:rFonts w:ascii="Times New Roman" w:eastAsia="Times New Roman" w:hAnsi="Times New Roman" w:cs="Times New Roman"/>
          <w:sz w:val="24"/>
          <w:szCs w:val="24"/>
        </w:rPr>
        <w:t xml:space="preserve">paper </w:t>
      </w:r>
      <w:r w:rsidR="00F5517E" w:rsidRPr="0041550F">
        <w:rPr>
          <w:rFonts w:ascii="Times New Roman" w:eastAsia="Times New Roman" w:hAnsi="Times New Roman" w:cs="Times New Roman"/>
          <w:sz w:val="24"/>
          <w:szCs w:val="24"/>
        </w:rPr>
        <w:t>identif</w:t>
      </w:r>
      <w:r w:rsidR="00C7757B" w:rsidRPr="0041550F">
        <w:rPr>
          <w:rFonts w:ascii="Times New Roman" w:eastAsia="Times New Roman" w:hAnsi="Times New Roman" w:cs="Times New Roman"/>
          <w:sz w:val="24"/>
          <w:szCs w:val="24"/>
        </w:rPr>
        <w:t>ies</w:t>
      </w:r>
      <w:r w:rsidR="00F5517E" w:rsidRPr="0041550F">
        <w:rPr>
          <w:rFonts w:ascii="Times New Roman" w:eastAsia="Times New Roman" w:hAnsi="Times New Roman" w:cs="Times New Roman"/>
          <w:sz w:val="24"/>
          <w:szCs w:val="24"/>
        </w:rPr>
        <w:t xml:space="preserve"> substantial methodological shortcomings </w:t>
      </w:r>
      <w:r w:rsidR="00884075" w:rsidRPr="0041550F">
        <w:rPr>
          <w:rFonts w:ascii="Times New Roman" w:eastAsia="Times New Roman" w:hAnsi="Times New Roman" w:cs="Times New Roman"/>
          <w:sz w:val="24"/>
          <w:szCs w:val="24"/>
        </w:rPr>
        <w:t xml:space="preserve">within </w:t>
      </w:r>
      <w:r w:rsidR="004A7808" w:rsidRPr="0041550F">
        <w:rPr>
          <w:rFonts w:ascii="Times New Roman" w:eastAsia="Times New Roman" w:hAnsi="Times New Roman" w:cs="Times New Roman"/>
          <w:sz w:val="24"/>
          <w:szCs w:val="24"/>
        </w:rPr>
        <w:t xml:space="preserve">this broad </w:t>
      </w:r>
      <w:r w:rsidR="00BE18AE" w:rsidRPr="0041550F">
        <w:rPr>
          <w:rFonts w:ascii="Times New Roman" w:eastAsia="Times New Roman" w:hAnsi="Times New Roman" w:cs="Times New Roman"/>
          <w:sz w:val="24"/>
          <w:szCs w:val="24"/>
        </w:rPr>
        <w:t xml:space="preserve">domain </w:t>
      </w:r>
      <w:r w:rsidR="004A7808" w:rsidRPr="0041550F">
        <w:rPr>
          <w:rFonts w:ascii="Times New Roman" w:eastAsia="Times New Roman" w:hAnsi="Times New Roman" w:cs="Times New Roman"/>
          <w:sz w:val="24"/>
          <w:szCs w:val="24"/>
        </w:rPr>
        <w:t xml:space="preserve">of </w:t>
      </w:r>
      <w:r w:rsidR="0044062E" w:rsidRPr="0041550F">
        <w:rPr>
          <w:rFonts w:ascii="Times New Roman" w:eastAsia="Times New Roman" w:hAnsi="Times New Roman" w:cs="Times New Roman"/>
          <w:sz w:val="24"/>
          <w:szCs w:val="24"/>
        </w:rPr>
        <w:t xml:space="preserve">research, </w:t>
      </w:r>
      <w:r w:rsidR="00C7757B" w:rsidRPr="0041550F">
        <w:rPr>
          <w:rFonts w:ascii="Times New Roman" w:eastAsia="Times New Roman" w:hAnsi="Times New Roman" w:cs="Times New Roman"/>
          <w:sz w:val="24"/>
          <w:szCs w:val="24"/>
        </w:rPr>
        <w:t xml:space="preserve">however, and </w:t>
      </w:r>
      <w:r w:rsidR="0044062E" w:rsidRPr="0041550F">
        <w:rPr>
          <w:rFonts w:ascii="Times New Roman" w:eastAsia="Times New Roman" w:hAnsi="Times New Roman" w:cs="Times New Roman"/>
          <w:sz w:val="24"/>
          <w:szCs w:val="24"/>
        </w:rPr>
        <w:t>exemplif</w:t>
      </w:r>
      <w:r w:rsidR="00C7757B" w:rsidRPr="0041550F">
        <w:rPr>
          <w:rFonts w:ascii="Times New Roman" w:eastAsia="Times New Roman" w:hAnsi="Times New Roman" w:cs="Times New Roman"/>
          <w:sz w:val="24"/>
          <w:szCs w:val="24"/>
        </w:rPr>
        <w:t>ies</w:t>
      </w:r>
      <w:r w:rsidR="0044062E" w:rsidRPr="0041550F">
        <w:rPr>
          <w:rFonts w:ascii="Times New Roman" w:eastAsia="Times New Roman" w:hAnsi="Times New Roman" w:cs="Times New Roman"/>
          <w:sz w:val="24"/>
          <w:szCs w:val="24"/>
        </w:rPr>
        <w:t xml:space="preserve"> </w:t>
      </w:r>
      <w:r w:rsidR="00BE18AE" w:rsidRPr="0041550F">
        <w:rPr>
          <w:rFonts w:ascii="Times New Roman" w:eastAsia="Times New Roman" w:hAnsi="Times New Roman" w:cs="Times New Roman"/>
          <w:sz w:val="24"/>
          <w:szCs w:val="24"/>
        </w:rPr>
        <w:t xml:space="preserve">them in studies </w:t>
      </w:r>
      <w:r w:rsidR="00B07DAA" w:rsidRPr="0041550F">
        <w:rPr>
          <w:rFonts w:ascii="Times New Roman" w:eastAsia="Times New Roman" w:hAnsi="Times New Roman" w:cs="Times New Roman"/>
          <w:sz w:val="24"/>
          <w:szCs w:val="24"/>
        </w:rPr>
        <w:t xml:space="preserve">focused specifically </w:t>
      </w:r>
      <w:r w:rsidR="003B1FCA" w:rsidRPr="0041550F">
        <w:rPr>
          <w:rFonts w:ascii="Times New Roman" w:eastAsia="Times New Roman" w:hAnsi="Times New Roman" w:cs="Times New Roman"/>
          <w:sz w:val="24"/>
          <w:szCs w:val="24"/>
        </w:rPr>
        <w:t>on</w:t>
      </w:r>
      <w:r w:rsidR="002D5955" w:rsidRPr="0041550F">
        <w:rPr>
          <w:rFonts w:ascii="Times New Roman" w:eastAsia="Times New Roman" w:hAnsi="Times New Roman" w:cs="Times New Roman"/>
          <w:sz w:val="24"/>
          <w:szCs w:val="24"/>
        </w:rPr>
        <w:t xml:space="preserve"> </w:t>
      </w:r>
      <w:r w:rsidR="0044062E" w:rsidRPr="0041550F">
        <w:rPr>
          <w:rFonts w:ascii="Times New Roman" w:eastAsia="Times New Roman" w:hAnsi="Times New Roman" w:cs="Times New Roman"/>
          <w:sz w:val="24"/>
          <w:szCs w:val="24"/>
        </w:rPr>
        <w:t xml:space="preserve">alcohol-related attentional bias. </w:t>
      </w:r>
      <w:r w:rsidR="00CA57C1" w:rsidRPr="0041550F">
        <w:rPr>
          <w:rFonts w:ascii="Times New Roman" w:eastAsia="Times New Roman" w:hAnsi="Times New Roman" w:cs="Times New Roman"/>
          <w:b/>
          <w:bCs/>
          <w:color w:val="000000"/>
          <w:sz w:val="24"/>
          <w:szCs w:val="24"/>
        </w:rPr>
        <w:t xml:space="preserve">Argument/Analysis: </w:t>
      </w:r>
      <w:r w:rsidR="00FC18F1" w:rsidRPr="0041550F">
        <w:rPr>
          <w:rFonts w:ascii="Times New Roman" w:eastAsia="Times New Roman" w:hAnsi="Times New Roman" w:cs="Times New Roman"/>
          <w:color w:val="000000"/>
          <w:sz w:val="24"/>
          <w:szCs w:val="24"/>
        </w:rPr>
        <w:t>We highlight five main methodological issues: (</w:t>
      </w:r>
      <w:r w:rsidR="00174B2E" w:rsidRPr="0041550F">
        <w:rPr>
          <w:rFonts w:ascii="Times New Roman" w:eastAsia="Times New Roman" w:hAnsi="Times New Roman" w:cs="Times New Roman"/>
          <w:color w:val="000000"/>
          <w:sz w:val="24"/>
          <w:szCs w:val="24"/>
        </w:rPr>
        <w:t>i</w:t>
      </w:r>
      <w:r w:rsidR="00FC18F1" w:rsidRPr="0041550F">
        <w:rPr>
          <w:rFonts w:ascii="Times New Roman" w:eastAsia="Times New Roman" w:hAnsi="Times New Roman" w:cs="Times New Roman"/>
          <w:color w:val="000000"/>
          <w:sz w:val="24"/>
          <w:szCs w:val="24"/>
        </w:rPr>
        <w:t xml:space="preserve">) </w:t>
      </w:r>
      <w:r w:rsidR="008222D5" w:rsidRPr="0041550F">
        <w:rPr>
          <w:rFonts w:ascii="Times New Roman" w:eastAsia="Times New Roman" w:hAnsi="Times New Roman" w:cs="Times New Roman"/>
          <w:color w:val="000000"/>
          <w:sz w:val="24"/>
          <w:szCs w:val="24"/>
        </w:rPr>
        <w:t>t</w:t>
      </w:r>
      <w:r w:rsidR="00BE18AE" w:rsidRPr="0041550F">
        <w:rPr>
          <w:rFonts w:ascii="Times New Roman" w:eastAsia="Times New Roman" w:hAnsi="Times New Roman" w:cs="Times New Roman"/>
          <w:color w:val="000000"/>
          <w:sz w:val="24"/>
          <w:szCs w:val="24"/>
        </w:rPr>
        <w:t xml:space="preserve">he </w:t>
      </w:r>
      <w:r w:rsidR="00414239" w:rsidRPr="0041550F">
        <w:rPr>
          <w:rFonts w:ascii="Times New Roman" w:eastAsia="Times New Roman" w:hAnsi="Times New Roman" w:cs="Times New Roman"/>
          <w:color w:val="000000"/>
          <w:sz w:val="24"/>
          <w:szCs w:val="24"/>
        </w:rPr>
        <w:t>use of inappropriately matched control stimuli</w:t>
      </w:r>
      <w:r w:rsidR="00FC18F1" w:rsidRPr="0041550F">
        <w:rPr>
          <w:rFonts w:ascii="Times New Roman" w:eastAsia="Times New Roman" w:hAnsi="Times New Roman" w:cs="Times New Roman"/>
          <w:color w:val="000000"/>
          <w:sz w:val="24"/>
          <w:szCs w:val="24"/>
        </w:rPr>
        <w:t>; (</w:t>
      </w:r>
      <w:r w:rsidR="00174B2E" w:rsidRPr="0041550F">
        <w:rPr>
          <w:rFonts w:ascii="Times New Roman" w:eastAsia="Times New Roman" w:hAnsi="Times New Roman" w:cs="Times New Roman"/>
          <w:color w:val="000000"/>
          <w:sz w:val="24"/>
          <w:szCs w:val="24"/>
        </w:rPr>
        <w:t>ii</w:t>
      </w:r>
      <w:r w:rsidR="00FC18F1" w:rsidRPr="0041550F">
        <w:rPr>
          <w:rFonts w:ascii="Times New Roman" w:eastAsia="Times New Roman" w:hAnsi="Times New Roman" w:cs="Times New Roman"/>
          <w:color w:val="000000"/>
          <w:sz w:val="24"/>
          <w:szCs w:val="24"/>
        </w:rPr>
        <w:t xml:space="preserve">) </w:t>
      </w:r>
      <w:r w:rsidR="002F58B3" w:rsidRPr="0041550F">
        <w:rPr>
          <w:rFonts w:ascii="Times New Roman" w:eastAsia="Times New Roman" w:hAnsi="Times New Roman" w:cs="Times New Roman"/>
          <w:color w:val="000000"/>
          <w:sz w:val="24"/>
          <w:szCs w:val="24"/>
        </w:rPr>
        <w:t>opacity</w:t>
      </w:r>
      <w:r w:rsidR="00FC18F1" w:rsidRPr="0041550F">
        <w:rPr>
          <w:rFonts w:ascii="Times New Roman" w:eastAsia="Times New Roman" w:hAnsi="Times New Roman" w:cs="Times New Roman"/>
          <w:color w:val="000000"/>
          <w:sz w:val="24"/>
          <w:szCs w:val="24"/>
        </w:rPr>
        <w:t xml:space="preserve"> of stimul</w:t>
      </w:r>
      <w:r w:rsidR="001E0921" w:rsidRPr="0041550F">
        <w:rPr>
          <w:rFonts w:ascii="Times New Roman" w:eastAsia="Times New Roman" w:hAnsi="Times New Roman" w:cs="Times New Roman"/>
          <w:color w:val="000000"/>
          <w:sz w:val="24"/>
          <w:szCs w:val="24"/>
        </w:rPr>
        <w:t>us selection and validation</w:t>
      </w:r>
      <w:r w:rsidR="00BE18AE" w:rsidRPr="0041550F">
        <w:rPr>
          <w:rFonts w:ascii="Times New Roman" w:eastAsia="Times New Roman" w:hAnsi="Times New Roman" w:cs="Times New Roman"/>
          <w:color w:val="000000"/>
          <w:sz w:val="24"/>
          <w:szCs w:val="24"/>
        </w:rPr>
        <w:t xml:space="preserve"> procedures</w:t>
      </w:r>
      <w:r w:rsidR="00FC18F1" w:rsidRPr="0041550F">
        <w:rPr>
          <w:rFonts w:ascii="Times New Roman" w:eastAsia="Times New Roman" w:hAnsi="Times New Roman" w:cs="Times New Roman"/>
          <w:color w:val="000000"/>
          <w:sz w:val="24"/>
          <w:szCs w:val="24"/>
        </w:rPr>
        <w:t>; (</w:t>
      </w:r>
      <w:r w:rsidR="00174B2E" w:rsidRPr="0041550F">
        <w:rPr>
          <w:rFonts w:ascii="Times New Roman" w:eastAsia="Times New Roman" w:hAnsi="Times New Roman" w:cs="Times New Roman"/>
          <w:color w:val="000000"/>
          <w:sz w:val="24"/>
          <w:szCs w:val="24"/>
        </w:rPr>
        <w:t>iii</w:t>
      </w:r>
      <w:r w:rsidR="00FC18F1" w:rsidRPr="0041550F">
        <w:rPr>
          <w:rFonts w:ascii="Times New Roman" w:eastAsia="Times New Roman" w:hAnsi="Times New Roman" w:cs="Times New Roman"/>
          <w:color w:val="000000"/>
          <w:sz w:val="24"/>
          <w:szCs w:val="24"/>
        </w:rPr>
        <w:t>) a credence in noisy measures; (</w:t>
      </w:r>
      <w:r w:rsidR="00174B2E" w:rsidRPr="0041550F">
        <w:rPr>
          <w:rFonts w:ascii="Times New Roman" w:eastAsia="Times New Roman" w:hAnsi="Times New Roman" w:cs="Times New Roman"/>
          <w:color w:val="000000"/>
          <w:sz w:val="24"/>
          <w:szCs w:val="24"/>
        </w:rPr>
        <w:t>iv</w:t>
      </w:r>
      <w:r w:rsidR="00FC18F1"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a reliance on</w:t>
      </w:r>
      <w:r w:rsidR="00FC18F1" w:rsidRPr="0041550F">
        <w:rPr>
          <w:rFonts w:ascii="Times New Roman" w:eastAsia="Times New Roman" w:hAnsi="Times New Roman" w:cs="Times New Roman"/>
          <w:color w:val="000000"/>
          <w:sz w:val="24"/>
          <w:szCs w:val="24"/>
        </w:rPr>
        <w:t xml:space="preserve"> unreliable tasks;</w:t>
      </w:r>
      <w:r w:rsidR="0018279C" w:rsidRPr="0041550F">
        <w:rPr>
          <w:rFonts w:ascii="Times New Roman" w:eastAsia="Times New Roman" w:hAnsi="Times New Roman" w:cs="Times New Roman"/>
          <w:color w:val="000000"/>
          <w:sz w:val="24"/>
          <w:szCs w:val="24"/>
        </w:rPr>
        <w:t xml:space="preserve"> and</w:t>
      </w:r>
      <w:r w:rsidR="00FC18F1" w:rsidRPr="0041550F">
        <w:rPr>
          <w:rFonts w:ascii="Times New Roman" w:eastAsia="Times New Roman" w:hAnsi="Times New Roman" w:cs="Times New Roman"/>
          <w:color w:val="000000"/>
          <w:sz w:val="24"/>
          <w:szCs w:val="24"/>
        </w:rPr>
        <w:t xml:space="preserve"> (</w:t>
      </w:r>
      <w:r w:rsidR="00174B2E" w:rsidRPr="0041550F">
        <w:rPr>
          <w:rFonts w:ascii="Times New Roman" w:eastAsia="Times New Roman" w:hAnsi="Times New Roman" w:cs="Times New Roman"/>
          <w:color w:val="000000"/>
          <w:sz w:val="24"/>
          <w:szCs w:val="24"/>
        </w:rPr>
        <w:t>v</w:t>
      </w:r>
      <w:r w:rsidR="00FC18F1" w:rsidRPr="0041550F">
        <w:rPr>
          <w:rFonts w:ascii="Times New Roman" w:eastAsia="Times New Roman" w:hAnsi="Times New Roman" w:cs="Times New Roman"/>
          <w:color w:val="000000"/>
          <w:sz w:val="24"/>
          <w:szCs w:val="24"/>
        </w:rPr>
        <w:t xml:space="preserve">) </w:t>
      </w:r>
      <w:r w:rsidR="00834177" w:rsidRPr="0041550F">
        <w:rPr>
          <w:rFonts w:ascii="Times New Roman" w:eastAsia="Times New Roman" w:hAnsi="Times New Roman" w:cs="Times New Roman"/>
          <w:color w:val="000000"/>
          <w:sz w:val="24"/>
          <w:szCs w:val="24"/>
        </w:rPr>
        <w:t xml:space="preserve">variability </w:t>
      </w:r>
      <w:r w:rsidR="00FC18F1" w:rsidRPr="0041550F">
        <w:rPr>
          <w:rFonts w:ascii="Times New Roman" w:eastAsia="Times New Roman" w:hAnsi="Times New Roman" w:cs="Times New Roman"/>
          <w:color w:val="000000"/>
          <w:sz w:val="24"/>
          <w:szCs w:val="24"/>
        </w:rPr>
        <w:t>in design and analysis.</w:t>
      </w:r>
      <w:r w:rsidR="0044062E" w:rsidRPr="0041550F">
        <w:rPr>
          <w:rFonts w:ascii="Times New Roman" w:eastAsia="Times New Roman" w:hAnsi="Times New Roman" w:cs="Times New Roman"/>
          <w:color w:val="000000"/>
          <w:sz w:val="24"/>
          <w:szCs w:val="24"/>
        </w:rPr>
        <w:t xml:space="preserve"> </w:t>
      </w:r>
      <w:r w:rsidR="008656B1" w:rsidRPr="0041550F">
        <w:rPr>
          <w:rFonts w:ascii="Times New Roman" w:eastAsia="Times New Roman" w:hAnsi="Times New Roman" w:cs="Times New Roman"/>
          <w:color w:val="000000"/>
          <w:sz w:val="24"/>
          <w:szCs w:val="24"/>
        </w:rPr>
        <w:t xml:space="preserve">This is </w:t>
      </w:r>
      <w:r w:rsidR="0018279C" w:rsidRPr="0041550F">
        <w:rPr>
          <w:rFonts w:ascii="Times New Roman" w:eastAsia="Times New Roman" w:hAnsi="Times New Roman" w:cs="Times New Roman"/>
          <w:color w:val="000000"/>
          <w:sz w:val="24"/>
          <w:szCs w:val="24"/>
        </w:rPr>
        <w:t xml:space="preserve">evidenced </w:t>
      </w:r>
      <w:r w:rsidR="003B1FCA" w:rsidRPr="0041550F">
        <w:rPr>
          <w:rFonts w:ascii="Times New Roman" w:eastAsia="Times New Roman" w:hAnsi="Times New Roman" w:cs="Times New Roman"/>
          <w:color w:val="000000"/>
          <w:sz w:val="24"/>
          <w:szCs w:val="24"/>
        </w:rPr>
        <w:t xml:space="preserve">through a </w:t>
      </w:r>
      <w:r w:rsidR="008656B1" w:rsidRPr="0041550F">
        <w:rPr>
          <w:rFonts w:ascii="Times New Roman" w:eastAsia="Times New Roman" w:hAnsi="Times New Roman" w:cs="Times New Roman"/>
          <w:color w:val="000000"/>
          <w:sz w:val="24"/>
          <w:szCs w:val="24"/>
        </w:rPr>
        <w:t>review o</w:t>
      </w:r>
      <w:r w:rsidR="00E3229E" w:rsidRPr="0041550F">
        <w:rPr>
          <w:rFonts w:ascii="Times New Roman" w:eastAsia="Times New Roman" w:hAnsi="Times New Roman" w:cs="Times New Roman"/>
          <w:color w:val="000000"/>
          <w:sz w:val="24"/>
          <w:szCs w:val="24"/>
        </w:rPr>
        <w:t>f</w:t>
      </w:r>
      <w:r w:rsidR="008656B1" w:rsidRPr="0041550F">
        <w:rPr>
          <w:rFonts w:ascii="Times New Roman" w:eastAsia="Times New Roman" w:hAnsi="Times New Roman" w:cs="Times New Roman"/>
          <w:color w:val="000000"/>
          <w:sz w:val="24"/>
          <w:szCs w:val="24"/>
        </w:rPr>
        <w:t xml:space="preserve"> alcohol-related attentional bias</w:t>
      </w:r>
      <w:r w:rsidR="006419D6" w:rsidRPr="0041550F">
        <w:rPr>
          <w:rFonts w:ascii="Times New Roman" w:eastAsia="Times New Roman" w:hAnsi="Times New Roman" w:cs="Times New Roman"/>
          <w:color w:val="000000"/>
          <w:sz w:val="24"/>
          <w:szCs w:val="24"/>
        </w:rPr>
        <w:t xml:space="preserve"> (64 </w:t>
      </w:r>
      <w:r w:rsidR="00122DC5" w:rsidRPr="0041550F">
        <w:rPr>
          <w:rFonts w:ascii="Times New Roman" w:eastAsia="Times New Roman" w:hAnsi="Times New Roman" w:cs="Times New Roman"/>
          <w:color w:val="000000"/>
          <w:sz w:val="24"/>
          <w:szCs w:val="24"/>
        </w:rPr>
        <w:t xml:space="preserve">empirical </w:t>
      </w:r>
      <w:r w:rsidR="006419D6" w:rsidRPr="0041550F">
        <w:rPr>
          <w:rFonts w:ascii="Times New Roman" w:eastAsia="Times New Roman" w:hAnsi="Times New Roman" w:cs="Times New Roman"/>
          <w:color w:val="000000"/>
          <w:sz w:val="24"/>
          <w:szCs w:val="24"/>
        </w:rPr>
        <w:t xml:space="preserve">articles, 68 tasks), which reveals </w:t>
      </w:r>
      <w:r w:rsidR="0018279C" w:rsidRPr="0041550F">
        <w:rPr>
          <w:rFonts w:ascii="Times New Roman" w:eastAsia="Times New Roman" w:hAnsi="Times New Roman" w:cs="Times New Roman"/>
          <w:color w:val="000000"/>
          <w:sz w:val="24"/>
          <w:szCs w:val="24"/>
        </w:rPr>
        <w:t xml:space="preserve">the following: </w:t>
      </w:r>
      <w:r w:rsidR="001D7F47" w:rsidRPr="0041550F">
        <w:rPr>
          <w:rFonts w:ascii="Times New Roman" w:eastAsia="Times New Roman" w:hAnsi="Times New Roman" w:cs="Times New Roman"/>
          <w:color w:val="000000"/>
          <w:sz w:val="24"/>
          <w:szCs w:val="24"/>
        </w:rPr>
        <w:t xml:space="preserve">only 53% </w:t>
      </w:r>
      <w:r w:rsidR="0044733D" w:rsidRPr="0041550F">
        <w:rPr>
          <w:rFonts w:ascii="Times New Roman" w:eastAsia="Times New Roman" w:hAnsi="Times New Roman" w:cs="Times New Roman"/>
          <w:color w:val="000000"/>
          <w:sz w:val="24"/>
          <w:szCs w:val="24"/>
        </w:rPr>
        <w:t xml:space="preserve">of </w:t>
      </w:r>
      <w:r w:rsidR="00CC79A7" w:rsidRPr="0041550F">
        <w:rPr>
          <w:rFonts w:ascii="Times New Roman" w:eastAsia="Times New Roman" w:hAnsi="Times New Roman" w:cs="Times New Roman"/>
          <w:color w:val="000000"/>
          <w:sz w:val="24"/>
          <w:szCs w:val="24"/>
        </w:rPr>
        <w:t xml:space="preserve">tasks </w:t>
      </w:r>
      <w:r w:rsidR="001D7F47" w:rsidRPr="0041550F">
        <w:rPr>
          <w:rFonts w:ascii="Times New Roman" w:eastAsia="Times New Roman" w:hAnsi="Times New Roman" w:cs="Times New Roman"/>
          <w:color w:val="000000"/>
          <w:sz w:val="24"/>
          <w:szCs w:val="24"/>
        </w:rPr>
        <w:t xml:space="preserve">utilise appropriately matched </w:t>
      </w:r>
      <w:r w:rsidR="001D7F47" w:rsidRPr="0041550F">
        <w:rPr>
          <w:rFonts w:ascii="Times New Roman" w:eastAsia="Times New Roman" w:hAnsi="Times New Roman" w:cs="Times New Roman"/>
          <w:sz w:val="24"/>
          <w:szCs w:val="24"/>
        </w:rPr>
        <w:t xml:space="preserve">control </w:t>
      </w:r>
      <w:r w:rsidR="001D7F47" w:rsidRPr="0041550F">
        <w:rPr>
          <w:rFonts w:ascii="Times New Roman" w:eastAsia="Times New Roman" w:hAnsi="Times New Roman" w:cs="Times New Roman"/>
          <w:color w:val="000000"/>
          <w:sz w:val="24"/>
          <w:szCs w:val="24"/>
        </w:rPr>
        <w:t>stimuli</w:t>
      </w:r>
      <w:r w:rsidR="004069F7" w:rsidRPr="0041550F">
        <w:rPr>
          <w:rFonts w:ascii="Times New Roman" w:eastAsia="Times New Roman" w:hAnsi="Times New Roman" w:cs="Times New Roman"/>
          <w:color w:val="000000"/>
          <w:sz w:val="24"/>
          <w:szCs w:val="24"/>
        </w:rPr>
        <w:t>; as few as 38% report their stimulus selection</w:t>
      </w:r>
      <w:r w:rsidR="0096332D" w:rsidRPr="0041550F">
        <w:rPr>
          <w:rFonts w:ascii="Times New Roman" w:eastAsia="Times New Roman" w:hAnsi="Times New Roman" w:cs="Times New Roman"/>
          <w:color w:val="000000"/>
          <w:sz w:val="24"/>
          <w:szCs w:val="24"/>
        </w:rPr>
        <w:t xml:space="preserve"> and</w:t>
      </w:r>
      <w:r w:rsidR="004069F7" w:rsidRPr="0041550F">
        <w:rPr>
          <w:rFonts w:ascii="Times New Roman" w:eastAsia="Times New Roman" w:hAnsi="Times New Roman" w:cs="Times New Roman"/>
          <w:color w:val="000000"/>
          <w:sz w:val="24"/>
          <w:szCs w:val="24"/>
        </w:rPr>
        <w:t xml:space="preserve"> 19% their validation procedures; </w:t>
      </w:r>
      <w:r w:rsidR="00D3041E" w:rsidRPr="0041550F">
        <w:rPr>
          <w:rFonts w:ascii="Times New Roman" w:eastAsia="Times New Roman" w:hAnsi="Times New Roman" w:cs="Times New Roman"/>
          <w:color w:val="000000"/>
          <w:sz w:val="24"/>
          <w:szCs w:val="24"/>
        </w:rPr>
        <w:t xml:space="preserve">less than </w:t>
      </w:r>
      <w:r w:rsidR="009926EC" w:rsidRPr="0041550F">
        <w:rPr>
          <w:rFonts w:ascii="Times New Roman" w:eastAsia="Times New Roman" w:hAnsi="Times New Roman" w:cs="Times New Roman"/>
          <w:color w:val="000000"/>
          <w:sz w:val="24"/>
          <w:szCs w:val="24"/>
        </w:rPr>
        <w:t>28% use</w:t>
      </w:r>
      <w:r w:rsidR="00F15B09" w:rsidRPr="0041550F">
        <w:rPr>
          <w:rFonts w:ascii="Times New Roman" w:eastAsia="Times New Roman" w:hAnsi="Times New Roman" w:cs="Times New Roman"/>
          <w:color w:val="000000"/>
          <w:sz w:val="24"/>
          <w:szCs w:val="24"/>
        </w:rPr>
        <w:t xml:space="preserve">d </w:t>
      </w:r>
      <w:r w:rsidR="00043036" w:rsidRPr="0041550F">
        <w:rPr>
          <w:rFonts w:ascii="Times New Roman" w:eastAsia="Times New Roman" w:hAnsi="Times New Roman" w:cs="Times New Roman"/>
          <w:color w:val="000000"/>
          <w:sz w:val="24"/>
          <w:szCs w:val="24"/>
        </w:rPr>
        <w:t xml:space="preserve">indices capable of disambiguating </w:t>
      </w:r>
      <w:r w:rsidR="00020DE1" w:rsidRPr="0041550F">
        <w:rPr>
          <w:rFonts w:ascii="Times New Roman" w:eastAsia="Times New Roman" w:hAnsi="Times New Roman" w:cs="Times New Roman"/>
          <w:color w:val="000000"/>
          <w:sz w:val="24"/>
          <w:szCs w:val="24"/>
        </w:rPr>
        <w:t xml:space="preserve">attentional </w:t>
      </w:r>
      <w:r w:rsidR="00043036" w:rsidRPr="0041550F">
        <w:rPr>
          <w:rFonts w:ascii="Times New Roman" w:eastAsia="Times New Roman" w:hAnsi="Times New Roman" w:cs="Times New Roman"/>
          <w:color w:val="000000"/>
          <w:sz w:val="24"/>
          <w:szCs w:val="24"/>
        </w:rPr>
        <w:t>processes</w:t>
      </w:r>
      <w:r w:rsidR="00813880" w:rsidRPr="0041550F">
        <w:rPr>
          <w:rFonts w:ascii="Times New Roman" w:eastAsia="Times New Roman" w:hAnsi="Times New Roman" w:cs="Times New Roman"/>
          <w:color w:val="000000"/>
          <w:sz w:val="24"/>
          <w:szCs w:val="24"/>
        </w:rPr>
        <w:t xml:space="preserve">; </w:t>
      </w:r>
      <w:r w:rsidR="00B340E5" w:rsidRPr="0041550F">
        <w:rPr>
          <w:rFonts w:ascii="Times New Roman" w:eastAsia="Times New Roman" w:hAnsi="Times New Roman" w:cs="Times New Roman"/>
          <w:color w:val="000000"/>
          <w:sz w:val="24"/>
          <w:szCs w:val="24"/>
        </w:rPr>
        <w:t>22% assess reliability</w:t>
      </w:r>
      <w:r w:rsidR="007B09E9" w:rsidRPr="0041550F">
        <w:rPr>
          <w:rFonts w:ascii="Times New Roman" w:eastAsia="Times New Roman" w:hAnsi="Times New Roman" w:cs="Times New Roman"/>
          <w:color w:val="000000"/>
          <w:sz w:val="24"/>
          <w:szCs w:val="24"/>
        </w:rPr>
        <w:t>;</w:t>
      </w:r>
      <w:r w:rsidR="00B340E5" w:rsidRPr="0041550F">
        <w:rPr>
          <w:rFonts w:ascii="Times New Roman" w:eastAsia="Times New Roman" w:hAnsi="Times New Roman" w:cs="Times New Roman"/>
          <w:color w:val="000000"/>
          <w:sz w:val="24"/>
          <w:szCs w:val="24"/>
        </w:rPr>
        <w:t xml:space="preserve"> </w:t>
      </w:r>
      <w:r w:rsidR="00813880" w:rsidRPr="0041550F">
        <w:rPr>
          <w:rFonts w:ascii="Times New Roman" w:eastAsia="Times New Roman" w:hAnsi="Times New Roman" w:cs="Times New Roman"/>
          <w:color w:val="000000"/>
          <w:sz w:val="24"/>
          <w:szCs w:val="24"/>
        </w:rPr>
        <w:t>and</w:t>
      </w:r>
      <w:r w:rsidR="00D3041E" w:rsidRPr="0041550F">
        <w:rPr>
          <w:rFonts w:ascii="Times New Roman" w:eastAsia="Times New Roman" w:hAnsi="Times New Roman" w:cs="Times New Roman"/>
          <w:color w:val="000000"/>
          <w:sz w:val="24"/>
          <w:szCs w:val="24"/>
        </w:rPr>
        <w:t xml:space="preserve"> </w:t>
      </w:r>
      <w:r w:rsidR="00765CB0" w:rsidRPr="0041550F">
        <w:rPr>
          <w:rFonts w:ascii="Times New Roman" w:eastAsia="Times New Roman" w:hAnsi="Times New Roman" w:cs="Times New Roman"/>
          <w:color w:val="000000"/>
          <w:sz w:val="24"/>
          <w:szCs w:val="24"/>
        </w:rPr>
        <w:t xml:space="preserve">under </w:t>
      </w:r>
      <w:r w:rsidR="009926EC" w:rsidRPr="0041550F">
        <w:rPr>
          <w:rFonts w:ascii="Times New Roman" w:eastAsia="Times New Roman" w:hAnsi="Times New Roman" w:cs="Times New Roman"/>
          <w:color w:val="000000"/>
          <w:sz w:val="24"/>
          <w:szCs w:val="24"/>
        </w:rPr>
        <w:t>2% of studies were preregistered</w:t>
      </w:r>
      <w:r w:rsidR="00821A7D" w:rsidRPr="0041550F">
        <w:rPr>
          <w:rFonts w:ascii="Times New Roman" w:eastAsia="Times New Roman" w:hAnsi="Times New Roman" w:cs="Times New Roman"/>
          <w:color w:val="000000"/>
          <w:sz w:val="24"/>
          <w:szCs w:val="24"/>
        </w:rPr>
        <w:t xml:space="preserve">. </w:t>
      </w:r>
      <w:r w:rsidR="00D53E7F" w:rsidRPr="0041550F">
        <w:rPr>
          <w:rFonts w:ascii="Times New Roman" w:eastAsia="Times New Roman" w:hAnsi="Times New Roman" w:cs="Times New Roman"/>
          <w:b/>
          <w:bCs/>
          <w:color w:val="000000"/>
          <w:sz w:val="24"/>
          <w:szCs w:val="24"/>
        </w:rPr>
        <w:t>Conclusions:</w:t>
      </w:r>
      <w:r w:rsidR="0044062E" w:rsidRPr="0041550F">
        <w:rPr>
          <w:rFonts w:ascii="Times New Roman" w:eastAsia="Times New Roman" w:hAnsi="Times New Roman" w:cs="Times New Roman"/>
          <w:b/>
          <w:bCs/>
          <w:color w:val="000000"/>
          <w:sz w:val="24"/>
          <w:szCs w:val="24"/>
        </w:rPr>
        <w:t xml:space="preserve"> </w:t>
      </w:r>
      <w:r w:rsidRPr="0041550F">
        <w:rPr>
          <w:rFonts w:ascii="Times New Roman" w:eastAsia="Times New Roman" w:hAnsi="Times New Roman" w:cs="Times New Roman"/>
          <w:color w:val="000000"/>
          <w:sz w:val="24"/>
          <w:szCs w:val="24"/>
        </w:rPr>
        <w:t xml:space="preserve">Substantial improvements are required to </w:t>
      </w:r>
      <w:r w:rsidR="00E3229E" w:rsidRPr="0041550F">
        <w:rPr>
          <w:rFonts w:ascii="Times New Roman" w:eastAsia="Times New Roman" w:hAnsi="Times New Roman" w:cs="Times New Roman"/>
          <w:color w:val="000000"/>
          <w:sz w:val="24"/>
          <w:szCs w:val="24"/>
        </w:rPr>
        <w:t xml:space="preserve">improve </w:t>
      </w:r>
      <w:r w:rsidRPr="0041550F">
        <w:rPr>
          <w:rFonts w:ascii="Times New Roman" w:eastAsia="Times New Roman" w:hAnsi="Times New Roman" w:cs="Times New Roman"/>
          <w:color w:val="000000"/>
          <w:sz w:val="24"/>
          <w:szCs w:val="24"/>
        </w:rPr>
        <w:t>the methodological rigour of cognitive alcohol research. To facilitate this, we pr</w:t>
      </w:r>
      <w:r w:rsidRPr="0041550F">
        <w:rPr>
          <w:rFonts w:ascii="Times New Roman" w:eastAsia="Times New Roman" w:hAnsi="Times New Roman" w:cs="Times New Roman"/>
          <w:sz w:val="24"/>
          <w:szCs w:val="24"/>
        </w:rPr>
        <w:t>ovide</w:t>
      </w:r>
      <w:r w:rsidRPr="0041550F">
        <w:rPr>
          <w:rFonts w:ascii="Times New Roman" w:eastAsia="Times New Roman" w:hAnsi="Times New Roman" w:cs="Times New Roman"/>
          <w:color w:val="000000"/>
          <w:sz w:val="24"/>
          <w:szCs w:val="24"/>
        </w:rPr>
        <w:t xml:space="preserve"> a practical guide for future research: </w:t>
      </w:r>
      <w:r w:rsidR="008222D5" w:rsidRPr="0041550F">
        <w:rPr>
          <w:rFonts w:ascii="Times New Roman" w:eastAsia="Times New Roman" w:hAnsi="Times New Roman" w:cs="Times New Roman"/>
          <w:color w:val="000000"/>
          <w:sz w:val="24"/>
          <w:szCs w:val="24"/>
        </w:rPr>
        <w:t>we</w:t>
      </w:r>
      <w:r w:rsidRPr="0041550F">
        <w:rPr>
          <w:rFonts w:ascii="Times New Roman" w:eastAsia="Times New Roman" w:hAnsi="Times New Roman" w:cs="Times New Roman"/>
          <w:color w:val="000000"/>
          <w:sz w:val="24"/>
          <w:szCs w:val="24"/>
        </w:rPr>
        <w:t xml:space="preserve"> </w:t>
      </w:r>
      <w:r w:rsidR="0044062E" w:rsidRPr="0041550F">
        <w:rPr>
          <w:rFonts w:ascii="Times New Roman" w:eastAsia="Times New Roman" w:hAnsi="Times New Roman" w:cs="Times New Roman"/>
          <w:color w:val="000000"/>
          <w:sz w:val="24"/>
          <w:szCs w:val="24"/>
        </w:rPr>
        <w:t xml:space="preserve">advocate </w:t>
      </w:r>
      <w:r w:rsidRPr="0041550F">
        <w:rPr>
          <w:rFonts w:ascii="Times New Roman" w:eastAsia="Times New Roman" w:hAnsi="Times New Roman" w:cs="Times New Roman"/>
          <w:color w:val="000000"/>
          <w:sz w:val="24"/>
          <w:szCs w:val="24"/>
        </w:rPr>
        <w:t xml:space="preserve">the use of </w:t>
      </w:r>
      <w:r w:rsidR="00B53428" w:rsidRPr="0041550F">
        <w:rPr>
          <w:rFonts w:ascii="Times New Roman" w:eastAsia="Times New Roman" w:hAnsi="Times New Roman" w:cs="Times New Roman"/>
          <w:color w:val="000000"/>
          <w:sz w:val="24"/>
          <w:szCs w:val="24"/>
        </w:rPr>
        <w:t xml:space="preserve">well-matched </w:t>
      </w:r>
      <w:r w:rsidR="009A3BE1" w:rsidRPr="0041550F">
        <w:rPr>
          <w:rFonts w:ascii="Times New Roman" w:eastAsia="Times New Roman" w:hAnsi="Times New Roman" w:cs="Times New Roman"/>
          <w:color w:val="000000"/>
          <w:sz w:val="24"/>
          <w:szCs w:val="24"/>
        </w:rPr>
        <w:t>and validated</w:t>
      </w:r>
      <w:r w:rsidRPr="0041550F">
        <w:rPr>
          <w:rFonts w:ascii="Times New Roman" w:eastAsia="Times New Roman" w:hAnsi="Times New Roman" w:cs="Times New Roman"/>
          <w:color w:val="000000"/>
          <w:sz w:val="24"/>
          <w:szCs w:val="24"/>
        </w:rPr>
        <w:t xml:space="preserve"> experimental stimuli, the development of reliable cognitive </w:t>
      </w:r>
      <w:r w:rsidR="00462672" w:rsidRPr="0041550F">
        <w:rPr>
          <w:rFonts w:ascii="Times New Roman" w:eastAsia="Times New Roman" w:hAnsi="Times New Roman" w:cs="Times New Roman"/>
          <w:color w:val="000000"/>
          <w:sz w:val="24"/>
          <w:szCs w:val="24"/>
        </w:rPr>
        <w:t xml:space="preserve">tasks </w:t>
      </w:r>
      <w:r w:rsidRPr="0041550F">
        <w:rPr>
          <w:rFonts w:ascii="Times New Roman" w:eastAsia="Times New Roman" w:hAnsi="Times New Roman" w:cs="Times New Roman"/>
          <w:color w:val="000000"/>
          <w:sz w:val="24"/>
          <w:szCs w:val="24"/>
        </w:rPr>
        <w:t xml:space="preserve">and explicit assessment of their psychometric properties, and </w:t>
      </w:r>
      <w:r w:rsidR="00D009B5" w:rsidRPr="0041550F">
        <w:rPr>
          <w:rFonts w:ascii="Times New Roman" w:eastAsia="Times New Roman" w:hAnsi="Times New Roman" w:cs="Times New Roman"/>
          <w:color w:val="000000"/>
          <w:sz w:val="24"/>
          <w:szCs w:val="24"/>
        </w:rPr>
        <w:t>careful consideration of behavioural indices</w:t>
      </w:r>
      <w:r w:rsidR="00472239" w:rsidRPr="0041550F">
        <w:rPr>
          <w:rFonts w:ascii="Times New Roman" w:eastAsia="Times New Roman" w:hAnsi="Times New Roman" w:cs="Times New Roman"/>
          <w:color w:val="000000"/>
          <w:sz w:val="24"/>
          <w:szCs w:val="24"/>
        </w:rPr>
        <w:t xml:space="preserve"> and their analysis</w:t>
      </w:r>
      <w:r w:rsidR="00D009B5" w:rsidRPr="0041550F">
        <w:rPr>
          <w:rFonts w:ascii="Times New Roman" w:eastAsia="Times New Roman" w:hAnsi="Times New Roman" w:cs="Times New Roman"/>
          <w:color w:val="000000"/>
          <w:sz w:val="24"/>
          <w:szCs w:val="24"/>
        </w:rPr>
        <w:t xml:space="preserve">. </w:t>
      </w:r>
      <w:r w:rsidR="004039B3" w:rsidRPr="0041550F">
        <w:rPr>
          <w:rFonts w:ascii="Times New Roman" w:eastAsia="Times New Roman" w:hAnsi="Times New Roman" w:cs="Times New Roman"/>
          <w:color w:val="000000"/>
          <w:sz w:val="24"/>
          <w:szCs w:val="24"/>
        </w:rPr>
        <w:t xml:space="preserve">Further, we </w:t>
      </w:r>
      <w:r w:rsidR="00157755" w:rsidRPr="0041550F">
        <w:rPr>
          <w:rFonts w:ascii="Times New Roman" w:eastAsia="Times New Roman" w:hAnsi="Times New Roman" w:cs="Times New Roman"/>
          <w:color w:val="000000"/>
          <w:sz w:val="24"/>
          <w:szCs w:val="24"/>
        </w:rPr>
        <w:t>discuss</w:t>
      </w:r>
      <w:r w:rsidR="004039B3" w:rsidRPr="0041550F">
        <w:rPr>
          <w:rFonts w:ascii="Times New Roman" w:eastAsia="Times New Roman" w:hAnsi="Times New Roman" w:cs="Times New Roman"/>
          <w:color w:val="000000"/>
          <w:sz w:val="24"/>
          <w:szCs w:val="24"/>
        </w:rPr>
        <w:t xml:space="preserve"> open science principles </w:t>
      </w:r>
      <w:r w:rsidR="00157755" w:rsidRPr="0041550F">
        <w:rPr>
          <w:rFonts w:ascii="Times New Roman" w:eastAsia="Times New Roman" w:hAnsi="Times New Roman" w:cs="Times New Roman"/>
          <w:color w:val="000000"/>
          <w:sz w:val="24"/>
          <w:szCs w:val="24"/>
        </w:rPr>
        <w:t xml:space="preserve">that can </w:t>
      </w:r>
      <w:r w:rsidR="004039B3" w:rsidRPr="0041550F">
        <w:rPr>
          <w:rFonts w:ascii="Times New Roman" w:eastAsia="Times New Roman" w:hAnsi="Times New Roman" w:cs="Times New Roman"/>
          <w:color w:val="000000"/>
          <w:sz w:val="24"/>
          <w:szCs w:val="24"/>
        </w:rPr>
        <w:t xml:space="preserve">facilitate </w:t>
      </w:r>
      <w:r w:rsidRPr="0041550F">
        <w:rPr>
          <w:rFonts w:ascii="Times New Roman" w:eastAsia="Times New Roman" w:hAnsi="Times New Roman" w:cs="Times New Roman"/>
          <w:color w:val="000000"/>
          <w:sz w:val="24"/>
          <w:szCs w:val="24"/>
        </w:rPr>
        <w:t xml:space="preserve">replication and reproducibility </w:t>
      </w:r>
      <w:r w:rsidR="004039B3" w:rsidRPr="0041550F">
        <w:rPr>
          <w:rFonts w:ascii="Times New Roman" w:eastAsia="Times New Roman" w:hAnsi="Times New Roman" w:cs="Times New Roman"/>
          <w:color w:val="000000"/>
          <w:sz w:val="24"/>
          <w:szCs w:val="24"/>
        </w:rPr>
        <w:t xml:space="preserve">in alcohol research, </w:t>
      </w:r>
      <w:r w:rsidRPr="0041550F">
        <w:rPr>
          <w:rFonts w:ascii="Times New Roman" w:eastAsia="Times New Roman" w:hAnsi="Times New Roman" w:cs="Times New Roman"/>
          <w:color w:val="000000"/>
          <w:sz w:val="24"/>
          <w:szCs w:val="24"/>
        </w:rPr>
        <w:t>thereby enhancing trust in a field that has significant implications for public health and policy. </w:t>
      </w:r>
    </w:p>
    <w:p w14:paraId="0000001A" w14:textId="2DC37F97" w:rsidR="00CB2059" w:rsidRPr="0041550F" w:rsidRDefault="00C3572E">
      <w:pPr>
        <w:spacing w:line="36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b/>
          <w:sz w:val="24"/>
          <w:szCs w:val="24"/>
        </w:rPr>
        <w:t xml:space="preserve">Key words: </w:t>
      </w:r>
      <w:r w:rsidRPr="0041550F">
        <w:rPr>
          <w:rFonts w:ascii="Times New Roman" w:eastAsia="Times New Roman" w:hAnsi="Times New Roman" w:cs="Times New Roman"/>
          <w:sz w:val="24"/>
          <w:szCs w:val="24"/>
        </w:rPr>
        <w:t xml:space="preserve">Alcohol; addiction; cognition; </w:t>
      </w:r>
      <w:r w:rsidR="008962BD" w:rsidRPr="0041550F">
        <w:rPr>
          <w:rFonts w:ascii="Times New Roman" w:eastAsia="Times New Roman" w:hAnsi="Times New Roman" w:cs="Times New Roman"/>
          <w:sz w:val="24"/>
          <w:szCs w:val="24"/>
        </w:rPr>
        <w:t xml:space="preserve">attentional bias; </w:t>
      </w:r>
      <w:r w:rsidRPr="0041550F">
        <w:rPr>
          <w:rFonts w:ascii="Times New Roman" w:eastAsia="Times New Roman" w:hAnsi="Times New Roman" w:cs="Times New Roman"/>
          <w:sz w:val="24"/>
          <w:szCs w:val="24"/>
        </w:rPr>
        <w:t>methodology; reliability; open science</w:t>
      </w:r>
    </w:p>
    <w:p w14:paraId="0000001B" w14:textId="77777777" w:rsidR="00CB2059" w:rsidRPr="0041550F" w:rsidRDefault="00C3572E">
      <w:pPr>
        <w:rPr>
          <w:rFonts w:ascii="Times New Roman" w:eastAsia="Times New Roman" w:hAnsi="Times New Roman" w:cs="Times New Roman"/>
          <w:b/>
          <w:sz w:val="24"/>
          <w:szCs w:val="24"/>
        </w:rPr>
      </w:pPr>
      <w:r w:rsidRPr="0041550F">
        <w:br w:type="page"/>
      </w:r>
    </w:p>
    <w:p w14:paraId="0000001C" w14:textId="77777777" w:rsidR="00CB2059" w:rsidRPr="0041550F" w:rsidRDefault="00C3572E">
      <w:pPr>
        <w:shd w:val="clear" w:color="auto" w:fill="FFFFFF"/>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lastRenderedPageBreak/>
        <w:t>ALCOHOL-RELATED COGNITIONS AND THEIR IMPORTANCE</w:t>
      </w:r>
    </w:p>
    <w:p w14:paraId="0000001D" w14:textId="76478E54" w:rsidR="00CB2059" w:rsidRPr="0041550F" w:rsidRDefault="00C3572E">
      <w:pPr>
        <w:shd w:val="clear" w:color="auto" w:fill="FFFFFF"/>
        <w:spacing w:after="0" w:line="480" w:lineRule="auto"/>
        <w:jc w:val="both"/>
        <w:rPr>
          <w:rFonts w:ascii="Times New Roman" w:eastAsia="Times New Roman" w:hAnsi="Times New Roman" w:cs="Times New Roman"/>
          <w:sz w:val="24"/>
          <w:szCs w:val="24"/>
        </w:rPr>
      </w:pPr>
      <w:bookmarkStart w:id="2" w:name="_heading=h.4pvfurhwy83i" w:colFirst="0" w:colLast="0"/>
      <w:bookmarkEnd w:id="2"/>
      <w:r w:rsidRPr="0041550F">
        <w:rPr>
          <w:rFonts w:ascii="Times New Roman" w:eastAsia="Times New Roman" w:hAnsi="Times New Roman" w:cs="Times New Roman"/>
          <w:sz w:val="24"/>
          <w:szCs w:val="24"/>
        </w:rPr>
        <w:t xml:space="preserve">Dual-process models of addiction propose that the loss of control over alcohol consumption results from an imbalance between two competing systems: </w:t>
      </w:r>
      <w:r w:rsidR="0052319E"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n automatic ‘impulsive’ system triggered by substance-related cues, and a more controlled ‘</w:t>
      </w:r>
      <w:r w:rsidR="00815BAF" w:rsidRPr="0041550F">
        <w:rPr>
          <w:rFonts w:ascii="Times New Roman" w:eastAsia="Times New Roman" w:hAnsi="Times New Roman" w:cs="Times New Roman"/>
          <w:sz w:val="24"/>
          <w:szCs w:val="24"/>
        </w:rPr>
        <w:t>reflective’</w:t>
      </w:r>
      <w:r w:rsidRPr="0041550F">
        <w:rPr>
          <w:rFonts w:ascii="Times New Roman" w:eastAsia="Times New Roman" w:hAnsi="Times New Roman" w:cs="Times New Roman"/>
          <w:sz w:val="24"/>
          <w:szCs w:val="24"/>
        </w:rPr>
        <w:t xml:space="preserve"> system underpinned by executive functioning </w:t>
      </w:r>
      <w:r w:rsidR="004A753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{"citationItems":[{"id":"ITEM-1","itemData":{"DOI":"10.1007/s00213-017-4639-0","ISSN":"14322072","PMID":"28551714","abstract":"Rationale: Both cue avoidance training (CAT) and inhibitory control training (ICT) reduce alcohol consumption in the laboratory. However, these interventions have never been directly compared and their mechanisms of action are poorly understood. Objectives: We compared the effects of both types of training on alcohol consumption and investigated if they led to theoretically predicted changes in alcohol avoidance (CAT) or alcohol inhibition (ICT) associations and changes in evaluation of alcohol cues. Methods: Heavy drinking young adults (N = 120) were randomly assigned to one of four groups: (1) CAT (repeatedly pushing alcohol cues away with a joystick), (2) sham (control) CAT; (3) ICT (repeatedly inhibiting behaviour in response to alcohol cues); or (4) sham (control) ICT. Changes in reaction times and automatic evaluations of alcohol cues were assessed before and after training using assessment versions of tasks used in training and the implicit association test (IAT), respectively. Finally, participants completed a bogus taste test as a measure of ad libitum alcohol consumption. Results: Compared to sham conditions, CAT and ICT both led to reduced alcohol consumption although there was no difference between the two. Neither intervention affected performance on the IAT, and changes in reaction time did not suggest the formation of robust alcohol avoidance (CAT) or alcohol inhibition (ICT) associations after training. Conclusions: CAT and ICT yielded equivalent reductions in alcohol consumption in the laboratory. However, these behavioural effects were not accompanied by devaluation of stimuli or the formation of alcohol avoidance or alcohol inhibition associations.","author":[{"dropping-particle":"","family":"Lemma","given":"Lisa C.G.","non-dropping-particle":"Di","parse-names":false,"suffix":""},{"dropping-particle":"","family":"Field","given":"Matt","non-dropping-particle":"","parse-names":false,"suffix":""}],"container-title":"Psychopharmacology","id":"ITEM-1","issue":"16","issued":{"date-parts":[["2017"]]},"page":"2489-2498","publisher":"Psychopharmacology","title":"Cue avoidance training and inhibitory control training for the reduction of alcohol consumption: a comparison of effectiveness and investigation of their mechanisms of action","type":"article-journal","volume":"234"},"uris":["http://www.mendeley.com/documents/?uuid=fea5416d-a697-489c-8a3e-03202ccea103"]},{"id":"ITEM-2","itemData":{"DOI":"10.4135/9781412976237.n1","ISBN":"9781412976237","author":[{"dropping-particle":"","family":"Wiers","given":"Reinout W.","non-dropping-particle":"","parse-names":false,"suffix":""},{"dropping-particle":"","family":"Stacy","given":"Alan W.","non-dropping-particle":"","parse-names":false,"suffix":""}],"container-title":"Handbook of Implicit Cognition and Addiction","id":"ITEM-2","issue":"6","issued":{"date-parts":[["2005"]]},"page":"1-9","title":"Implicit cognition and addiction: An introduction","type":"article-journal","volume":"15"},"uris":["http://www.mendeley.com/documents/?uuid=93ec8d0c-25c6-4766-b32f-99f8ac4858a7"]},{"id":"ITEM-3","itemData":{"DOI":"10.1016/j.pbb.2006.09.021","ISSN":"00913057","PMID":"17116324","abstract":"This paper presents a review and a model of the development of addictive behaviors in (human) adolescents, with a focus on alcohol. The model proposes that addictive behaviors develop as the result of an imbalance between two systems: an appetitive, approach-oriented system that becomes sensitized with repeated alcohol use and a regulatory executive system that is not fully developed and that is compromised by exposure to alcohol. Self-regulation critically depends on two factors: ability and motivation to regulate the appetitive response tendency. The motivational aspect is often still weak in heavy drinking adolescents, who typically do not recognize their drinking as problematic. Motivation to regulate use often develops only years later, after the individual has encountered serious alcohol-related problems. Unfortunately, at that point behavioral change becomes harder due to several neurocognitive adaptations that result from heavy drinking. As we document, there is preliminary support for the central elements of the model (appetitive motivation vs. self-regulation), but there is a paucity of research directly addressing these mechanisms in human adolescents. Further, we emphasize that adolescent alcohol use primarily takes place in a social context, and that therefore studies should not solely focus on intra-individual factors predicting substance use and misuse but also on interpersonal social factors. Finally, we discuss implications of the model for interventions. © 2006 Elsevier Inc. All rights reserved.","author":[{"dropping-particle":"","family":"Wiers","given":"Reinout W.","non-dropping-particle":"","parse-names":false,"suffix":""},{"dropping-particle":"","family":"Bartholow","given":"Bruce D.","non-dropping-particle":"","parse-names":false,"suffix":""},{"dropping-particle":"","family":"Wildenberg","given":"Esther","non-dropping-particle":"van den","parse-names":false,"suffix":""},{"dropping-particle":"","family":"Thush","given":"Carolien","non-dropping-particle":"","parse-names":false,"suffix":""},{"dropping-particle":"","family":"Engels","given":"Rutger C.M.E.","non-dropping-particle":"","parse-names":false,"suffix":""},{"dropping-particle":"","family":"Sher","given":"Kenneth J.","non-dropping-particle":"","parse-names":false,"suffix":""},{"dropping-particle":"","family":"Grenard","given":"Jerry","non-dropping-particle":"","parse-names":false,"suffix":""},{"dropping-particle":"","family":"Ames","given":"Susan L.","non-dropping-particle":"","parse-names":false,"suffix":""},{"dropping-particle":"","family":"Stacy","given":"Alan W.","non-dropping-particle":"","parse-names":false,"suffix":""}],"container-title":"Pharmacology Biochemistry and Behavior","id":"ITEM-3","issue":"2","issued":{"date-parts":[["2007"]]},"page":"263-283","title":"Automatic and controlled processes and the development of addictive behaviors in adolescents: A review and a model","type":"article-journal","volume":"86"},"uris":["http://www.mendeley.com/documents/?uuid=5507c1c3-b07a-4ef7-98cb-695e46642100"]}],"mendeley":{"formattedCitation":"(1–3)","plainTextFormattedCitation":"(1–3)","previouslyFormattedCitation":"(1–3)"},"properties":{"noteIndex":0},"schema":"https://github.com/citation-style-language/schema/raw/master/csl-citation.json"}</w:instrText>
      </w:r>
      <w:r w:rsidR="004A753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(1–3)</w:t>
      </w:r>
      <w:r w:rsidR="004A753F" w:rsidRPr="0041550F">
        <w:rPr>
          <w:rFonts w:ascii="Times New Roman" w:eastAsia="Times New Roman" w:hAnsi="Times New Roman" w:cs="Times New Roman"/>
          <w:sz w:val="24"/>
          <w:szCs w:val="24"/>
        </w:rPr>
        <w:fldChar w:fldCharType="end"/>
      </w:r>
      <w:r w:rsidR="004A753F"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According to these models, alcohol misuse develops when the impulsive system becomes hyper-sensitive through repeat exposure to the rewarding effects of alcohol, which compromises self-control and leads to</w:t>
      </w:r>
      <w:r w:rsidR="00660092"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dysregulated approach bias towards alcohol-related cues </w:t>
      </w:r>
      <w:r w:rsidR="0090563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{"citationItems":[{"id":"ITEM-1","itemData":{"DOI":"10.1037/a0031565","ISSN":"19391501","PMID":"23438245","abstract":"Low sensitivity to the acute effects of alcohol is a risk factor for heavy drinking and related problems. However, little research has tested process explanations for such effects. The current study tested the hypothesis that low sensitivity is associated with automatic approach biases for alcohol cues, coupled with deficits inhibiting responses in the presence of such cues. Eighty-five participants varying in alcohol sensitivity completed an Alcohol-Approach Avoidance Task and a Cued Go/No-Go Task while event-related potentials were recorded. Low sensitivity (LS) individuals showed evidence of automatic approach tendencies toward alcohol cues in both tasks, and experienced deficits inhibiting prepotent responses cued by alcohol images. Additionally, the event-related potential data indicated that LS individuals experienced more conflict when attempting to inhibit alcohol-cued responses, but not nonalcohol-cued responses, compared with their high-sensitivity counterparts. Together, these data indicate that alcohol cues elicit an approach bias among LS individuals, translating into greater difficulty inhibiting behavioral responses in the presence of such cues, a pattern generally supportive of dual process models of substance use. © 2013 American Psychological Association.","author":[{"dropping-particle":"","family":"Fleming","given":"Kimberly A.","non-dropping-particle":"","parse-names":false,"suffix":""},{"dropping-particle":"","family":"Bartholow","given":"Bruce D.","non-dropping-particle":"","parse-names":false,"suffix":""}],"container-title":"Psychology of Addictive Behaviors","id":"ITEM-1","issue":"1","issued":{"date-parts":[["2014"]]},"page":"85-96","title":"Alcohol cues, approach bias, and inhibitory control: Applying a dual process model of addiction to alcohol sensitivity","type":"article-journal","volume":"28"},"uris":["http://www.mendeley.com/documents/?uuid=7e6cd017-4335-46f2-874c-2b7f43e45a00"]}],"mendeley":{"formattedCitation":"(4)","plainTextFormattedCitation":"(4)","previouslyFormattedCitation":"(4)"},"properties":{"noteIndex":0},"schema":"https://github.com/citation-style-language/schema/raw/master/csl-citation.json"}</w:instrText>
      </w:r>
      <w:r w:rsidR="0090563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w:t>
      </w:r>
      <w:r w:rsidR="0090563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1E" w14:textId="3BDD4004" w:rsidR="00CB2059" w:rsidRPr="0041550F" w:rsidRDefault="00C3572E" w:rsidP="005E26C5">
      <w:pPr>
        <w:shd w:val="clear" w:color="auto" w:fill="FFFFFF"/>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There is considerable interest in identifying and measuring the </w:t>
      </w:r>
      <w:r w:rsidR="00693525" w:rsidRPr="0041550F">
        <w:rPr>
          <w:rFonts w:ascii="Times New Roman" w:eastAsia="Times New Roman" w:hAnsi="Times New Roman" w:cs="Times New Roman"/>
          <w:sz w:val="24"/>
          <w:szCs w:val="24"/>
        </w:rPr>
        <w:t xml:space="preserve">cognitive </w:t>
      </w:r>
      <w:r w:rsidRPr="0041550F">
        <w:rPr>
          <w:rFonts w:ascii="Times New Roman" w:eastAsia="Times New Roman" w:hAnsi="Times New Roman" w:cs="Times New Roman"/>
          <w:sz w:val="24"/>
          <w:szCs w:val="24"/>
        </w:rPr>
        <w:t xml:space="preserve">processes that drive alcohol (mis)use, not least because this might tell us how alcohol use disorders develop and persist. A wealth of research suggests that heightened </w:t>
      </w:r>
      <w:r w:rsidRPr="0041550F">
        <w:rPr>
          <w:rFonts w:ascii="Times New Roman" w:eastAsia="Times New Roman" w:hAnsi="Times New Roman" w:cs="Times New Roman"/>
          <w:i/>
          <w:sz w:val="24"/>
          <w:szCs w:val="24"/>
        </w:rPr>
        <w:t xml:space="preserve">attentional bias, </w:t>
      </w:r>
      <w:r w:rsidRPr="0041550F">
        <w:rPr>
          <w:rFonts w:ascii="Times New Roman" w:eastAsia="Times New Roman" w:hAnsi="Times New Roman" w:cs="Times New Roman"/>
          <w:sz w:val="24"/>
          <w:szCs w:val="24"/>
        </w:rPr>
        <w:t xml:space="preserve">greater </w:t>
      </w:r>
      <w:r w:rsidRPr="0041550F">
        <w:rPr>
          <w:rFonts w:ascii="Times New Roman" w:eastAsia="Times New Roman" w:hAnsi="Times New Roman" w:cs="Times New Roman"/>
          <w:i/>
          <w:sz w:val="24"/>
          <w:szCs w:val="24"/>
        </w:rPr>
        <w:t xml:space="preserve">approach tendencies, </w:t>
      </w:r>
      <w:r w:rsidRPr="0041550F">
        <w:rPr>
          <w:rFonts w:ascii="Times New Roman" w:eastAsia="Times New Roman" w:hAnsi="Times New Roman" w:cs="Times New Roman"/>
          <w:sz w:val="24"/>
          <w:szCs w:val="24"/>
        </w:rPr>
        <w:t xml:space="preserve">and reduced cue-specific </w:t>
      </w:r>
      <w:r w:rsidRPr="0041550F">
        <w:rPr>
          <w:rFonts w:ascii="Times New Roman" w:eastAsia="Times New Roman" w:hAnsi="Times New Roman" w:cs="Times New Roman"/>
          <w:i/>
          <w:sz w:val="24"/>
          <w:szCs w:val="24"/>
        </w:rPr>
        <w:t>inhibitory control</w:t>
      </w:r>
      <w:r w:rsidRPr="0041550F">
        <w:rPr>
          <w:rFonts w:ascii="Times New Roman" w:eastAsia="Times New Roman" w:hAnsi="Times New Roman" w:cs="Times New Roman"/>
          <w:sz w:val="24"/>
          <w:szCs w:val="24"/>
        </w:rPr>
        <w:t xml:space="preserve"> are important drivers of </w:t>
      </w:r>
      <w:r w:rsidR="0096332D" w:rsidRPr="0041550F">
        <w:rPr>
          <w:rFonts w:ascii="Times New Roman" w:eastAsia="Times New Roman" w:hAnsi="Times New Roman" w:cs="Times New Roman"/>
          <w:sz w:val="24"/>
          <w:szCs w:val="24"/>
        </w:rPr>
        <w:t xml:space="preserve">alcohol </w:t>
      </w:r>
      <w:r w:rsidRPr="0041550F">
        <w:rPr>
          <w:rFonts w:ascii="Times New Roman" w:eastAsia="Times New Roman" w:hAnsi="Times New Roman" w:cs="Times New Roman"/>
          <w:sz w:val="24"/>
          <w:szCs w:val="24"/>
        </w:rPr>
        <w:t>consumption and related behaviours (e.g., substance seeking</w:t>
      </w:r>
      <w:r w:rsidR="004F3A86" w:rsidRPr="0041550F">
        <w:rPr>
          <w:rFonts w:ascii="Times New Roman" w:eastAsia="Times New Roman" w:hAnsi="Times New Roman" w:cs="Times New Roman"/>
          <w:sz w:val="24"/>
          <w:szCs w:val="24"/>
        </w:rPr>
        <w:t xml:space="preserve">; </w:t>
      </w:r>
      <w:r w:rsidR="00765AB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{"citationItems":[{"id":"ITEM-1","itemData":{"DOI":"10.1016/j.appet.2018.06.024","ISSN":"10958304","PMID":"29935289","abstract":"Inhibitory control refers to the ability to stop, change or delay a response, and is often used in order to protect higher order goals. Theoretical models suggest that appetitive cues such as pictures of alcoholic drinks or food evoke strong automatic appetitive responses which lead to transient impairments in inhibitory control, and that these effects of cues may be related to individual differences (e.g. in body mass index, or alcohol consumption). In order to investigate these claims we conducted a random effects meta-analysis of 66 effect sizes (35 alcohol, 31 food) from 37 articles that tested the effect of exposure to appetitive (alcohol/food) cues on indices of inhibitory control. The overall effect of cue exposure was small, but robust (SMD = −0.12 [95% CI −0.23, −0.02]; Z = 2.34, p =.02, I 2 = 84%). Exposure to alcohol-related cues significantly impaired inhibitory control (SMD = −0.21 [95% CI = −0.32, −0.11]; Z = 4.17, p &lt;.001), however exposure to food-related cues did not lead to impairments (SMD = −0.03 [95% CI = −0.21, 0.15]; Z = 0.36, p =.720). There was no evidence that drinking or weight status significantly moderated the effects of cues on inhibitory control. Similarly, cue modality (words, pictures, or smells) did not significantly moderate the effects. Trim and Fill analysis suggested bias in the literature, which when corrected, made the overall effect of cues non-significant. Overall, these findings provide some tentative support for theoretical claims that exposure to appetitive cues prompts transient impairments in inhibitory control. Further research is required to determine the clinical significance of these observations. However, care should be taken when drawing conclusions from a potentially biased evidence base.","author":[{"dropping-particle":"","family":"Jones","given":"Andrew","non-dropping-particle":"","parse-names":false,"suffix":""},{"dropping-particle":"","family":"Robinson","given":"Eric","non-dropping-particle":"","parse-names":false,"suffix":""},{"dropping-particle":"","family":"Duckworth","given":"Jay","non-dropping-particle":"","parse-names":false,"suffix":""},{"dropping-particle":"","family":"Kersbergen","given":"Inge","non-dropping-particle":"","parse-names":false,"suffix":""},{"dropping-particle":"","family":"Clarke","given":"Natasha","non-dropping-particle":"","parse-names":false,"suffix":""},{"dropping-particle":"","family":"Field","given":"Matt","non-dropping-particle":"","parse-names":false,"suffix":""}],"container-title":"Appetite","id":"ITEM-1","issue":"January","issued":{"date-parts":[["2018"]]},"page":"271-282","title":"The effects of exposure to appetitive cues on inhibitory control: A meta-analytic investigation","type":"article-journal","volume":"128"},"uris":["http://www.mendeley.com/documents/?uuid=ef841391-c340-4612-9abe-22ab5b968ff0"]},{"id":"ITEM-2","itemData":{"DOI":"10.1037/a0015843.A","abstract":"Theoretical models of addiction suggest that attentional bias for substance-related cues should be associated with self-reported craving. The authors evaluated the strength of the association by performing a meta-analysis on 68 independent data sets from which correlation coefficients between subjective craving and attentional bias indices were derived. Additional stratified analyses were conducted to identify any variables that might moderate the association between craving and attentional bias. The primary meta-analysis indicated a significant, albeit weak ( r = . 19), association between attentional bias and craving. Stratified analyses revealed that the association was larger for illicit drug and caffeine craving than for alcohol and tobacco craving, larger for direct measures of attention (eye movement measures and event-related potential measures) than for indirect behavioral measures of attentional bias, and larger when craving strength was high than when it was low (all p s &lt; .05). The size of the correlation did not differ among patients in treatment and individuals who were not seeking treatment. These results suggest that attentional bias and craving are related phenomena, although the relationship is generally modest and appears to be moderated by various factors. Theoretical implications are discussed. Keywords","author":[{"dropping-particle":"","family":"Field","given":"Matt","non-dropping-particle":"","parse-names":false,"suffix":""},{"dropping-particle":"","family":"Munafò","given":"Marcus R.","non-dropping-particle":"","parse-names":false,"suffix":""},{"dropping-particle":"","family":"Franken","given":"Ingmar H. A.","non-dropping-particle":"","parse-names":false,"suffix":""}],"container-title":"Psychological bulletin","id":"ITEM-2","issue":"4","issued":{"date-parts":[["2009"]]},"page":"589-607","title":"Attentional Bias and Subjective Craving in Substance Abuse","type":"article-journal","volume":"135"},"uris":["http://www.mendeley.com/documents/?uuid=85649dfa-dc74-46d4-a858-2d52db7e83cc"]},{"id":"ITEM-3","itemData":{"DOI":"10.1037/a0031565","ISSN":"19391501","PMID":"23438245","abstract":"Low sensitivity to the acute effects of alcohol is a risk factor for heavy drinking and related problems. However, little research has tested process explanations for such effects. The current study tested the hypothesis that low sensitivity is associated with automatic approach biases for alcohol cues, coupled with deficits inhibiting responses in the presence of such cues. Eighty-five participants varying in alcohol sensitivity completed an Alcohol-Approach Avoidance Task and a Cued Go/No-Go Task while event-related potentials were recorded. Low sensitivity (LS) individuals showed evidence of automatic approach tendencies toward alcohol cues in both tasks, and experienced deficits inhibiting prepotent responses cued by alcohol images. Additionally, the event-related potential data indicated that LS individuals experienced more conflict when attempting to inhibit alcohol-cued responses, but not nonalcohol-cued responses, compared with their high-sensitivity counterparts. Together, these data indicate that alcohol cues elicit an approach bias among LS individuals, translating into greater difficulty inhibiting behavioral responses in the presence of such cues, a pattern generally supportive of dual process models of substance use. © 2013 American Psychological Association.","author":[{"dropping-particle":"","family":"Fleming","given":"Kimberly A.","non-dropping-particle":"","parse-names":false,"suffix":""},{"dropping-particle":"","family":"Bartholow","given":"Bruce D.","non-dropping-particle":"","parse-names":false,"suffix":""}],"container-title":"Psychology of Addictive Behaviors","id":"ITEM-3","issue":"1","issued":{"date-parts":[["2014"]]},"page":"85-96","title":"Alcohol cues, approach bias, and inhibitory control: Applying a dual process model of addiction to alcohol sensitivity","type":"article-journal","volume":"28"},"uris":["http://www.mendeley.com/documents/?uuid=7e6cd017-4335-46f2-874c-2b7f43e45a00"]}],"mendeley":{"formattedCitation":"(4–6)","manualFormatting":"4–6)","plainTextFormattedCitation":"(4–6)","previouslyFormattedCitation":"(4–6)"},"properties":{"noteIndex":0},"schema":"https://github.com/citation-style-language/schema/raw/master/csl-citation.json"}</w:instrText>
      </w:r>
      <w:r w:rsidR="00765AB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4–6)</w:t>
      </w:r>
      <w:r w:rsidR="00765AB6"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These distinct but interrelated processes have been shown to predict progression from heavy drinking to dependency </w:t>
      </w:r>
      <w:r w:rsidR="005E26C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{"citationItems":[{"id":"ITEM-1","itemData":{"DOI":"10.1111/j.1530-0277.2008.00746.x","ISSN":"01456008","PMID":"18631324","abstract":"Background: Although many studies have established a close relation between impulsivity and alcohol use disorders, little is known about the role of behavioral impulsivity in the development of these disorders. Objectives: To determine the role of 2 laboratory paradigms of impulsivity in the development of alcohol use disorders. Methods: Follow-up study carried out with 471 participants diagnosed as heavy drinkers (HD) and followed-up for 4 years. Initially, they were compared with a healthy control group. Assessment of behavioral impulsivity was carried out with the Continuous Performance Test (CPT), and the Stop-Signal Task (SST) assessed behavioral inhibitory control. Differential reinforcement for low-rate responding (DRLR) was used to evaluate the delay reward dimension. The Structured Clinical Interview (SCID-DSM-IV) was used to diagnose alcohol dependence. Results: The HD performed worse than the control group in all the behavioral tests of impulsivity. Performance in DRLR was the only behavioral impulsivity test that classified the HD correctly compared to controls. Logistic regression analysis indicated that performance on SST was a significant predictor [odds = 1.52(CI = 1.08-2.31)] of developing alcohol dependence. Conclusions: Our results support the relation between behavioral impulsivity and alcohol use disorders. The paradigm related to delay of reward may be a factor associated with the use of alcohol and the incapacity to control inhibition as dependence develops. Copyright © 2008 by the Research Society on Alcoholism.","author":[{"dropping-particle":"","family":"Rubio","given":"Gabriel","non-dropping-particle":"","parse-names":false,"suffix":""},{"dropping-particle":"","family":"Jiménez","given":"Mónica","non-dropping-particle":"","parse-names":false,"suffix":""},{"dropping-particle":"","family":"Rodríguez-Jiménez","given":"Roberto","non-dropping-particle":"","parse-names":false,"suffix":""},{"dropping-particle":"","family":"Martínez","given":"Isabel","non-dropping-particle":"","parse-names":false,"suffix":""},{"dropping-particle":"","family":"Ávila","given":"César","non-dropping-particle":"","parse-names":false,"suffix":""},{"dropping-particle":"","family":"Ferre","given":"Francisco","non-dropping-particle":"","parse-names":false,"suffix":""},{"dropping-particle":"","family":"Jiménez-Arriero","given":"Miguel Angel","non-dropping-particle":"","parse-names":false,"suffix":""},{"dropping-particle":"","family":"Ponce","given":"Guillermo","non-dropping-particle":"","parse-names":false,"suffix":""},{"dropping-particle":"","family":"Palomo","given":"Tomás","non-dropping-particle":"","parse-names":false,"suffix":""}],"container-title":"Alcoholism: Clinical and Experimental Research","id":"ITEM-1","issue":"9","issued":{"date-parts":[["2008"]]},"page":"1681-1687","title":"The role of behavioral impulsivity in the development of alcohol dependence: A 4-year follow-up study","type":"article-journal","volume":"32"},"uris":["http://www.mendeley.com/documents/?uuid=c99a3b3e-4eb7-41b0-8dcc-91ec6a606d67"]},{"id":"ITEM-2","itemData":{"DOI":"10.1016/j.drugalcdep.2015.12.005","ISSN":"18790046","PMID":"26747417","abstract":"Background: Research in adults shows that substance dependent individuals demonstrate attentional bias (AB) for substance-related stimuli. This study investigated the role of AB in adolescents diagnosed with alcohol, cannabis, amphetamine or GHB dependency on entering therapy and six months later, and the role of executive control (EC) as a moderator of the relationship between problem severity and AB. Methods: Seventy-eight young substance-dependent (SD) patients (mean age = 19.5), and 64 healthy controls (HC; mean age = 19.0) were tested. Thirty-eight SD patients took part at 6-month follow-up (FU). AB was indexed by a visual probe task, EC by the attention network task, problem severity by the short alcohol (or drug) use disorder identification test and the severity of dependence questionnaire. Results: SD patients demonstrated an AB for substance stimuli presented for 500. ms and 1250. ms, with the latter related to severity of dependence. There was a nonsignificant tendency indicating that EC was higher in HC than SD participants, but EC did not moderate the relationship between AB and dependency. Substance use, dependency, EC and AB remained unchanged in the 6 month FU period. Conclusions: Young SD patients showed a stronger relatively early as well as maintained AB toward substance cues. A stronger maintained attention was related to higher severity of dependence. Further, there were some indications that EC might play a role in adolescent substance use. The finding that at FU AB and problem severity were not decreased, and EC was not increased underlines the persistent character of addiction.","author":[{"dropping-particle":"","family":"Hemel-Ruiter","given":"Madelon E.","non-dropping-particle":"van","parse-names":false,"suffix":""},{"dropping-particle":"","family":"Wiers","given":"Reinout W.","non-dropping-particle":"","parse-names":false,"suffix":""},{"dropping-particle":"","family":"Brook","given":"Frank G.","non-dropping-particle":"","parse-names":false,"suffix":""},{"dropping-particle":"","family":"Jong","given":"Peter J.","non-dropping-particle":"de","parse-names":false,"suffix":""}],"container-title":"Drug and Alcohol Dependence","id":"ITEM-2","issued":{"date-parts":[["2016"]]},"page":"133-141","publisher":"Elsevier Ireland Ltd","title":"Attentional bias and executive control in treatment-seeking substance-dependent adolescents: A cross-sectional and follow-up study","type":"article-journal","volume":"159"},"uris":["http://www.mendeley.com/documents/?uuid=084570b1-21b6-4eb3-baa9-e8e552fbd196"]},{"id":"ITEM-3","itemData":{"DOI":"10.1038/npp.2013.252","ISSN":"0893133X","PMID":"24060832","abstract":"Behavioral studies have shown an alcohol-approach bias in alcohol-dependent patients: the automatic tendency to faster approach than avoid alcohol compared with neutral cues, which has been associated with craving and relapse. Although this is a well-studied psychological phenomenon, little is known about the brain processes underlying automatic action tendencies in addiction. We examined 20 alcohol-dependent patients and 17 healthy controls with functional magnetic resonance imaging (fMRI), while performing an implicit approach-avoidance task. Participants pushed and pulled pictorial cues of alcohol and soft-drink beverages, according to a content-irrelevant feature of the cue (landscape/portrait). The critical fMRI contrast regarding the alcohol-approach bias was defined as (approach alcohol&gt;avoid alcohol)&gt;(approach soft drink&gt;avoid soft drink). This was reversed for the avoid-alcohol contrast: (avoid alcohol&gt;approach alcohol)&gt;(avoid soft drink&gt;approach soft drink). In comparison with healthy controls, alcohol-dependent patients had stronger behavioral approach tendencies for alcohol cues than for soft-drink cues. In the approach, alcohol fMRI contrast patients showed larger blood-oxygen-level-dependent responses in the nucleus accumbens and medial prefrontal cortex, regions involved in reward and motivational processing. In alcohol-dependent patients, alcohol-craving scores were positively correlated with activity in the amygdala for the approach-alcohol contrast. The dorsolateral prefrontal cortex was not activated in the avoid-alcohol contrast in patients vs controls. Our data suggest that brain regions that have a key role in reward and motivation are associated with the automatic alcohol-approach bias in alcohol-dependent patients. © 2014 American College of Neuropsychopharmacology.","author":[{"dropping-particle":"","family":"Wiers","given":"Corinde E.","non-dropping-particle":"","parse-names":false,"suffix":""},{"dropping-particle":"","family":"Stelzel","given":"Christine","non-dropping-particle":"","parse-names":false,"suffix":""},{"dropping-particle":"","family":"Park","given":"Soyoung Q.","non-dropping-particle":"","parse-names":false,"suffix":""},{"dropping-particle":"","family":"Gawron","given":"Christiane K.","non-dropping-particle":"","parse-names":false,"suffix":""},{"dropping-particle":"","family":"Ludwig","given":"Vera U.","non-dropping-particle":"","parse-names":false,"suffix":""},{"dropping-particle":"","family":"Gutwinski","given":"Stefan","non-dropping-particle":"","parse-names":false,"suffix":""},{"dropping-particle":"","family":"Heinz","given":"Andreas","non-dropping-particle":"","parse-names":false,"suffix":""},{"dropping-particle":"","family":"Lindenmeyer","given":"Johannes","non-dropping-particle":"","parse-names":false,"suffix":""},{"dropping-particle":"","family":"Wiers","given":"Reinout W.","non-dropping-particle":"","parse-names":false,"suffix":""},{"dropping-particle":"","family":"Walter","given":"Henrik","non-dropping-particle":"","parse-names":false,"suffix":""},{"dropping-particle":"","family":"Bermpohl","given":"Felix","non-dropping-particle":"","parse-names":false,"suffix":""}],"container-title":"Neuropsychopharmacology","id":"ITEM-3","issue":"3","issued":{"date-parts":[["2014"]]},"page":"688-697","publisher":"Nature Publishing Group","title":"Neural Correlates of alcohol-approach bias in alcohol addiction: The spirit is willing but the flesh is weak for spirits","type":"article-journal","volume":"39"},"uris":["http://www.mendeley.com/documents/?uuid=f1d2cf7b-4ae7-45a7-8116-1b8005f0d8e3"]}],"mendeley":{"formattedCitation":"(7–9)","plainTextFormattedCitation":"(7–9)","previouslyFormattedCitation":"(7–9)"},"properties":{"noteIndex":0},"schema":"https://github.com/citation-style-language/schema/raw/master/csl-citation.json"}</w:instrText>
      </w:r>
      <w:r w:rsidR="005E26C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(7–9)</w:t>
      </w:r>
      <w:r w:rsidR="005E26C5" w:rsidRPr="0041550F">
        <w:rPr>
          <w:rFonts w:ascii="Times New Roman" w:eastAsia="Times New Roman" w:hAnsi="Times New Roman" w:cs="Times New Roman"/>
          <w:sz w:val="24"/>
          <w:szCs w:val="24"/>
        </w:rPr>
        <w:fldChar w:fldCharType="end"/>
      </w:r>
      <w:r w:rsidR="005E26C5" w:rsidRPr="0041550F">
        <w:rPr>
          <w:rFonts w:ascii="Times New Roman" w:eastAsia="Times New Roman" w:hAnsi="Times New Roman" w:cs="Times New Roman"/>
          <w:sz w:val="24"/>
          <w:szCs w:val="24"/>
        </w:rPr>
        <w:t>,</w:t>
      </w:r>
      <w:r w:rsidR="00381A4C"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and the likelihood of relapse following treatment </w:t>
      </w:r>
      <w:r w:rsidR="00117A8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{"citationItems":[{"id":"ITEM-1","itemData":{"DOI":"10.1007/s00213-011-2618-4","ISSN":"00333158","PMID":"22203318","abstract":"Rationale: Identification of malleable neurocognitive predictors of relapse among alcohol-dependent individuals is important for the optimization of health care delivery and clinical services. Objectives: Given that alcohol cue-reactivity can predict relapse, we evaluated cue-elicited high-frequency heart rate variability (HFHRV) and alcohol attentional bias (AB) as potential relapse risk indices. Method: Alcohol-dependent patients in long-term residential treatment who had participated in mindfulness-oriented therapy or an addiction support group completed a spatial cueing task as a measure of alcohol AB and an affect-modulated alcohol cue-reactivity protocol while HFHRV was assessed. Results: Post-treatment HFHRV cue-reactivity and alcohol AB significantly predicted the occurrence and timing of relapse by 6-month follow-up, independent of treatment condition and after controlling for alcohol dependence severity. Alcohol-dependent patients who relapsed exhibited a significantly greater HFHRV reactivity to stress-primed alcohol cues than patients who did not relapse. Conclusions: Cue-elicited HFHRV and alcohol AB can presage relapse and may therefore hold promise as prognostic indicators in clinical settings. © 2011 Springer-Verlag.","author":[{"dropping-particle":"","family":"Garland","given":"Eric L.","non-dropping-particle":"","parse-names":false,"suffix":""},{"dropping-particle":"","family":"Franken","given":"Ingmar H.A.","non-dropping-particle":"","parse-names":false,"suffix":""},{"dropping-particle":"","family":"Howard","given":"Matthew O.","non-dropping-particle":"","parse-names":false,"suffix":""}],"container-title":"Psychopharmacology","id":"ITEM-1","issue":"1","issued":{"date-parts":[["2012"]]},"page":"17-26","title":"Cue-elicited heart rate variability and attentional bias predict alcohol relapse following treatment","type":"article-journal","volume":"222"},"uris":["http://www.mendeley.com/documents/?uuid=beb5da54-4813-41d3-9b31-fd9406fbfe8d"]},{"id":"ITEM-2","itemData":{"DOI":"10.1111/acer.12924","ISSN":"15300277","PMID":"26683585","abstract":"Background: Although there is considerable support for the relationship between impulsivity and alcohol dependence, little is known about the impact of neurocognitive aspects of impulsivity on treatment outcome. The aim of this study was to prospectively investigate the impact of neurocognitive impulsivity at treatment onset on treatment completion. Methods: Forty-three alcohol-dependent patients entering inpatient treatment for alcohol dependence completed neurocognitive measures of impulsivity at the beginning of treatment. Assessments included prototypical measures of impulsive action (Go/No-go task [GNG] and Stop Signal Task [SST]) and impulsive choice (Delay Discounting Test [DDT], and Iowa Gambling Task). According to treatment outcomes, patients were divided into a patient group with regular treatment completion (e.g., with planned discharges, and without relapse during treatment) or irregular treatment course (e.g., premature and unplanned termination of treatment, \"dropout,\" and/or relapse). Results: Results show that, relative to patients completing treatment in a regular fashion (regular treatment completers [RTC]; 67%), those with an irregular course of treatment (relapse and/or dropout) (irregular treatment completers [ITC]; 33%) had significantly poorer GNG response inhibition performance (p = 0.011), and showed a trend toward greater delay discounting (DDT; p = 0.052) at treatment onset. Additional logistic regression analyses identified poor GNG response inhibition performance as a significant predictor for an irregular treatment course (GNG: p = 0.021; DDT: p = 0.067), particularly for relapse (GNG: p = 0.023). Conclusions: Neurocognitive impulsivity impacts upon treatment completion and appears sensitive for the prediction of relapse and dropout in alcohol-dependent patients. Poorer GNG response inhibition and a tendency toward steeper discounting of delayed rewards should be regarded as neurocognitive risk factors, which can be identified early in the course of alcohol dependence treatment.","author":[{"dropping-particle":"","family":"Rupp","given":"Claudia I.","non-dropping-particle":"","parse-names":false,"suffix":""},{"dropping-particle":"","family":"Beck","given":"J. Katharina","non-dropping-particle":"","parse-names":false,"suffix":""},{"dropping-particle":"","family":"Heinz","given":"Andreas","non-dropping-particle":"","parse-names":false,"suffix":""},{"dropping-particle":"","family":"Kemmler","given":"Georg","non-dropping-particle":"","parse-names":false,"suffix":""},{"dropping-particle":"","family":"Manz","given":"Sarah","non-dropping-particle":"","parse-names":false,"suffix":""},{"dropping-particle":"","family":"Tempel","given":"Katharina","non-dropping-particle":"","parse-names":false,"suffix":""},{"dropping-particle":"","family":"Fleischhacker","given":"W. Wolfgang","non-dropping-particle":"","parse-names":false,"suffix":""}],"container-title":"Alcoholism: Clinical and Experimental Research","id":"ITEM-2","issue":"1","issued":{"date-parts":[["2016"]]},"page":"152-160","title":"Impulsivity and Alcohol Dependence Treatment Completion: Is There a Neurocognitive Risk Factor at Treatment Entry?","type":"article-journal","volume":"40"},"uris":["http://www.mendeley.com/documents/?uuid=229e53ac-8216-4dcc-9a5e-377225f122bf"]}],"mendeley":{"formattedCitation":"(10,11)","manualFormatting":"(10,11; ","plainTextFormattedCitation":"(10,11)","previouslyFormattedCitation":"(10,11)"},"properties":{"noteIndex":0},"schema":"https://github.com/citation-style-language/schema/raw/master/csl-citation.json"}</w:instrText>
      </w:r>
      <w:r w:rsidR="00117A8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(10,11</w:t>
      </w:r>
      <w:r w:rsidR="008373E3" w:rsidRPr="0041550F">
        <w:rPr>
          <w:rFonts w:ascii="Times New Roman" w:eastAsia="Times New Roman" w:hAnsi="Times New Roman" w:cs="Times New Roman"/>
          <w:noProof/>
          <w:sz w:val="24"/>
          <w:szCs w:val="24"/>
        </w:rPr>
        <w:t xml:space="preserve">; </w:t>
      </w:r>
      <w:r w:rsidR="00117A86" w:rsidRPr="0041550F">
        <w:rPr>
          <w:rFonts w:ascii="Times New Roman" w:eastAsia="Times New Roman" w:hAnsi="Times New Roman" w:cs="Times New Roman"/>
          <w:sz w:val="24"/>
          <w:szCs w:val="24"/>
        </w:rPr>
        <w:fldChar w:fldCharType="end"/>
      </w:r>
      <w:r w:rsidR="00664816" w:rsidRPr="0041550F">
        <w:rPr>
          <w:rFonts w:ascii="Times New Roman" w:eastAsia="Times New Roman" w:hAnsi="Times New Roman" w:cs="Times New Roman"/>
          <w:sz w:val="24"/>
          <w:szCs w:val="24"/>
        </w:rPr>
        <w:t xml:space="preserve">but </w:t>
      </w:r>
      <w:r w:rsidRPr="0041550F">
        <w:rPr>
          <w:rFonts w:ascii="Times New Roman" w:eastAsia="Times New Roman" w:hAnsi="Times New Roman" w:cs="Times New Roman"/>
          <w:sz w:val="24"/>
          <w:szCs w:val="24"/>
        </w:rPr>
        <w:t xml:space="preserve">see </w:t>
      </w:r>
      <w:r w:rsidR="00117A86"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{"citationItems":[{"id":"ITEM-1","itemData":{"DOI":"10.1016/j.addbeh.2014.10.005","ISSN":"18736327","PMID":"25453782","abstract":"Recent years have seen an explosion of interest in attentional bias in addiction, particularly its clinical relevance. Specifically, numerous articles claimed to demonstrate either that (1) attentional bias measured in treatment settings could predict subsequent relapse to substance use, or (2) direct modification of attentional bias reduced substance use and improved treatment outcomes. In this paper, we critically evaluate empirical studies that investigated these issues. We show that the evidence regarding both of these claims is decidedly mixed, and that many of the studies that appear to yield positive findings have serious methodological and statistical limitations. We contend that the available literature suggests that attentional bias for drug cues fluctuates within individuals because it is an output of the underlying motivational state at that moment in time, but there is no convincing evidence that it exerts a causal influence on substance use. Future research should make use of experience sampling methodology to characterise the clinical significance of fluctuations in attentional bias over time.","author":[{"dropping-particle":"","family":"Christiansen","given":"Paul","non-dropping-particle":"","parse-names":false,"suffix":""},{"dropping-particle":"","family":"Schoenmakers","given":"Tim M.","non-dropping-particle":"","parse-names":false,"suffix":""},{"dropping-particle":"","family":"Field","given":"Matt","non-dropping-particle":"","parse-names":false,"suffix":""}],"container-title":"Addictive Behaviors","id":"ITEM-1","issued":{"date-parts":[["2015"]]},"page":"43-50","publisher":"Elsevier Ltd","title":"Less than meets the eye: Reappraising the clinical relevance of attentional bias in addiction","type":"article-journal","volume":"44"},"uris":["http://www.mendeley.com/documents/?uuid=5b9708ae-02c3-4270-aee4-76e9870dcfe1"]}],"mendeley":{"formattedCitation":"(12)","manualFormatting":"12)","plainTextFormattedCitation":"(12)","previouslyFormattedCitation":"(12)"},"properties":{"noteIndex":0},"schema":"https://github.com/citation-style-language/schema/raw/master/csl-citation.json"}</w:instrText>
      </w:r>
      <w:r w:rsidR="00117A86"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12)</w:t>
      </w:r>
      <w:r w:rsidR="00117A86"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Moreover, rather than representing stable traits, they appear to fluctuate in response to internal and environmental demands </w:t>
      </w:r>
      <w:r w:rsidR="00B103F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SN":"1930-7810","author":[{"dropping-particle":"","family":"Field","given":"Matt","non-dropping-particle":"","parse-names":false,"suffix":""},{"dropping-particle":"","family":"Werthmann","given":"Jessica","non-dropping-particle":"","parse-names":false,"suffix":""},{"dropping-particle":"","family":"Franken","given":"Ingmar","non-dropping-particle":"","parse-names":false,"suffix":""},{"dropping-particle":"","family":"Hofmann","given":"Wilhelm","non-dropping-particle":"","parse-names":false,"suffix":""}],"container-title":"Health Psychology","id":"ITEM-1","issue":"8","issued":{"date-parts":[["2016"]]},"page":"767-780","title":"The role of attentional bias in obesity and addiction Health Psychology, in press, 28","type":"article-journal","volume":"35"},"uris":["http://www.mendeley.com/documents/?uuid=49b5e4d6-cbbb-4d23-b674-84518e801859"]},{"id":"ITEM-2","itemData":{"DOI":"10.1007/s00213-018-4860-5","ISSN":"14322072","PMID":"29497782","abstract":"Rationale: Deficient inhibitory control is predictive of increased alcohol consumption in the laboratory; however, little is known about this relationship in naturalistic, real-world settings. Objectives: In the present study, we implemented ecological momentary assessment methods to investigate the relationship between inhibitory control and alcohol consumption in the real world. Methods: Heavy drinkers who were motivated to reduce their alcohol consumption (N = 100) were loaned a smartphone which administered a stop signal task twice per day at random intervals between 10 a.m. and 6 p.m. for 2 weeks. Each day, participants also recorded their planned and actual alcohol consumption and their subjective craving and mood. We hypothesised that day-to-day fluctuations in inhibitory control (stop signal reaction time) would predict alcohol consumption, over and above planned consumption and craving. Results: Multilevel modelling demonstrated that daily alcohol consumption was predicted by planned consumption (β =.816; 95% CI.762–.870) and craving (β =.022; 95% CI.013–.031), but inhibitory control did not predict any additional variance in alcohol consumption. However, secondary analyses demonstrated that the magnitude of deterioration in inhibitory control across the day was a significant predictor of increased alcohol consumption on that day (β =.007; 95% CI.004–.011), after controlling for planned consumption and craving. Conclusions: These findings demonstrate that short-term fluctuations in inhibitory control predict alcohol consumption, which suggests that transient fluctuations in inhibition may be a risk factor for heavy drinking episodes.","author":[{"dropping-particle":"","family":"Jones","given":"Andrew","non-dropping-particle":"","parse-names":false,"suffix":""},{"dropping-particle":"","family":"Tiplady","given":"Brian","non-dropping-particle":"","parse-names":false,"suffix":""},{"dropping-particle":"","family":"Houben","given":"Katrijn","non-dropping-particle":"","parse-names":false,"suffix":""},{"dropping-particle":"","family":"Nederkoorn","given":"Chantal","non-dropping-particle":"","parse-names":false,"suffix":""},{"dropping-particle":"","family":"Field","given":"Matt","non-dropping-particle":"","parse-names":false,"suffix":""}],"container-title":"Psychopharmacology","id":"ITEM-2","issue":"5","issued":{"date-parts":[["2018"]]},"page":"1487-1496","publisher":"Psychopharmacology","title":"Do daily fluctuations in inhibitory control predict alcohol consumption? An ecological momentary assessment study","type":"article-journal","volume":"235"},"uris":["http://www.mendeley.com/documents/?uuid=5bce958e-ebdc-47e0-beb1-f6f4f8a5b66d"]}],"mendeley":{"formattedCitation":"(13,14)","plainTextFormattedCitation":"(13,14)","previouslyFormattedCitation":"(13,14)"},"properties":{"noteIndex":0},"schema":"https://github.com/citation-style-language/schema/raw/master/csl-citation.json"}</w:instrText>
      </w:r>
      <w:r w:rsidR="00B103F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(13,14)</w:t>
      </w:r>
      <w:r w:rsidR="00B103F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At first glance, these findings have clear health implications; interventions that target these fluctuations effectively might </w:t>
      </w:r>
      <w:r w:rsidR="004A1111" w:rsidRPr="0041550F">
        <w:rPr>
          <w:rFonts w:ascii="Times New Roman" w:eastAsia="Times New Roman" w:hAnsi="Times New Roman" w:cs="Times New Roman"/>
          <w:sz w:val="24"/>
          <w:szCs w:val="24"/>
        </w:rPr>
        <w:t>mitigate alcohol-</w:t>
      </w:r>
      <w:r w:rsidRPr="0041550F">
        <w:rPr>
          <w:rFonts w:ascii="Times New Roman" w:eastAsia="Times New Roman" w:hAnsi="Times New Roman" w:cs="Times New Roman"/>
          <w:sz w:val="24"/>
          <w:szCs w:val="24"/>
        </w:rPr>
        <w:t xml:space="preserve">related harm </w:t>
      </w:r>
      <w:r w:rsidR="00B30A8A"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{"citationItems":[{"id":"ITEM-1","itemData":{"DOI":"10.1037/hea0001022","ISSN":"19307810","PMID":"32955278","abstract":"Objectives: Laboratory studies have contributed important information about the determinants of food and alcohol intake, and they have prompted the development of behavior change interventions that have been evaluated in randomized controlled trials conducted in the field. In this article we apply a recent experimental medicine (EM) framework to this body of research. Method: A conceptual review and focused discussion of the relevant literature is presented. Results: We illustrate how it is possible to translate findings from studies of food and alcohol intake in the laboratory into interventions that are effective for changing behavior in the real world. We go on to demonstrate how systematic failures can occur at different stages within the EM framework, and how these failures ultimately result in interventions that are ineffective for changing behavior. We also consider methodological issues that may constrain the external validity of findings from laboratory studies including demand effects, participant characteristics, and the timing and dose of behavioral interventions. Throughout, we make recommendations to improve the translation of findings from laboratory studies into behavior change interventions that are effective in the field. Conclusions: Consideration of the EM framework will help to ensure that promising candidate interventions for eating and drinking that are identified in laboratory studies can fulfill their translational promise.","author":[{"dropping-particle":"","family":"Field","given":"Matt","non-dropping-particle":"","parse-names":false,"suffix":""},{"dropping-particle":"","family":"Christiansen","given":"Paul","non-dropping-particle":"","parse-names":false,"suffix":""},{"dropping-particle":"","family":"Hardman","given":"Charlotte A.","non-dropping-particle":"","parse-names":false,"suffix":""},{"dropping-particle":"","family":"Haynes","given":"Ashleigh","non-dropping-particle":"","parse-names":false,"suffix":""},{"dropping-particle":"","family":"Jones","given":"Andrew","non-dropping-particle":"","parse-names":false,"suffix":""},{"dropping-particle":"","family":"Reid","given":"Allecia","non-dropping-particle":"","parse-names":false,"suffix":""},{"dropping-particle":"","family":"Robinson","given":"Eric","non-dropping-particle":"","parse-names":false,"suffix":""}],"container-title":"Health Psychology","id":"ITEM-1","issue":"September","issued":{"date-parts":[["2020"]]},"title":"Translation of Findings From Laboratory Studies of Food and Alcohol Intake into Behavior Change Interventions: The Experimental Medicine Approach","type":"article-journal"},"uris":["http://www.mendeley.com/documents/?uuid=59c7b6de-29ac-472b-8654-0d1e4dd95b21"]}],"mendeley":{"formattedCitation":"(15)","plainTextFormattedCitation":"(15)","previouslyFormattedCitation":"(15)"},"properties":{"noteIndex":0},"schema":"https://github.com/citation-style-language/schema/raw/master/csl-citation.json"}</w:instrText>
      </w:r>
      <w:r w:rsidR="00B30A8A"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(15)</w:t>
      </w:r>
      <w:r w:rsidR="00B30A8A"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62BF6886" w14:textId="67195FE2" w:rsidR="00FA3D1E" w:rsidRPr="0041550F" w:rsidRDefault="00E04675" w:rsidP="00CD027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41550F">
        <w:rPr>
          <w:rFonts w:ascii="Times New Roman" w:eastAsia="Times New Roman" w:hAnsi="Times New Roman" w:cs="Times New Roman"/>
          <w:sz w:val="24"/>
          <w:szCs w:val="24"/>
        </w:rPr>
        <w:t>Importantly, however, several methodological shortcomings cast doubt over the robustness of findings from cognitive alcohol research.</w:t>
      </w:r>
      <w:r w:rsidR="00132332" w:rsidRPr="0041550F">
        <w:t xml:space="preserve"> </w:t>
      </w:r>
      <w:r w:rsidR="00132332" w:rsidRPr="0041550F">
        <w:rPr>
          <w:rFonts w:ascii="Times New Roman" w:eastAsia="Times New Roman" w:hAnsi="Times New Roman" w:cs="Times New Roman"/>
          <w:sz w:val="24"/>
          <w:szCs w:val="24"/>
        </w:rPr>
        <w:t xml:space="preserve">In this </w:t>
      </w:r>
      <w:r w:rsidR="00132332" w:rsidRPr="0041550F">
        <w:rPr>
          <w:rFonts w:ascii="Times New Roman" w:eastAsia="Times New Roman" w:hAnsi="Times New Roman" w:cs="Times New Roman"/>
          <w:i/>
          <w:iCs/>
          <w:sz w:val="24"/>
          <w:szCs w:val="24"/>
        </w:rPr>
        <w:t>Methods &amp; Techniques</w:t>
      </w:r>
      <w:r w:rsidR="00132332" w:rsidRPr="0041550F">
        <w:rPr>
          <w:rFonts w:ascii="Times New Roman" w:eastAsia="Times New Roman" w:hAnsi="Times New Roman" w:cs="Times New Roman"/>
          <w:sz w:val="24"/>
          <w:szCs w:val="24"/>
        </w:rPr>
        <w:t xml:space="preserve"> article, we draw attention to </w:t>
      </w:r>
      <w:r w:rsidR="00130ABC" w:rsidRPr="0041550F">
        <w:rPr>
          <w:rFonts w:ascii="Times New Roman" w:eastAsia="Times New Roman" w:hAnsi="Times New Roman" w:cs="Times New Roman"/>
          <w:sz w:val="24"/>
          <w:szCs w:val="24"/>
        </w:rPr>
        <w:t xml:space="preserve">five main issues: </w:t>
      </w:r>
      <w:r w:rsidR="00E61977" w:rsidRPr="0041550F">
        <w:rPr>
          <w:rFonts w:ascii="Times New Roman" w:eastAsia="Times New Roman" w:hAnsi="Times New Roman" w:cs="Times New Roman"/>
          <w:color w:val="000000"/>
          <w:sz w:val="24"/>
          <w:szCs w:val="24"/>
        </w:rPr>
        <w:t>(</w:t>
      </w:r>
      <w:r w:rsidR="00C9164D" w:rsidRPr="0041550F">
        <w:rPr>
          <w:rFonts w:ascii="Times New Roman" w:eastAsia="Times New Roman" w:hAnsi="Times New Roman" w:cs="Times New Roman"/>
          <w:color w:val="000000"/>
          <w:sz w:val="24"/>
          <w:szCs w:val="24"/>
        </w:rPr>
        <w:t>i</w:t>
      </w:r>
      <w:r w:rsidR="00E61977" w:rsidRPr="0041550F">
        <w:rPr>
          <w:rFonts w:ascii="Times New Roman" w:eastAsia="Times New Roman" w:hAnsi="Times New Roman" w:cs="Times New Roman"/>
          <w:color w:val="000000"/>
          <w:sz w:val="24"/>
          <w:szCs w:val="24"/>
        </w:rPr>
        <w:t xml:space="preserve">) </w:t>
      </w:r>
      <w:r w:rsidR="008222D5" w:rsidRPr="0041550F">
        <w:rPr>
          <w:rFonts w:ascii="Times New Roman" w:eastAsia="Times New Roman" w:hAnsi="Times New Roman" w:cs="Times New Roman"/>
          <w:color w:val="000000"/>
          <w:sz w:val="24"/>
          <w:szCs w:val="24"/>
        </w:rPr>
        <w:t>a</w:t>
      </w:r>
      <w:r w:rsidR="0096332D"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 xml:space="preserve">frequent </w:t>
      </w:r>
      <w:r w:rsidR="00946961" w:rsidRPr="0041550F">
        <w:rPr>
          <w:rFonts w:ascii="Times New Roman" w:eastAsia="Times New Roman" w:hAnsi="Times New Roman" w:cs="Times New Roman"/>
          <w:color w:val="000000"/>
          <w:sz w:val="24"/>
          <w:szCs w:val="24"/>
        </w:rPr>
        <w:t>use of inappropriately matched control stimuli</w:t>
      </w:r>
      <w:r w:rsidR="00E61977" w:rsidRPr="0041550F">
        <w:rPr>
          <w:rFonts w:ascii="Times New Roman" w:eastAsia="Times New Roman" w:hAnsi="Times New Roman" w:cs="Times New Roman"/>
          <w:color w:val="000000"/>
          <w:sz w:val="24"/>
          <w:szCs w:val="24"/>
        </w:rPr>
        <w:t>; (</w:t>
      </w:r>
      <w:r w:rsidR="00C9164D" w:rsidRPr="0041550F">
        <w:rPr>
          <w:rFonts w:ascii="Times New Roman" w:eastAsia="Times New Roman" w:hAnsi="Times New Roman" w:cs="Times New Roman"/>
          <w:color w:val="000000"/>
          <w:sz w:val="24"/>
          <w:szCs w:val="24"/>
        </w:rPr>
        <w:t>ii</w:t>
      </w:r>
      <w:r w:rsidR="00E61977" w:rsidRPr="0041550F">
        <w:rPr>
          <w:rFonts w:ascii="Times New Roman" w:eastAsia="Times New Roman" w:hAnsi="Times New Roman" w:cs="Times New Roman"/>
          <w:color w:val="000000"/>
          <w:sz w:val="24"/>
          <w:szCs w:val="24"/>
        </w:rPr>
        <w:t xml:space="preserve">) </w:t>
      </w:r>
      <w:r w:rsidR="0096332D" w:rsidRPr="0041550F">
        <w:rPr>
          <w:rFonts w:ascii="Times New Roman" w:eastAsia="Times New Roman" w:hAnsi="Times New Roman" w:cs="Times New Roman"/>
          <w:color w:val="000000"/>
          <w:sz w:val="24"/>
          <w:szCs w:val="24"/>
        </w:rPr>
        <w:t xml:space="preserve">the </w:t>
      </w:r>
      <w:r w:rsidR="00A221AB" w:rsidRPr="0041550F">
        <w:rPr>
          <w:rFonts w:ascii="Times New Roman" w:eastAsia="Times New Roman" w:hAnsi="Times New Roman" w:cs="Times New Roman"/>
          <w:color w:val="000000"/>
          <w:sz w:val="24"/>
          <w:szCs w:val="24"/>
        </w:rPr>
        <w:t>opacity</w:t>
      </w:r>
      <w:r w:rsidR="00E61977" w:rsidRPr="0041550F">
        <w:rPr>
          <w:rFonts w:ascii="Times New Roman" w:eastAsia="Times New Roman" w:hAnsi="Times New Roman" w:cs="Times New Roman"/>
          <w:color w:val="000000"/>
          <w:sz w:val="24"/>
          <w:szCs w:val="24"/>
        </w:rPr>
        <w:t xml:space="preserve"> of stimulus selection and validation</w:t>
      </w:r>
      <w:r w:rsidR="00996BE3" w:rsidRPr="0041550F">
        <w:rPr>
          <w:rFonts w:ascii="Times New Roman" w:eastAsia="Times New Roman" w:hAnsi="Times New Roman" w:cs="Times New Roman"/>
          <w:color w:val="000000"/>
          <w:sz w:val="24"/>
          <w:szCs w:val="24"/>
        </w:rPr>
        <w:t xml:space="preserve"> procedures</w:t>
      </w:r>
      <w:r w:rsidR="00E61977" w:rsidRPr="0041550F">
        <w:rPr>
          <w:rFonts w:ascii="Times New Roman" w:eastAsia="Times New Roman" w:hAnsi="Times New Roman" w:cs="Times New Roman"/>
          <w:color w:val="000000"/>
          <w:sz w:val="24"/>
          <w:szCs w:val="24"/>
        </w:rPr>
        <w:t>; (</w:t>
      </w:r>
      <w:r w:rsidR="00C9164D" w:rsidRPr="0041550F">
        <w:rPr>
          <w:rFonts w:ascii="Times New Roman" w:eastAsia="Times New Roman" w:hAnsi="Times New Roman" w:cs="Times New Roman"/>
          <w:color w:val="000000"/>
          <w:sz w:val="24"/>
          <w:szCs w:val="24"/>
        </w:rPr>
        <w:t>iii</w:t>
      </w:r>
      <w:r w:rsidR="00E61977" w:rsidRPr="0041550F">
        <w:rPr>
          <w:rFonts w:ascii="Times New Roman" w:eastAsia="Times New Roman" w:hAnsi="Times New Roman" w:cs="Times New Roman"/>
          <w:color w:val="000000"/>
          <w:sz w:val="24"/>
          <w:szCs w:val="24"/>
        </w:rPr>
        <w:t>) a credence in noisy measures; (</w:t>
      </w:r>
      <w:r w:rsidR="00C9164D" w:rsidRPr="0041550F">
        <w:rPr>
          <w:rFonts w:ascii="Times New Roman" w:eastAsia="Times New Roman" w:hAnsi="Times New Roman" w:cs="Times New Roman"/>
          <w:color w:val="000000"/>
          <w:sz w:val="24"/>
          <w:szCs w:val="24"/>
        </w:rPr>
        <w:t>iv</w:t>
      </w:r>
      <w:r w:rsidR="00E61977" w:rsidRPr="0041550F">
        <w:rPr>
          <w:rFonts w:ascii="Times New Roman" w:eastAsia="Times New Roman" w:hAnsi="Times New Roman" w:cs="Times New Roman"/>
          <w:color w:val="000000"/>
          <w:sz w:val="24"/>
          <w:szCs w:val="24"/>
        </w:rPr>
        <w:t xml:space="preserve">) </w:t>
      </w:r>
      <w:r w:rsidR="00414239" w:rsidRPr="0041550F">
        <w:rPr>
          <w:rFonts w:ascii="Times New Roman" w:eastAsia="Times New Roman" w:hAnsi="Times New Roman" w:cs="Times New Roman"/>
          <w:color w:val="000000"/>
          <w:sz w:val="24"/>
          <w:szCs w:val="24"/>
        </w:rPr>
        <w:t>a reliance on</w:t>
      </w:r>
      <w:r w:rsidR="00E61977" w:rsidRPr="0041550F">
        <w:rPr>
          <w:rFonts w:ascii="Times New Roman" w:eastAsia="Times New Roman" w:hAnsi="Times New Roman" w:cs="Times New Roman"/>
          <w:color w:val="000000"/>
          <w:sz w:val="24"/>
          <w:szCs w:val="24"/>
        </w:rPr>
        <w:t xml:space="preserve"> unreliable tasks; and (</w:t>
      </w:r>
      <w:r w:rsidR="00C9164D" w:rsidRPr="0041550F">
        <w:rPr>
          <w:rFonts w:ascii="Times New Roman" w:eastAsia="Times New Roman" w:hAnsi="Times New Roman" w:cs="Times New Roman"/>
          <w:color w:val="000000"/>
          <w:sz w:val="24"/>
          <w:szCs w:val="24"/>
        </w:rPr>
        <w:t>v</w:t>
      </w:r>
      <w:r w:rsidR="00E61977" w:rsidRPr="0041550F">
        <w:rPr>
          <w:rFonts w:ascii="Times New Roman" w:eastAsia="Times New Roman" w:hAnsi="Times New Roman" w:cs="Times New Roman"/>
          <w:color w:val="000000"/>
          <w:sz w:val="24"/>
          <w:szCs w:val="24"/>
        </w:rPr>
        <w:t xml:space="preserve">) </w:t>
      </w:r>
      <w:r w:rsidR="0096332D" w:rsidRPr="0041550F">
        <w:rPr>
          <w:rFonts w:ascii="Times New Roman" w:eastAsia="Times New Roman" w:hAnsi="Times New Roman" w:cs="Times New Roman"/>
          <w:color w:val="000000"/>
          <w:sz w:val="24"/>
          <w:szCs w:val="24"/>
        </w:rPr>
        <w:t xml:space="preserve">considerable </w:t>
      </w:r>
      <w:r w:rsidR="00610348" w:rsidRPr="0041550F">
        <w:rPr>
          <w:rFonts w:ascii="Times New Roman" w:eastAsia="Times New Roman" w:hAnsi="Times New Roman" w:cs="Times New Roman"/>
          <w:color w:val="000000"/>
          <w:sz w:val="24"/>
          <w:szCs w:val="24"/>
        </w:rPr>
        <w:t>variability</w:t>
      </w:r>
      <w:r w:rsidR="00E61977" w:rsidRPr="0041550F">
        <w:rPr>
          <w:rFonts w:ascii="Times New Roman" w:eastAsia="Times New Roman" w:hAnsi="Times New Roman" w:cs="Times New Roman"/>
          <w:color w:val="000000"/>
          <w:sz w:val="24"/>
          <w:szCs w:val="24"/>
        </w:rPr>
        <w:t xml:space="preserve"> in design and analysis. To exemplify </w:t>
      </w:r>
      <w:r w:rsidR="00226E95" w:rsidRPr="0041550F">
        <w:rPr>
          <w:rFonts w:ascii="Times New Roman" w:eastAsia="Times New Roman" w:hAnsi="Times New Roman" w:cs="Times New Roman"/>
          <w:color w:val="000000"/>
          <w:sz w:val="24"/>
          <w:szCs w:val="24"/>
        </w:rPr>
        <w:t>this</w:t>
      </w:r>
      <w:r w:rsidR="00E61977" w:rsidRPr="0041550F">
        <w:rPr>
          <w:rFonts w:ascii="Times New Roman" w:eastAsia="Times New Roman" w:hAnsi="Times New Roman" w:cs="Times New Roman"/>
          <w:color w:val="000000"/>
          <w:sz w:val="24"/>
          <w:szCs w:val="24"/>
        </w:rPr>
        <w:t xml:space="preserve">, we </w:t>
      </w:r>
      <w:r w:rsidR="00F671D7" w:rsidRPr="0041550F">
        <w:rPr>
          <w:rFonts w:ascii="Times New Roman" w:eastAsia="Times New Roman" w:hAnsi="Times New Roman" w:cs="Times New Roman"/>
          <w:color w:val="000000"/>
          <w:sz w:val="24"/>
          <w:szCs w:val="24"/>
        </w:rPr>
        <w:t>systematically</w:t>
      </w:r>
      <w:r w:rsidR="000B5886" w:rsidRPr="0041550F">
        <w:rPr>
          <w:rFonts w:ascii="Times New Roman" w:eastAsia="Times New Roman" w:hAnsi="Times New Roman" w:cs="Times New Roman"/>
          <w:color w:val="000000"/>
          <w:sz w:val="24"/>
          <w:szCs w:val="24"/>
        </w:rPr>
        <w:t xml:space="preserve"> </w:t>
      </w:r>
      <w:r w:rsidR="00E61977" w:rsidRPr="0041550F">
        <w:rPr>
          <w:rFonts w:ascii="Times New Roman" w:eastAsia="Times New Roman" w:hAnsi="Times New Roman" w:cs="Times New Roman"/>
          <w:color w:val="000000"/>
          <w:sz w:val="24"/>
          <w:szCs w:val="24"/>
        </w:rPr>
        <w:t xml:space="preserve">review </w:t>
      </w:r>
      <w:r w:rsidR="000B5886" w:rsidRPr="0041550F">
        <w:rPr>
          <w:rFonts w:ascii="Times New Roman" w:eastAsia="Times New Roman" w:hAnsi="Times New Roman" w:cs="Times New Roman"/>
          <w:color w:val="000000"/>
          <w:sz w:val="24"/>
          <w:szCs w:val="24"/>
        </w:rPr>
        <w:t xml:space="preserve">the </w:t>
      </w:r>
      <w:r w:rsidR="00E61977" w:rsidRPr="0041550F">
        <w:rPr>
          <w:rFonts w:ascii="Times New Roman" w:eastAsia="Times New Roman" w:hAnsi="Times New Roman" w:cs="Times New Roman"/>
          <w:color w:val="000000"/>
          <w:sz w:val="24"/>
          <w:szCs w:val="24"/>
        </w:rPr>
        <w:t>last 10-years of literature on</w:t>
      </w:r>
      <w:r w:rsidR="008B230A" w:rsidRPr="0041550F">
        <w:rPr>
          <w:rFonts w:ascii="Times New Roman" w:eastAsia="Times New Roman" w:hAnsi="Times New Roman" w:cs="Times New Roman"/>
          <w:color w:val="000000"/>
          <w:sz w:val="24"/>
          <w:szCs w:val="24"/>
        </w:rPr>
        <w:t xml:space="preserve"> one </w:t>
      </w:r>
      <w:r w:rsidR="008B230A" w:rsidRPr="0041550F">
        <w:rPr>
          <w:rFonts w:ascii="Times New Roman" w:eastAsia="Times New Roman" w:hAnsi="Times New Roman" w:cs="Times New Roman"/>
          <w:color w:val="000000"/>
          <w:sz w:val="24"/>
          <w:szCs w:val="24"/>
        </w:rPr>
        <w:lastRenderedPageBreak/>
        <w:t xml:space="preserve">specific </w:t>
      </w:r>
      <w:r w:rsidR="005F1BAC" w:rsidRPr="0041550F">
        <w:rPr>
          <w:rFonts w:ascii="Times New Roman" w:eastAsia="Times New Roman" w:hAnsi="Times New Roman" w:cs="Times New Roman"/>
          <w:color w:val="000000"/>
          <w:sz w:val="24"/>
          <w:szCs w:val="24"/>
        </w:rPr>
        <w:t xml:space="preserve">sub-domain of </w:t>
      </w:r>
      <w:r w:rsidR="0096332D" w:rsidRPr="0041550F">
        <w:rPr>
          <w:rFonts w:ascii="Times New Roman" w:eastAsia="Times New Roman" w:hAnsi="Times New Roman" w:cs="Times New Roman"/>
          <w:color w:val="000000"/>
          <w:sz w:val="24"/>
          <w:szCs w:val="24"/>
        </w:rPr>
        <w:t xml:space="preserve">cognitive alcohol </w:t>
      </w:r>
      <w:r w:rsidR="005F1BAC" w:rsidRPr="0041550F">
        <w:rPr>
          <w:rFonts w:ascii="Times New Roman" w:eastAsia="Times New Roman" w:hAnsi="Times New Roman" w:cs="Times New Roman"/>
          <w:color w:val="000000"/>
          <w:sz w:val="24"/>
          <w:szCs w:val="24"/>
        </w:rPr>
        <w:t>research; namely,</w:t>
      </w:r>
      <w:r w:rsidR="00E61977" w:rsidRPr="0041550F">
        <w:rPr>
          <w:rFonts w:ascii="Times New Roman" w:eastAsia="Times New Roman" w:hAnsi="Times New Roman" w:cs="Times New Roman"/>
          <w:color w:val="000000"/>
          <w:sz w:val="24"/>
          <w:szCs w:val="24"/>
        </w:rPr>
        <w:t xml:space="preserve"> alcohol-related attentional bias</w:t>
      </w:r>
      <w:r w:rsidR="00E61977" w:rsidRPr="0041550F">
        <w:rPr>
          <w:rFonts w:ascii="Times New Roman" w:eastAsia="Times New Roman" w:hAnsi="Times New Roman" w:cs="Times New Roman"/>
          <w:sz w:val="24"/>
          <w:szCs w:val="24"/>
        </w:rPr>
        <w:t xml:space="preserve"> (</w:t>
      </w:r>
      <w:r w:rsidR="00E61977" w:rsidRPr="0041550F">
        <w:rPr>
          <w:rFonts w:ascii="Times New Roman" w:eastAsia="Times New Roman" w:hAnsi="Times New Roman" w:cs="Times New Roman"/>
          <w:i/>
          <w:iCs/>
          <w:sz w:val="24"/>
          <w:szCs w:val="24"/>
        </w:rPr>
        <w:t xml:space="preserve">n </w:t>
      </w:r>
      <w:r w:rsidR="00E61977" w:rsidRPr="0041550F">
        <w:rPr>
          <w:rFonts w:ascii="Times New Roman" w:eastAsia="Times New Roman" w:hAnsi="Times New Roman" w:cs="Times New Roman"/>
          <w:sz w:val="24"/>
          <w:szCs w:val="24"/>
        </w:rPr>
        <w:t>= 64 articles, 68 tasks;</w:t>
      </w:r>
      <w:r w:rsidR="00E61977" w:rsidRPr="0041550F">
        <w:t xml:space="preserve"> </w:t>
      </w:r>
      <w:hyperlink r:id="rId11" w:history="1">
        <w:r w:rsidR="00E61977" w:rsidRPr="0041550F">
          <w:rPr>
            <w:rStyle w:val="Hyperlink"/>
            <w:rFonts w:ascii="Times New Roman" w:eastAsia="Times New Roman" w:hAnsi="Times New Roman" w:cs="Times New Roman"/>
            <w:sz w:val="24"/>
            <w:szCs w:val="24"/>
          </w:rPr>
          <w:t>https://osf.io/x7gcq/</w:t>
        </w:r>
      </w:hyperlink>
      <w:r w:rsidR="00E61977" w:rsidRPr="0041550F">
        <w:rPr>
          <w:rFonts w:ascii="Times New Roman" w:eastAsia="Times New Roman" w:hAnsi="Times New Roman" w:cs="Times New Roman"/>
          <w:sz w:val="24"/>
          <w:szCs w:val="24"/>
        </w:rPr>
        <w:t>)</w:t>
      </w:r>
      <w:r w:rsidR="005F1BAC" w:rsidRPr="0041550F">
        <w:rPr>
          <w:rFonts w:ascii="Times New Roman" w:eastAsia="Times New Roman" w:hAnsi="Times New Roman" w:cs="Times New Roman"/>
          <w:sz w:val="24"/>
          <w:szCs w:val="24"/>
        </w:rPr>
        <w:t xml:space="preserve">. </w:t>
      </w:r>
      <w:r w:rsidR="00216617" w:rsidRPr="0041550F">
        <w:rPr>
          <w:rFonts w:ascii="Times New Roman" w:eastAsia="Times New Roman" w:hAnsi="Times New Roman" w:cs="Times New Roman"/>
          <w:sz w:val="24"/>
          <w:szCs w:val="24"/>
        </w:rPr>
        <w:t xml:space="preserve">As </w:t>
      </w:r>
      <w:r w:rsidR="005E7248" w:rsidRPr="0041550F">
        <w:rPr>
          <w:rFonts w:ascii="Times New Roman" w:eastAsia="Times New Roman" w:hAnsi="Times New Roman" w:cs="Times New Roman"/>
          <w:sz w:val="24"/>
          <w:szCs w:val="24"/>
        </w:rPr>
        <w:t>shown</w:t>
      </w:r>
      <w:r w:rsidR="00216617" w:rsidRPr="0041550F">
        <w:rPr>
          <w:rFonts w:ascii="Times New Roman" w:eastAsia="Times New Roman" w:hAnsi="Times New Roman" w:cs="Times New Roman"/>
          <w:sz w:val="24"/>
          <w:szCs w:val="24"/>
        </w:rPr>
        <w:t xml:space="preserve"> in </w:t>
      </w:r>
      <w:r w:rsidR="00580CFC">
        <w:rPr>
          <w:rFonts w:ascii="Times New Roman" w:eastAsia="Times New Roman" w:hAnsi="Times New Roman" w:cs="Times New Roman"/>
          <w:sz w:val="24"/>
          <w:szCs w:val="24"/>
        </w:rPr>
        <w:t>Figure</w:t>
      </w:r>
      <w:r w:rsidR="00216617" w:rsidRPr="0041550F">
        <w:rPr>
          <w:rFonts w:ascii="Times New Roman" w:eastAsia="Times New Roman" w:hAnsi="Times New Roman" w:cs="Times New Roman"/>
          <w:sz w:val="24"/>
          <w:szCs w:val="24"/>
        </w:rPr>
        <w:t xml:space="preserve"> 1,</w:t>
      </w:r>
      <w:r w:rsidR="0005500E" w:rsidRPr="0041550F">
        <w:rPr>
          <w:rFonts w:ascii="Times New Roman" w:eastAsia="Times New Roman" w:hAnsi="Times New Roman" w:cs="Times New Roman"/>
          <w:sz w:val="24"/>
          <w:szCs w:val="24"/>
        </w:rPr>
        <w:t xml:space="preserve"> this revealed that </w:t>
      </w:r>
      <w:r w:rsidR="0026266E" w:rsidRPr="0041550F">
        <w:rPr>
          <w:rFonts w:ascii="Times New Roman" w:eastAsia="Times New Roman" w:hAnsi="Times New Roman" w:cs="Times New Roman"/>
          <w:sz w:val="24"/>
          <w:szCs w:val="24"/>
        </w:rPr>
        <w:t xml:space="preserve">these issues were present in the majority of synthesised studies. </w:t>
      </w:r>
      <w:r w:rsidR="00360F2D" w:rsidRPr="0041550F">
        <w:rPr>
          <w:rFonts w:ascii="Times New Roman" w:eastAsia="Times New Roman" w:hAnsi="Times New Roman" w:cs="Times New Roman"/>
          <w:sz w:val="24"/>
          <w:szCs w:val="24"/>
        </w:rPr>
        <w:t>After discussing the</w:t>
      </w:r>
      <w:r w:rsidR="00E45569" w:rsidRPr="0041550F">
        <w:rPr>
          <w:rFonts w:ascii="Times New Roman" w:eastAsia="Times New Roman" w:hAnsi="Times New Roman" w:cs="Times New Roman"/>
          <w:sz w:val="24"/>
          <w:szCs w:val="24"/>
        </w:rPr>
        <w:t xml:space="preserve">ir respective impact, we then </w:t>
      </w:r>
      <w:r w:rsidR="004F168A" w:rsidRPr="0041550F">
        <w:rPr>
          <w:rFonts w:ascii="Times New Roman" w:eastAsia="Times New Roman" w:hAnsi="Times New Roman" w:cs="Times New Roman"/>
          <w:sz w:val="24"/>
          <w:szCs w:val="24"/>
        </w:rPr>
        <w:t>present an easy-to-implement practical guide with</w:t>
      </w:r>
      <w:r w:rsidR="00C62AE8" w:rsidRPr="0041550F">
        <w:rPr>
          <w:rFonts w:ascii="Times New Roman" w:eastAsia="Times New Roman" w:hAnsi="Times New Roman" w:cs="Times New Roman"/>
          <w:sz w:val="24"/>
          <w:szCs w:val="24"/>
        </w:rPr>
        <w:t xml:space="preserve"> a view to establishing gold standards for future research</w:t>
      </w:r>
      <w:r w:rsidR="004F168A" w:rsidRPr="0041550F">
        <w:rPr>
          <w:rFonts w:ascii="Times New Roman" w:eastAsia="Times New Roman" w:hAnsi="Times New Roman" w:cs="Times New Roman"/>
          <w:sz w:val="24"/>
          <w:szCs w:val="24"/>
        </w:rPr>
        <w:t>.</w:t>
      </w:r>
      <w:r w:rsidR="00C62AE8" w:rsidRPr="0041550F">
        <w:rPr>
          <w:rFonts w:ascii="Times New Roman" w:eastAsia="Times New Roman" w:hAnsi="Times New Roman" w:cs="Times New Roman"/>
          <w:sz w:val="24"/>
          <w:szCs w:val="24"/>
        </w:rPr>
        <w:t xml:space="preserve"> </w:t>
      </w:r>
      <w:r w:rsidR="0053622B" w:rsidRPr="0041550F">
        <w:rPr>
          <w:rFonts w:ascii="Times New Roman" w:eastAsia="Times New Roman" w:hAnsi="Times New Roman" w:cs="Times New Roman"/>
          <w:color w:val="000000"/>
          <w:sz w:val="24"/>
          <w:szCs w:val="24"/>
        </w:rPr>
        <w:t xml:space="preserve">It is important to </w:t>
      </w:r>
      <w:r w:rsidR="0096332D" w:rsidRPr="0041550F">
        <w:rPr>
          <w:rFonts w:ascii="Times New Roman" w:eastAsia="Times New Roman" w:hAnsi="Times New Roman" w:cs="Times New Roman"/>
          <w:color w:val="000000"/>
          <w:sz w:val="24"/>
          <w:szCs w:val="24"/>
        </w:rPr>
        <w:t xml:space="preserve">stress </w:t>
      </w:r>
      <w:r w:rsidR="0053622B" w:rsidRPr="0041550F">
        <w:rPr>
          <w:rFonts w:ascii="Times New Roman" w:eastAsia="Times New Roman" w:hAnsi="Times New Roman" w:cs="Times New Roman"/>
          <w:color w:val="000000"/>
          <w:sz w:val="24"/>
          <w:szCs w:val="24"/>
        </w:rPr>
        <w:t xml:space="preserve">that </w:t>
      </w:r>
      <w:r w:rsidR="00387B16" w:rsidRPr="0041550F">
        <w:rPr>
          <w:rFonts w:ascii="Times New Roman" w:eastAsia="Times New Roman" w:hAnsi="Times New Roman" w:cs="Times New Roman"/>
          <w:color w:val="000000"/>
          <w:sz w:val="24"/>
          <w:szCs w:val="24"/>
        </w:rPr>
        <w:t xml:space="preserve">many of the issues </w:t>
      </w:r>
      <w:r w:rsidR="0096332D" w:rsidRPr="0041550F">
        <w:rPr>
          <w:rFonts w:ascii="Times New Roman" w:eastAsia="Times New Roman" w:hAnsi="Times New Roman" w:cs="Times New Roman"/>
          <w:color w:val="000000"/>
          <w:sz w:val="24"/>
          <w:szCs w:val="24"/>
        </w:rPr>
        <w:t>highlight</w:t>
      </w:r>
      <w:r w:rsidR="006764C5" w:rsidRPr="0041550F">
        <w:rPr>
          <w:rFonts w:ascii="Times New Roman" w:eastAsia="Times New Roman" w:hAnsi="Times New Roman" w:cs="Times New Roman"/>
          <w:color w:val="000000"/>
          <w:sz w:val="24"/>
          <w:szCs w:val="24"/>
        </w:rPr>
        <w:t>ed</w:t>
      </w:r>
      <w:r w:rsidR="0096332D" w:rsidRPr="0041550F">
        <w:rPr>
          <w:rFonts w:ascii="Times New Roman" w:eastAsia="Times New Roman" w:hAnsi="Times New Roman" w:cs="Times New Roman"/>
          <w:color w:val="000000"/>
          <w:sz w:val="24"/>
          <w:szCs w:val="24"/>
        </w:rPr>
        <w:t xml:space="preserve"> in the sections below </w:t>
      </w:r>
      <w:r w:rsidR="00240C71" w:rsidRPr="0041550F">
        <w:rPr>
          <w:rFonts w:ascii="Times New Roman" w:eastAsia="Times New Roman" w:hAnsi="Times New Roman" w:cs="Times New Roman"/>
          <w:color w:val="000000"/>
          <w:sz w:val="24"/>
          <w:szCs w:val="24"/>
        </w:rPr>
        <w:t xml:space="preserve">are </w:t>
      </w:r>
      <w:r w:rsidR="0096332D" w:rsidRPr="0041550F">
        <w:rPr>
          <w:rFonts w:ascii="Times New Roman" w:eastAsia="Times New Roman" w:hAnsi="Times New Roman" w:cs="Times New Roman"/>
          <w:color w:val="000000"/>
          <w:sz w:val="24"/>
          <w:szCs w:val="24"/>
        </w:rPr>
        <w:t xml:space="preserve">applicable beyond </w:t>
      </w:r>
      <w:r w:rsidR="00240C71" w:rsidRPr="0041550F">
        <w:rPr>
          <w:rFonts w:ascii="Times New Roman" w:eastAsia="Times New Roman" w:hAnsi="Times New Roman" w:cs="Times New Roman"/>
          <w:color w:val="000000"/>
          <w:sz w:val="24"/>
          <w:szCs w:val="24"/>
        </w:rPr>
        <w:t xml:space="preserve">the field of </w:t>
      </w:r>
      <w:r w:rsidR="0040749A" w:rsidRPr="0041550F">
        <w:rPr>
          <w:rFonts w:ascii="Times New Roman" w:eastAsia="Times New Roman" w:hAnsi="Times New Roman" w:cs="Times New Roman"/>
          <w:color w:val="000000"/>
          <w:sz w:val="24"/>
          <w:szCs w:val="24"/>
        </w:rPr>
        <w:t xml:space="preserve">cognitive </w:t>
      </w:r>
      <w:r w:rsidR="00240C71" w:rsidRPr="0041550F">
        <w:rPr>
          <w:rFonts w:ascii="Times New Roman" w:eastAsia="Times New Roman" w:hAnsi="Times New Roman" w:cs="Times New Roman"/>
          <w:color w:val="000000"/>
          <w:sz w:val="24"/>
          <w:szCs w:val="24"/>
        </w:rPr>
        <w:t xml:space="preserve">alcohol research and have been discussed within </w:t>
      </w:r>
      <w:r w:rsidR="0096332D" w:rsidRPr="0041550F">
        <w:rPr>
          <w:rFonts w:ascii="Times New Roman" w:eastAsia="Times New Roman" w:hAnsi="Times New Roman" w:cs="Times New Roman"/>
          <w:color w:val="000000"/>
          <w:sz w:val="24"/>
          <w:szCs w:val="24"/>
        </w:rPr>
        <w:t xml:space="preserve">psychological </w:t>
      </w:r>
      <w:r w:rsidR="00240C71" w:rsidRPr="0041550F">
        <w:rPr>
          <w:rFonts w:ascii="Times New Roman" w:eastAsia="Times New Roman" w:hAnsi="Times New Roman" w:cs="Times New Roman"/>
          <w:color w:val="000000"/>
          <w:sz w:val="24"/>
          <w:szCs w:val="24"/>
        </w:rPr>
        <w:t xml:space="preserve">science more generally (e.g., </w:t>
      </w:r>
      <w:r w:rsidR="00462C9B" w:rsidRPr="0041550F">
        <w:rPr>
          <w:rFonts w:ascii="Times New Roman" w:eastAsia="Times New Roman" w:hAnsi="Times New Roman" w:cs="Times New Roman"/>
          <w:color w:val="000000"/>
          <w:sz w:val="24"/>
          <w:szCs w:val="24"/>
        </w:rPr>
        <w:fldChar w:fldCharType="begin" w:fldLock="1"/>
      </w:r>
      <w:r w:rsidR="0072560E" w:rsidRPr="0041550F">
        <w:rPr>
          <w:rFonts w:ascii="Times New Roman" w:eastAsia="Times New Roman" w:hAnsi="Times New Roman" w:cs="Times New Roman"/>
          <w:color w:val="000000"/>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Measurements","type":"article-journal","volume":"2"},"uris":["http://www.mendeley.com/documents/?uuid=7cf16994-8793-48f1-8295-c58dfc3bc700"]},{"id":"ITEM-2","itemData":{"ISBN":"9789896540821","ISSN":"00223530","PMID":"25246403","abstract":"Predicting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A.","non-dropping-particle":"","parse-names":false,"suffix":""}],"id":"ITEM-2","issued":{"date-parts":[["2020"]]},"title":"Advancing the understanding of individual differences in attentional control: Theoretical, methodological, and analytical considerations","type":"article-journal"},"uris":["http://www.mendeley.com/documents/?uuid=1c8bdd8e-5846-438f-b575-e3ecb8c64beb"]},{"id":"ITEM-3","itemData":{"DOI":"10.7554/eLife.46323","ISSN":"2050084X","PMID":"31033438","abstract":"Response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Nico","non-dropping-particle":"","parse-names":false,"suffix":""}],"container-title":"eLife","id":"ITEM-3","issued":{"date-parts":[["2019"]]},"page":"1-26","title":"A consensus guide to capturing the ability to inhibit actions and impulsive behaviors in the stop-signal task","type":"article-journal","volume":"8"},"uris":["http://www.mendeley.com/documents/?uuid=e999e310-876b-4205-86ae-252c2b7bc17c"]},{"id":"ITEM-4","itemData":{"DOI":"10.1038/s41562-016-0021","ISBN":"4156201600","ISSN":"23973374","abstract":"Improving the reliability and efficiency of scientific research will increase the credibility of the published scientific literature and accelerate discovery. Here we argue for the adoption of measures to optimize key elements of the scientific process: Methods, reporting and dissemination, reproducibility, evaluation and incentives. There is some evidence from both simulations and empirical studies supporting the likely effectiveness of these measures, but their broad adoption by researchers, institutions, funders and journals will require iterative evaluation and improvement. We discuss the goals of these measures, and how they can be implemented, in the hope that this will facilitate action toward improving the transparency, reproducibility and efficiency of scientific research.","author":[{"dropping-particle":"","family":"Munafò","given":"Marcus R.","non-dropping-particle":"","parse-names":false,"suffix":""},{"dropping-particle":"","family":"Nosek","given":"Brian A.","non-dropping-particle":"","parse-names":false,"suffix":""},{"dropping-particle":"","family":"Bishop","given":"Dorothy V.M.","non-dropping-particle":"","parse-names":false,"suffix":""},{"dropping-particle":"","family":"Button","given":"Katherine S.","non-dropping-particle":"","parse-names":false,"suffix":""},{"dropping-particle":"","family":"Chambers","given":"Christopher D.","non-dropping-particle":"","parse-names":false,"suffix":""},{"dropping-particle":"","family":"Percie Du Sert","given":"Nathalie","non-dropping-particle":"","parse-names":false,"suffix":""},{"dropping-particle":"","family":"Simonsohn","given":"Uri","non-dropping-particle":"","parse-names":false,"suffix":""},{"dropping-particle":"","family":"Wagenmakers","given":"Eric Jan","non-dropping-particle":"","parse-names":false,"suffix":""},{"dropping-particle":"","family":"Ware","given":"Jennifer J.","non-dropping-particle":"","parse-names":false,"suffix":""},{"dropping-particle":"","family":"Ioannidis","given":"John P.A.","non-dropping-particle":"","parse-names":false,"suffix":""}],"container-title":"Nature Human Behaviour","id":"ITEM-4","issue":"1","issued":{"date-parts":[["2017"]]},"page":"1-9","publisher":"Macmillan Publishers Limited","title":"A manifesto for reproducible science","type":"article-journal","volume":"1"},"uris":["http://www.mendeley.com/documents/?uuid=9ca7b176-3bdf-4ca0-84a5-4a4f1a97ada7"]},{"id":"ITEM-5","itemData":{"DOI":"10.1177/2515245917747646","ISSN":"2515-2459","abstract":"Twenty-nine teams involving 61 analysts used the same data set to address the same research question: whether soccer referees are more likely to give red cards to dark-skin-toned players than to light-skin-toned players. Analytic approaches varied widely across the teams, and the estimated effect sizes ranged from 0.89 to 2.93 ( Mdn = 1.31) in odds-ratio units. Twenty teams (69%) found a statistically significant positive effect, and 9 teams (31%) did not observe a significant relationship. Overall, the 29 different analyses used 21 unique combinations of covariates. Neither analysts’ prior beliefs about the effect of interest nor their level of expertise readily explained the variation in the outcomes of the analyses. Peer ratings of the quality of the analyses also did not account for the variability. These findings suggest that significant variation in the results of analyses of complex data may be difficult to avoid, even by experts with honest intentions. Crowdsourcing data analysis, a strategy in which numerous research teams are recruited to simultaneously investigate the same research question, makes transparent how defensible, yet subjective, analytic choices influence research results.","author":[{"dropping-particle":"","family":"Silberzahn","given":"R.","non-dropping-particle":"","parse-names":false,"suffix":""},{"dropping-particle":"","family":"Uhlmann","given":"E. L.","non-dropping-particle":"","parse-names":false,"suffix":""},{"dropping-particle":"","family":"Martin","given":"D. P.","non-dropping-particle":"","parse-names":false,"suffix":""},{"dropping-particle":"","family":"Anselmi","given":"P.","non-dropping-particle":"","parse-names":false,"suffix":""},{"dropping-particle":"","family":"Aust","given":"F.","non-dropping-particle":"","parse-names":false,"suffix":""},{"dropping-particle":"","family":"Awtrey","given":"E.","non-dropping-particle":"","parse-names":false,"suffix":""},{"dropping-particle":"","family":"Bahník","given":"Š.","non-dropping-particle":"","parse-names":false,"suffix":""},{"dropping-particle":"","family":"Bai","given":"F.","non-dropping-particle":"","parse-names":false,"suffix":""},{"dropping-particle":"","family":"Bannard","given":"C.","non-dropping-particle":"","parse-names":false,"suffix":""},{"dropping-particle":"","family":"Bonnier","given":"E.","non-dropping-particle":"","parse-names":false,"suffix":""},{"dropping-particle":"","family":"Carlsson","given":"R.","non-dropping-particle":"","parse-names":false,"suffix":""},{"dropping-particle":"","family":"Cheung","given":"F.","non-dropping-particle":"","parse-names":false,"suffix":""},{"dropping-particle":"","family":"Christensen","given":"G.","non-dropping-particle":"","parse-names":false,"suffix":""},{"dropping-particle":"","family":"Clay","given":"R.","non-dropping-particle":"","parse-names":false,"suffix":""},{"dropping-particle":"","family":"Craig","given":"M. A.","non-dropping-particle":"","parse-names":false,"suffix":""},{"dropping-particle":"","family":"Dalla Rosa","given":"A.","non-dropping-particle":"","parse-names":false,"suffix":""},{"dropping-particle":"","family":"Dam","given":"L.","non-dropping-particle":"","parse-names":false,"suffix":""},{"dropping-particle":"","family":"Evans","given":"M. H.","non-dropping-particle":"","parse-names":false,"suffix":""},{"dropping-particle":"","family":"Flores Cervantes","given":"I.","non-dropping-particle":"","parse-names":false,"suffix":""},{"dropping-particle":"","family":"Fong","given":"N.","non-dropping-particle":"","parse-names":false,"suffix":""},{"dropping-particle":"","family":"Gamez-Djokic","given":"M.","non-dropping-particle":"","parse-names":false,"suffix":""},{"dropping-particle":"","family":"Glenz","given":"A.","non-dropping-particle":"","parse-names":false,"suffix":""},{"dropping-particle":"","family":"Gordon-McKeon","given":"S.","non-dropping-particle":"","parse-names":false,"suffix":""},{"dropping-particle":"","family":"Heaton","given":"T. J.","non-dropping-particle":"","parse-names":false,"suffix":""},{"dropping-particle":"","family":"Hederos","given":"K.","non-dropping-particle":"","parse-names":false,"suffix":""},{"dropping-particle":"","family":"Heene","given":"M.","non-dropping-particle":"","parse-names":false,"suffix":""},{"dropping-particle":"","family":"Hofelich Mohr","given":"A. J.","non-dropping-particle":"","parse-names":false,"suffix":""},{"dropping-particle":"","family":"Högden","given":"F.","non-dropping-particle":"","parse-names":false,"suffix":""},{"dropping-particle":"","family":"Hui","given":"K.","non-dropping-particle":"","parse-names":false,"suffix":""},{"dropping-particle":"","family":"Johannesson","given":"M.","non-dropping-particle":"","parse-names":false,"suffix":""},{"dropping-particle":"","family":"Kalodimos","given":"J.","non-dropping-particle":"","parse-names":false,"suffix":""},{"dropping-particle":"","family":"Kaszubowski","given":"E.","non-dropping-particle":"","parse-names":false,"suffix":""},{"dropping-particle":"","family":"Kennedy","given":"D. M.","non-dropping-particle":"","parse-names":false,"suffix":""},{"dropping-particle":"","family":"Lei","given":"R.","non-dropping-particle":"","parse-names":false,"suffix":""},{"dropping-particle":"","family":"Lindsay","given":"T. A.","non-dropping-particle":"","parse-names":false,"suffix":""},{"dropping-particle":"","family":"Liverani","given":"S.","non-dropping-particle":"","parse-names":false,"suffix":""},{"dropping-particle":"","family":"Madan","given":"C. R.","non-dropping-particle":"","parse-names":false,"suffix":""},{"dropping-particle":"","family":"Molden","given":"D.","non-dropping-particle":"","parse-names":false,"suffix":""},{"dropping-particle":"","family":"Molleman","given":"E.","non-dropping-particle":"","parse-names":false,"suffix":""},{"dropping-particle":"","family":"Morey","given":"R. D.","non-dropping-particle":"","parse-names":false,"suffix":""},{"dropping-particle":"","family":"Mulder","given":"L. B.","non-dropping-particle":"","parse-names":false,"suffix":""},{"dropping-particle":"","family":"Nijstad","given":"B. R.","non-dropping-particle":"","parse-names":false,"suffix":""},{"dropping-particle":"","family":"Pope","given":"N. G.","non-dropping-particle":"","parse-names":false,"suffix":""},{"dropping-particle":"","family":"Pope","given":"B.","non-dropping-particle":"","parse-names":false,"suffix":""},{"dropping-particle":"","family":"Prenoveau","given":"J. M.","non-dropping-particle":"","parse-names":false,"suffix":""},{"dropping-particle":"","family":"Rink","given":"F.","non-dropping-particle":"","parse-names":false,"suffix":""},{"dropping-particle":"","family":"Robusto","given":"E.","non-dropping-particle":"","parse-names":false,"suffix":""},{"dropping-particle":"","family":"Roderique","given":"H.","non-dropping-particle":"","parse-names":false,"suffix":""},{"dropping-particle":"","family":"Sandberg","given":"A.","non-dropping-particle":"","parse-names":false,"suffix":""},{"dropping-particle":"","family":"Schlüter","given":"E.","non-dropping-particle":"","parse-names":false,"suffix":""},{"dropping-particle":"","family":"Schönbrodt","given":"F. D.","non-dropping-particle":"","parse-names":false,"suffix":""},{"dropping-particle":"","family":"Sherman","given":"M. F.","non-dropping-particle":"","parse-names":false,"suffix":""},{"dropping-particle":"","family":"Sommer","given":"S. A.","non-dropping-particle":"","parse-names":false,"suffix":""},{"dropping-particle":"","family":"Sotak","given":"K.","non-dropping-particle":"","parse-names":false,"suffix":""},{"dropping-particle":"","family":"Spain","given":"S.","non-dropping-particle":"","parse-names":false,"suffix":""},{"dropping-particle":"","family":"Spörlein","given":"C.","non-dropping-particle":"","parse-names":false,"suffix":""},{"dropping-particle":"","family":"Stafford","given":"T.","non-dropping-particle":"","parse-names":false,"suffix":""},{"dropping-particle":"","family":"Stefanutti","given":"L.","non-dropping-particle":"","parse-names":false,"suffix":""},{"dropping-particle":"","family":"Tauber","given":"S.","non-dropping-particle":"","parse-names":false,"suffix":""},{"dropping-particle":"","family":"Ullrich","given":"J.","non-dropping-particle":"","parse-names":false,"suffix":""},{"dropping-particle":"","family":"Vianello","given":"M.","non-dropping-particle":"","parse-names":false,"suffix":""},{"dropping-particle":"","family":"Wagenmakers","given":"E.-J.","non-dropping-particle":"","parse-names":false,"suffix":""},{"dropping-particle":"","family":"Witkowiak","given":"M.","non-dropping-particle":"","parse-names":false,"suffix":""},{"dropping-particle":"","family":"Yoon","given":"S.","non-dropping-particle":"","parse-names":false,"suffix":""},{"dropping-particle":"","family":"Nosek","given":"B. A.","non-dropping-particle":"","parse-names":false,"suffix":""}],"container-title":"Advances in Methods and Practices in Psychological Science","id":"ITEM-5","issue":"3","issued":{"date-parts":[["2018"]]},"page":"337-356","title":"Many Analysts, One Data Set: Making Transparent How Variations in Analytic Choices Affect Results","type":"article-journal","volume":"1"},"uris":["http://www.mendeley.com/documents/?uuid=a3da3b71-95e3-4a63-ad00-e54d3427f2c4"]}],"mendeley":{"formattedCitation":"(16–20)","plainTextFormattedCitation":"(16–20)","previouslyFormattedCitation":"(16–20)"},"properties":{"noteIndex":0},"schema":"https://github.com/citation-style-language/schema/raw/master/csl-citation.json"}</w:instrText>
      </w:r>
      <w:r w:rsidR="00462C9B" w:rsidRPr="0041550F">
        <w:rPr>
          <w:rFonts w:ascii="Times New Roman" w:eastAsia="Times New Roman" w:hAnsi="Times New Roman" w:cs="Times New Roman"/>
          <w:color w:val="000000"/>
          <w:sz w:val="24"/>
          <w:szCs w:val="24"/>
        </w:rPr>
        <w:fldChar w:fldCharType="separate"/>
      </w:r>
      <w:r w:rsidR="0072560E" w:rsidRPr="0041550F">
        <w:rPr>
          <w:rFonts w:ascii="Times New Roman" w:eastAsia="Times New Roman" w:hAnsi="Times New Roman" w:cs="Times New Roman"/>
          <w:noProof/>
          <w:color w:val="000000"/>
          <w:sz w:val="24"/>
          <w:szCs w:val="24"/>
        </w:rPr>
        <w:t>16–20)</w:t>
      </w:r>
      <w:r w:rsidR="00462C9B" w:rsidRPr="0041550F">
        <w:rPr>
          <w:rFonts w:ascii="Times New Roman" w:eastAsia="Times New Roman" w:hAnsi="Times New Roman" w:cs="Times New Roman"/>
          <w:color w:val="000000"/>
          <w:sz w:val="24"/>
          <w:szCs w:val="24"/>
        </w:rPr>
        <w:fldChar w:fldCharType="end"/>
      </w:r>
      <w:r w:rsidR="00240C71" w:rsidRPr="0041550F">
        <w:rPr>
          <w:rFonts w:ascii="Times New Roman" w:eastAsia="Times New Roman" w:hAnsi="Times New Roman" w:cs="Times New Roman"/>
          <w:color w:val="000000"/>
          <w:sz w:val="24"/>
          <w:szCs w:val="24"/>
        </w:rPr>
        <w:t xml:space="preserve">. </w:t>
      </w:r>
      <w:r w:rsidR="00510B54" w:rsidRPr="0041550F">
        <w:rPr>
          <w:rFonts w:ascii="Times New Roman" w:eastAsia="Times New Roman" w:hAnsi="Times New Roman" w:cs="Times New Roman"/>
          <w:color w:val="000000"/>
          <w:sz w:val="24"/>
          <w:szCs w:val="24"/>
        </w:rPr>
        <w:t xml:space="preserve">However, </w:t>
      </w:r>
      <w:r w:rsidR="0040749A" w:rsidRPr="0041550F">
        <w:rPr>
          <w:rFonts w:ascii="Times New Roman" w:eastAsia="Times New Roman" w:hAnsi="Times New Roman" w:cs="Times New Roman"/>
          <w:color w:val="000000"/>
          <w:sz w:val="24"/>
          <w:szCs w:val="24"/>
        </w:rPr>
        <w:t xml:space="preserve">it is important to </w:t>
      </w:r>
      <w:r w:rsidR="00DF50F6" w:rsidRPr="0041550F">
        <w:rPr>
          <w:rFonts w:ascii="Times New Roman" w:eastAsia="Times New Roman" w:hAnsi="Times New Roman" w:cs="Times New Roman"/>
          <w:color w:val="000000"/>
          <w:sz w:val="24"/>
          <w:szCs w:val="24"/>
        </w:rPr>
        <w:t>look critically at our own specific field(s) to highlight</w:t>
      </w:r>
      <w:r w:rsidR="0048364C" w:rsidRPr="0041550F">
        <w:rPr>
          <w:rFonts w:ascii="Times New Roman" w:eastAsia="Times New Roman" w:hAnsi="Times New Roman" w:cs="Times New Roman"/>
          <w:color w:val="000000"/>
          <w:sz w:val="24"/>
          <w:szCs w:val="24"/>
        </w:rPr>
        <w:t xml:space="preserve"> particular</w:t>
      </w:r>
      <w:r w:rsidR="00DF50F6" w:rsidRPr="0041550F">
        <w:rPr>
          <w:rFonts w:ascii="Times New Roman" w:eastAsia="Times New Roman" w:hAnsi="Times New Roman" w:cs="Times New Roman"/>
          <w:color w:val="000000"/>
          <w:sz w:val="24"/>
          <w:szCs w:val="24"/>
        </w:rPr>
        <w:t xml:space="preserve"> areas in need of methodological reform</w:t>
      </w:r>
      <w:r w:rsidR="0096332D" w:rsidRPr="0041550F">
        <w:rPr>
          <w:rFonts w:ascii="Times New Roman" w:eastAsia="Times New Roman" w:hAnsi="Times New Roman" w:cs="Times New Roman"/>
          <w:color w:val="000000"/>
          <w:sz w:val="24"/>
          <w:szCs w:val="24"/>
        </w:rPr>
        <w:t>,</w:t>
      </w:r>
      <w:r w:rsidR="00DF50F6" w:rsidRPr="0041550F">
        <w:rPr>
          <w:rFonts w:ascii="Times New Roman" w:eastAsia="Times New Roman" w:hAnsi="Times New Roman" w:cs="Times New Roman"/>
          <w:color w:val="000000"/>
          <w:sz w:val="24"/>
          <w:szCs w:val="24"/>
        </w:rPr>
        <w:t xml:space="preserve"> and to promote best practices </w:t>
      </w:r>
      <w:r w:rsidR="00DF50F6" w:rsidRPr="0041550F">
        <w:rPr>
          <w:rFonts w:ascii="Times New Roman" w:eastAsia="Times New Roman" w:hAnsi="Times New Roman" w:cs="Times New Roman"/>
          <w:color w:val="000000" w:themeColor="text1"/>
          <w:sz w:val="24"/>
          <w:szCs w:val="24"/>
        </w:rPr>
        <w:t>going forward</w:t>
      </w:r>
      <w:r w:rsidR="00DF50F6" w:rsidRPr="0041550F">
        <w:rPr>
          <w:rFonts w:ascii="Times New Roman" w:eastAsia="Times New Roman" w:hAnsi="Times New Roman" w:cs="Times New Roman"/>
          <w:color w:val="000000"/>
          <w:sz w:val="24"/>
          <w:szCs w:val="24"/>
        </w:rPr>
        <w:t xml:space="preserve">. </w:t>
      </w:r>
    </w:p>
    <w:p w14:paraId="0373AF6B" w14:textId="081D5100" w:rsidR="00FE2045" w:rsidRPr="0041550F" w:rsidRDefault="00FE2045" w:rsidP="00E61977">
      <w:pPr>
        <w:shd w:val="clear" w:color="auto" w:fill="FFFFFF"/>
        <w:spacing w:after="0" w:line="480" w:lineRule="auto"/>
        <w:ind w:firstLine="720"/>
        <w:jc w:val="both"/>
        <w:rPr>
          <w:rFonts w:ascii="Times New Roman" w:eastAsia="Times New Roman" w:hAnsi="Times New Roman" w:cs="Times New Roman"/>
          <w:color w:val="000000"/>
          <w:sz w:val="24"/>
          <w:szCs w:val="24"/>
        </w:rPr>
      </w:pPr>
    </w:p>
    <w:p w14:paraId="67B91828" w14:textId="2616696E" w:rsidR="00FE2045" w:rsidRPr="0041550F" w:rsidRDefault="00FE2045" w:rsidP="0049526D">
      <w:pPr>
        <w:shd w:val="clear" w:color="auto" w:fill="FFFFFF"/>
        <w:spacing w:after="0" w:line="480" w:lineRule="auto"/>
        <w:jc w:val="center"/>
        <w:rPr>
          <w:rFonts w:ascii="Times New Roman" w:eastAsia="Times New Roman" w:hAnsi="Times New Roman" w:cs="Times New Roman"/>
          <w:color w:val="000000"/>
          <w:sz w:val="24"/>
          <w:szCs w:val="24"/>
        </w:rPr>
      </w:pPr>
      <w:r w:rsidRPr="0041550F">
        <w:rPr>
          <w:rFonts w:ascii="Times New Roman" w:eastAsia="Times New Roman" w:hAnsi="Times New Roman" w:cs="Times New Roman"/>
          <w:color w:val="000000"/>
          <w:sz w:val="24"/>
          <w:szCs w:val="24"/>
        </w:rPr>
        <w:t>[</w:t>
      </w:r>
      <w:r w:rsidR="00580CFC">
        <w:rPr>
          <w:rFonts w:ascii="Times New Roman" w:eastAsia="Times New Roman" w:hAnsi="Times New Roman" w:cs="Times New Roman"/>
          <w:color w:val="000000"/>
          <w:sz w:val="24"/>
          <w:szCs w:val="24"/>
        </w:rPr>
        <w:t>FIGURE</w:t>
      </w:r>
      <w:r w:rsidRPr="0041550F">
        <w:rPr>
          <w:rFonts w:ascii="Times New Roman" w:eastAsia="Times New Roman" w:hAnsi="Times New Roman" w:cs="Times New Roman"/>
          <w:color w:val="000000"/>
          <w:sz w:val="24"/>
          <w:szCs w:val="24"/>
        </w:rPr>
        <w:t xml:space="preserve"> 1 HERE]</w:t>
      </w:r>
    </w:p>
    <w:p w14:paraId="00000020" w14:textId="10B7FC68" w:rsidR="00CB2059" w:rsidRPr="0041550F" w:rsidRDefault="00CB2059">
      <w:pPr>
        <w:spacing w:after="0" w:line="480" w:lineRule="auto"/>
        <w:rPr>
          <w:rFonts w:ascii="Times New Roman" w:eastAsia="Times New Roman" w:hAnsi="Times New Roman" w:cs="Times New Roman"/>
          <w:b/>
          <w:sz w:val="24"/>
          <w:szCs w:val="24"/>
        </w:rPr>
      </w:pPr>
      <w:bookmarkStart w:id="3" w:name="_heading=h.re4x9akofwlz" w:colFirst="0" w:colLast="0"/>
      <w:bookmarkEnd w:id="3"/>
    </w:p>
    <w:p w14:paraId="00000021" w14:textId="24C8BCB6"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sz w:val="24"/>
          <w:szCs w:val="24"/>
        </w:rPr>
        <w:t>METHODOLOGICAL ISSUES</w:t>
      </w:r>
      <w:r w:rsidRPr="0041550F">
        <w:rPr>
          <w:rFonts w:ascii="Times New Roman" w:eastAsia="Times New Roman" w:hAnsi="Times New Roman" w:cs="Times New Roman"/>
          <w:b/>
          <w:sz w:val="24"/>
          <w:szCs w:val="24"/>
        </w:rPr>
        <w:br/>
      </w:r>
      <w:r w:rsidR="00187126" w:rsidRPr="0041550F">
        <w:rPr>
          <w:rFonts w:ascii="Times New Roman" w:eastAsia="Times New Roman" w:hAnsi="Times New Roman" w:cs="Times New Roman"/>
          <w:b/>
          <w:i/>
          <w:sz w:val="24"/>
          <w:szCs w:val="24"/>
        </w:rPr>
        <w:t>USE OF INAPPROPRIATELY MATCHED</w:t>
      </w:r>
      <w:r w:rsidRPr="0041550F">
        <w:rPr>
          <w:rFonts w:ascii="Times New Roman" w:eastAsia="Times New Roman" w:hAnsi="Times New Roman" w:cs="Times New Roman"/>
          <w:b/>
          <w:i/>
          <w:sz w:val="24"/>
          <w:szCs w:val="24"/>
        </w:rPr>
        <w:t xml:space="preserve"> CONTROL STIMULI</w:t>
      </w:r>
    </w:p>
    <w:p w14:paraId="699C8A16" w14:textId="7D2AACC0" w:rsidR="009B5295" w:rsidRPr="0041550F" w:rsidRDefault="004A147F" w:rsidP="002F58B3">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To investigate alcohol-related cognitions, </w:t>
      </w:r>
      <w:r w:rsidR="001F46AF" w:rsidRPr="0041550F">
        <w:rPr>
          <w:rFonts w:ascii="Times New Roman" w:eastAsia="Times New Roman" w:hAnsi="Times New Roman" w:cs="Times New Roman"/>
          <w:sz w:val="24"/>
          <w:szCs w:val="24"/>
        </w:rPr>
        <w:t>researchers typically employ experimental paradigms that contrast responses to two categories of stimuli</w:t>
      </w:r>
      <w:r w:rsidR="00021B3F" w:rsidRPr="0041550F">
        <w:rPr>
          <w:rFonts w:ascii="Times New Roman" w:eastAsia="Times New Roman" w:hAnsi="Times New Roman" w:cs="Times New Roman"/>
          <w:sz w:val="24"/>
          <w:szCs w:val="24"/>
        </w:rPr>
        <w:t>:</w:t>
      </w:r>
      <w:r w:rsidR="001F46AF" w:rsidRPr="0041550F">
        <w:rPr>
          <w:rFonts w:ascii="Times New Roman" w:eastAsia="Times New Roman" w:hAnsi="Times New Roman" w:cs="Times New Roman"/>
          <w:sz w:val="24"/>
          <w:szCs w:val="24"/>
        </w:rPr>
        <w:t xml:space="preserve"> alcohol</w:t>
      </w:r>
      <w:r w:rsidR="003E7C86" w:rsidRPr="0041550F">
        <w:rPr>
          <w:rFonts w:ascii="Times New Roman" w:eastAsia="Times New Roman" w:hAnsi="Times New Roman" w:cs="Times New Roman"/>
          <w:sz w:val="24"/>
          <w:szCs w:val="24"/>
        </w:rPr>
        <w:t>-related</w:t>
      </w:r>
      <w:r w:rsidR="001F46AF" w:rsidRPr="0041550F">
        <w:rPr>
          <w:rFonts w:ascii="Times New Roman" w:eastAsia="Times New Roman" w:hAnsi="Times New Roman" w:cs="Times New Roman"/>
          <w:sz w:val="24"/>
          <w:szCs w:val="24"/>
        </w:rPr>
        <w:t xml:space="preserve"> versus alcohol</w:t>
      </w:r>
      <w:r w:rsidR="003E7C86" w:rsidRPr="0041550F">
        <w:rPr>
          <w:rFonts w:ascii="Times New Roman" w:eastAsia="Times New Roman" w:hAnsi="Times New Roman" w:cs="Times New Roman"/>
          <w:sz w:val="24"/>
          <w:szCs w:val="24"/>
        </w:rPr>
        <w:t>-</w:t>
      </w:r>
      <w:r w:rsidR="00F42C7D" w:rsidRPr="0041550F">
        <w:rPr>
          <w:rFonts w:ascii="Times New Roman" w:eastAsia="Times New Roman" w:hAnsi="Times New Roman" w:cs="Times New Roman"/>
          <w:sz w:val="24"/>
          <w:szCs w:val="24"/>
        </w:rPr>
        <w:t>un</w:t>
      </w:r>
      <w:r w:rsidR="003E7C86" w:rsidRPr="0041550F">
        <w:rPr>
          <w:rFonts w:ascii="Times New Roman" w:eastAsia="Times New Roman" w:hAnsi="Times New Roman" w:cs="Times New Roman"/>
          <w:sz w:val="24"/>
          <w:szCs w:val="24"/>
        </w:rPr>
        <w:t>related</w:t>
      </w:r>
      <w:r w:rsidR="001F46AF" w:rsidRPr="0041550F">
        <w:rPr>
          <w:rFonts w:ascii="Times New Roman" w:eastAsia="Times New Roman" w:hAnsi="Times New Roman" w:cs="Times New Roman"/>
          <w:sz w:val="24"/>
          <w:szCs w:val="24"/>
        </w:rPr>
        <w:t xml:space="preserve">. </w:t>
      </w:r>
      <w:r w:rsidR="001B669E" w:rsidRPr="0041550F">
        <w:rPr>
          <w:rFonts w:ascii="Times New Roman" w:eastAsia="Times New Roman" w:hAnsi="Times New Roman" w:cs="Times New Roman"/>
          <w:sz w:val="24"/>
          <w:szCs w:val="24"/>
        </w:rPr>
        <w:t xml:space="preserve">In our review of alcohol-related attentional bias, for example, </w:t>
      </w:r>
      <w:r w:rsidR="00C3572E" w:rsidRPr="0041550F">
        <w:rPr>
          <w:rFonts w:ascii="Times New Roman" w:eastAsia="Times New Roman" w:hAnsi="Times New Roman" w:cs="Times New Roman"/>
          <w:sz w:val="24"/>
          <w:szCs w:val="24"/>
        </w:rPr>
        <w:t>6</w:t>
      </w:r>
      <w:r w:rsidR="005E0D01" w:rsidRPr="0041550F">
        <w:rPr>
          <w:rFonts w:ascii="Times New Roman" w:eastAsia="Times New Roman" w:hAnsi="Times New Roman" w:cs="Times New Roman"/>
          <w:sz w:val="24"/>
          <w:szCs w:val="24"/>
        </w:rPr>
        <w:t>1.76</w:t>
      </w:r>
      <w:r w:rsidR="00C3572E" w:rsidRPr="0041550F">
        <w:rPr>
          <w:rFonts w:ascii="Times New Roman" w:eastAsia="Times New Roman" w:hAnsi="Times New Roman" w:cs="Times New Roman"/>
          <w:sz w:val="24"/>
          <w:szCs w:val="24"/>
        </w:rPr>
        <w:t xml:space="preserve">% employed the Addiction Stroop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{"citationItems":[{"id":"ITEM-1","itemData":{"DOI":"10.1037/0033-2909.132.3.443","ISSN":"00332909","PMID":"16719569","abstract":"Decisions about using addictive substances are influenced by distractions by addiction-related stimuli, of which the user might be unaware. The addiction-Stroop task is a paradigm used to assess this distraction. The empirical evidence for the addiction-Stroop effect is critically reviewed, and meta-analyses of alcohol-related and smoking-related studies are presented. Studies finding the strongest effects were those in which participants had strong current concerns about an addictive substance or such concerns were highlighted through experimental manipulations, especially those depriving participants of the substance. Theories to account for addiction-related attentional bias are discussed, of which the motivational theory of current concerns appears to provide the most complete account of the phenomenon. Recommendations are made for maximizing the precision of the addiction-Stroop test in future research. Copyright 2006 by the American Psychological Association.","author":[{"dropping-particle":"","family":"Cox","given":"W. Miles","non-dropping-particle":"","parse-names":false,"suffix":""},{"dropping-particle":"","family":"Fadardi","given":"Javad Salehi","non-dropping-particle":"","parse-names":false,"suffix":""},{"dropping-particle":"","family":"Pothos","given":"Emmanuel M.","non-dropping-particle":"","parse-names":false,"suffix":""}],"container-title":"Psychological Bulletin","id":"ITEM-1","issue":"3","issued":{"date-parts":[["2006"]]},"page":"443-476","title":"The addiction-stroop test: Theoretical considerations and procedural recommendations","type":"article-journal","volume":"132"},"uris":["http://www.mendeley.com/documents/?uuid=16c6eb04-433e-41ed-acc4-598fccd847c6"]}],"mendeley":{"formattedCitation":"(21)","plainTextFormattedCitation":"(21)","previouslyFormattedCitation":"(21)"},"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(21)</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or Visual Probe Task (VPT;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{"citationItems":[{"id":"ITEM-1","itemData":{"DOI":"10.1037/0021-843X.95.1.15","ISSN":"0021843X","PMID":"3700842","abstract":"Recent research has suggested that anxiety may be associated with processing biases that favor the encoding of emotionally threatening information. However, the available data can be accommodated by alternative explanations, including response bias accounts. The current study introduces a novel paradigm that circumvents such interpretative problems by requiring subjects to make a neutral response (button press) to a neutral stimulus (visual dot probe). The position of this dot probe was manipulted on a VDU (visual display unit) screen relative to visually displayed words, which could either be threat related or neutral in content. Probe detection latency data were then used to determine the impact of threat-related stimuli on the distribution of visual attention. Clinically anxious (but not clinically depressed) subjects consistently shifted attention toward threat words, resulting in reduced detection latencies for probes appearing in the vicinity of such stimuli. Normal control subjects, on the other hand, tended to shift attention away from such material. The results were interpreted as supporting the existence of anxiety-related encoding bias, and it is suggested that this cognitive mechanism may contribute to the maintenance of such mood disorders. © 1986 American Psychological Association.","author":[{"dropping-particle":"","family":"MacLeod","given":"Colin","non-dropping-particle":"","parse-names":false,"suffix":""},{"dropping-particle":"","family":"Mathews","given":"Andrew","non-dropping-particle":"","parse-names":false,"suffix":""},{"dropping-particle":"","family":"Tata","given":"Philip","non-dropping-particle":"","parse-names":false,"suffix":""}],"container-title":"Journal of Abnormal Psychology","id":"ITEM-1","issue":"1","issued":{"date-parts":[["1986"]]},"page":"15-20","title":"Attentional Bias in Emotional Disorders","type":"article-journal","volume":"95"},"uris":["http://www.mendeley.com/documents/?uuid=f9df3904-f5bf-439b-a3f8-a2150ff69e97"]}],"mendeley":{"formattedCitation":"(22)","plainTextFormattedCitation":"(22)","previouslyFormattedCitation":"(22)"},"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22)</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The former is an adaptation of the emotional Stroop task </w:t>
      </w:r>
      <w:r w:rsidR="00D3453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{"citationItems":[{"id":"ITEM-1","itemData":{"DOI":"10.1037/h0054651","ISSN":"00221015","abstract":"In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2006 APA, all rights reserved). © 1935 American Psychological Association.","author":[{"dropping-particle":"","family":"Stroop","given":"J. R.","non-dropping-particle":"","parse-names":false,"suffix":""}],"container-title":"Journal of Experimental Psychology","id":"ITEM-1","issue":"6","issued":{"date-parts":[["1935"]]},"page":"643-662","title":"Studies of interference in serial verbal reactions","type":"article-journal","volume":"18"},"uris":["http://www.mendeley.com/documents/?uuid=4e464ffb-b6bd-49e9-991a-be5b51e545ac"]}],"mendeley":{"formattedCitation":"(23)","plainTextFormattedCitation":"(23)","previouslyFormattedCitation":"(23)"},"properties":{"noteIndex":0},"schema":"https://github.com/citation-style-language/schema/raw/master/csl-citation.json"}</w:instrText>
      </w:r>
      <w:r w:rsidR="00D3453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(23)</w:t>
      </w:r>
      <w:r w:rsidR="00D34538"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whereby individuals are required to identify the colour of words that are semantically related or unrelated to alcohol. When colour identification is slower for alcohol-related </w:t>
      </w:r>
      <w:r w:rsidR="00786687" w:rsidRPr="0041550F">
        <w:rPr>
          <w:rFonts w:ascii="Times New Roman" w:eastAsia="Times New Roman" w:hAnsi="Times New Roman" w:cs="Times New Roman"/>
          <w:sz w:val="24"/>
          <w:szCs w:val="24"/>
        </w:rPr>
        <w:t>compared</w:t>
      </w:r>
      <w:r w:rsidR="00C3572E" w:rsidRPr="0041550F">
        <w:rPr>
          <w:rFonts w:ascii="Times New Roman" w:eastAsia="Times New Roman" w:hAnsi="Times New Roman" w:cs="Times New Roman"/>
          <w:sz w:val="24"/>
          <w:szCs w:val="24"/>
        </w:rPr>
        <w:t xml:space="preserve"> to -unrelated words, this is interpreted as heightened attention</w:t>
      </w:r>
      <w:r w:rsidR="00C72555" w:rsidRPr="0041550F">
        <w:rPr>
          <w:rFonts w:ascii="Times New Roman" w:eastAsia="Times New Roman" w:hAnsi="Times New Roman" w:cs="Times New Roman"/>
          <w:sz w:val="24"/>
          <w:szCs w:val="24"/>
        </w:rPr>
        <w:t>al</w:t>
      </w:r>
      <w:r w:rsidR="00C3572E" w:rsidRPr="0041550F">
        <w:rPr>
          <w:rFonts w:ascii="Times New Roman" w:eastAsia="Times New Roman" w:hAnsi="Times New Roman" w:cs="Times New Roman"/>
          <w:sz w:val="24"/>
          <w:szCs w:val="24"/>
        </w:rPr>
        <w:t xml:space="preserve"> capture by alcohol-related cues </w:t>
      </w:r>
      <w:r w:rsidR="004A4D3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{"citationItems":[{"id":"ITEM-1","itemData":{"DOI":"10.1111/j.1360-0443.2007.01743.x","ISSN":"09652140","PMID":"17309540","abstract":"Aims: To investigate whether adolescent heavy drinkers exhibit biased cognitive processing of alcohol-related cues and impulsive decision making. Design: A between-subjects design was employed. Setting: Classrooms in a single sixth-form college in Merseyside, UK. Participants: Ninety adolescent students (mean age 16.83 years), of whom 38% were identified as heavy drinkers and 36% were identified as light drinkers, based on a tertile split of their weekly alcohol consumption. Measurements: Participants provided information about alcohol consumption before completing measures of alcohol craving, delay discounting and an 'alcohol Stroop' in which they were required to name the colour in which alcohol-related and matched control words were printed. Findings: Compared to light drinkers, heavy drinkers showed more pronounced discounting of delayed hypothetical monetary and alcohol rewards, which is indicative of a more short-term focus in decision making in heavy drinkers. Heavy drinkers were also slower to colour-name alcohol-related words, which indicates an attentional bias for alcohol-related cues. In all participants, measures of delay discounting and attentional bias were correlated moderately with each other, and also with the level of alcohol consumption and with alcohol craving. Conclusions: In adolescents, heavy alcohol use is associated with biased attentional processing of alcohol-related cues and a shorter-term focus in decision making. © 2007 The Authors.","author":[{"dropping-particle":"","family":"Field","given":"Matt","non-dropping-particle":"","parse-names":false,"suffix":""},{"dropping-particle":"","family":"Christiansen","given":"Paul","non-dropping-particle":"","parse-names":false,"suffix":""},{"dropping-particle":"","family":"Cole","given":"Jon","non-dropping-particle":"","parse-names":false,"suffix":""},{"dropping-particle":"","family":"Goudie","given":"Andrew","non-dropping-particle":"","parse-names":false,"suffix":""}],"container-title":"Addiction","id":"ITEM-1","issue":"4","issued":{"date-parts":[["2007"]]},"page":"579-586","title":"Delay discounting and the alcohol Stroop in heavy drinking adolescents","type":"article-journal","volume":"102"},"uris":["http://www.mendeley.com/documents/?uuid=73115518-d529-4877-910e-d5f020c98454"]},{"id":"ITEM-2","itemData":{"DOI":"10.2147/NDT.S42556","ISSN":"11766328","abstract":"Background and objectives: Previous studies in alcohol-dependent patients have shown an attentional bias (AB) under related substance cues, which can lead to relapse. This AB can be evaluated by the alcohol Stroop test (AST). The AST is a modifed Stroop task in which participants have to name the color of an alcohol-related word or a neutral word. AB is the response-time difference between these two types of words. The goal of the current study was to examine modifcation of AB during specialized hospitalization for alcohol dependence, with the suppression of a training bias that could be present in within-subject design. Methods: Individuals with alcohol-dependence disorders (Diagnostic and Statistical Manual of Mental Disorders, 4th edition) and admitted for withdrawal in the addiction unit of the University Hospital of Clermont-Ferrand (test group, n = 42) and persons with no alcohol or psychiatric disorder (control group, n = 16), recruited among colleagues and friends of the staff, performed the AST. A subgroup of the test group performed the AST in admission (admission group, n = 19), and another subgroup undertook the test immediately before discharge (discharge group, n = 23). Results: Results showed an AB only for patients seen at admission (F[1,55] = 3.283, P = 0.075). Moreover, we observed that the AB in the admission group (mean = 34 ms, standard deviation [SD] = 70.06) was greater than the AB in the control group (mean = 23 ms, SD = 93.42), itself greater than the AB in the discharge group (mean = -12 ms, SD = 93.55) (t[55] = -1.71; P = 0.09). Conclusion: Although the results are preliminary, the present study provides evidence for changes in the AB during alcohol-addiction treatment and for the value of these methods to diminish AB during detoxifcation. © 2013 Flaudias et al, publisher and licensee Dove Medical Press Ltd.","author":[{"dropping-particle":"","family":"Flaudias","given":"Valentin","non-dropping-particle":"","parse-names":false,"suffix":""},{"dropping-particle":"","family":"Brousse","given":"Georges","non-dropping-particle":"","parse-names":false,"suffix":""},{"dropping-particle":"","family":"Chazeron","given":"Ingrid","non-dropping-particle":"de","parse-names":false,"suffix":""},{"dropping-particle":"","family":"Planche","given":"François","non-dropping-particle":"","parse-names":false,"suffix":""},{"dropping-particle":"","family":"Brun","given":"Julien","non-dropping-particle":"","parse-names":false,"suffix":""},{"dropping-particle":"","family":"Llorca","given":"Pierre Michel","non-dropping-particle":"","parse-names":false,"suffix":""}],"container-title":"Neuropsychiatric Disease and Treatment","id":"ITEM-2","issued":{"date-parts":[["2013"]]},"page":"773-779","title":"Treatment in hospital for alcohol-dependent patients decreases attentional bias","type":"article-journal","volume":"9"},"uris":["http://www.mendeley.com/documents/?uuid=8c7ed8bd-e422-4c43-a10c-d27356cc506c"]},{"id":"ITEM-3","itemData":{"DOI":"10.1080/10826084.2018.1536716","ISSN":"15322491","PMID":"30572780","abstract":"Background: Attentional bias (AB) is the tendency for substance-related stimuli to grab attention. The addiction Stroop task is widely used for measuring AB in the lab, but it has poor reliability and inconsistent predictive validity. Therefore, there is a need to improve the psychometric properties of the task. Objectives: This study contrasts the internal reliability and predictive validity of a basic (general alcohol words) and an upgraded (personalized alcohol pictures) Stroop task delivered in a neutral room on a laptop computer versus a smartphone application on participants’ homes. Methods: 120 participants recruited in 2016, completed a basic and an upgraded Stroop task. Half the participants completed the tasks on a laptop computer in a neutral university room and the remainder completed the tasks on a smartphone app in their homes. Participants also self-reported their typical alcohol consumption. Results: Acceptable internal reliability was found for both basic (α =.70) and upgraded (α =.74) Stroop tasks in the home-smartphone condition, but neither had acceptable internal reliability when administered in the neutral room-computer condition (basic α =.49; upgraded α =.58). Participants showed AB toward alcohol words, but not for beer pictures, regardless of condition. None of the indices of AB was associated with individual differences in alcohol involvement, regardless of condition. Conclusion: The internal reliability of the alcohol Stroop was acceptable when administered on smartphones, in naturalistic settings, rather than on laptop computers, in neutral university rooms.","author":[{"dropping-particle":"","family":"Spanakis","given":"Panagiotis","non-dropping-particle":"","parse-names":false,"suffix":""},{"dropping-particle":"","family":"Jones","given":"Andrew","non-dropping-particle":"","parse-names":false,"suffix":""},{"dropping-particle":"","family":"Field","given":"Matt","non-dropping-particle":"","parse-names":false,"suffix":""},{"dropping-particle":"","family":"Christiansen","given":"Paul","non-dropping-particle":"","parse-names":false,"suffix":""}],"container-title":"Substance Use and Misuse","id":"ITEM-3","issue":"4","issued":{"date-parts":[["2019"]]},"page":"692-698","publisher":"Taylor &amp; Francis","title":"A Stroop in the Hand is Worth Two on the Laptop: Superior Reliability of a Smartphone Based Alcohol Stroop in the Real World","type":"article-journal","volume":"54"},"uris":["http://www.mendeley.com/documents/?uuid=963dd8f4-b030-4c43-ae3e-bc2f052c106f"]}],"mendeley":{"formattedCitation":"(24–26)","plainTextFormattedCitation":"(24–26)","previouslyFormattedCitation":"(24–26)"},"properties":{"noteIndex":0},"schema":"https://github.com/citation-style-language/schema/raw/master/csl-citation.json"}</w:instrText>
      </w:r>
      <w:r w:rsidR="004A4D3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(24–26)</w:t>
      </w:r>
      <w:r w:rsidR="004A4D35"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During the VPT, individuals are required to respond to a neutral cue (probe) that appears in a location occupied previously by</w:t>
      </w:r>
      <w:r w:rsidR="00613E52" w:rsidRPr="0041550F">
        <w:rPr>
          <w:rFonts w:ascii="Times New Roman" w:eastAsia="Times New Roman" w:hAnsi="Times New Roman" w:cs="Times New Roman"/>
          <w:sz w:val="24"/>
          <w:szCs w:val="24"/>
        </w:rPr>
        <w:t xml:space="preserve"> </w:t>
      </w:r>
      <w:r w:rsidR="00B05F10" w:rsidRPr="0041550F">
        <w:rPr>
          <w:rFonts w:ascii="Times New Roman" w:eastAsia="Times New Roman" w:hAnsi="Times New Roman" w:cs="Times New Roman"/>
          <w:sz w:val="24"/>
          <w:szCs w:val="24"/>
        </w:rPr>
        <w:t>alcohol</w:t>
      </w:r>
      <w:r w:rsidR="00C3572E" w:rsidRPr="0041550F">
        <w:rPr>
          <w:rFonts w:ascii="Times New Roman" w:eastAsia="Times New Roman" w:hAnsi="Times New Roman" w:cs="Times New Roman"/>
          <w:sz w:val="24"/>
          <w:szCs w:val="24"/>
        </w:rPr>
        <w:t xml:space="preserve">-related or -unrelated pictorial stimuli. Faster responses to probes appearing in the same location as </w:t>
      </w:r>
      <w:r w:rsidR="00613E52" w:rsidRPr="0041550F">
        <w:rPr>
          <w:rFonts w:ascii="Times New Roman" w:eastAsia="Times New Roman" w:hAnsi="Times New Roman" w:cs="Times New Roman"/>
          <w:sz w:val="24"/>
          <w:szCs w:val="24"/>
        </w:rPr>
        <w:t>the former</w:t>
      </w:r>
      <w:r w:rsidR="00C3572E" w:rsidRPr="0041550F">
        <w:rPr>
          <w:rFonts w:ascii="Times New Roman" w:eastAsia="Times New Roman" w:hAnsi="Times New Roman" w:cs="Times New Roman"/>
          <w:sz w:val="24"/>
          <w:szCs w:val="24"/>
        </w:rPr>
        <w:t xml:space="preserve"> stimul</w:t>
      </w:r>
      <w:r w:rsidR="00613E52" w:rsidRPr="0041550F">
        <w:rPr>
          <w:rFonts w:ascii="Times New Roman" w:eastAsia="Times New Roman" w:hAnsi="Times New Roman" w:cs="Times New Roman"/>
          <w:sz w:val="24"/>
          <w:szCs w:val="24"/>
        </w:rPr>
        <w:t>us category</w:t>
      </w:r>
      <w:r w:rsidR="00C3572E" w:rsidRPr="0041550F">
        <w:rPr>
          <w:rFonts w:ascii="Times New Roman" w:eastAsia="Times New Roman" w:hAnsi="Times New Roman" w:cs="Times New Roman"/>
          <w:sz w:val="24"/>
          <w:szCs w:val="24"/>
        </w:rPr>
        <w:t xml:space="preserve"> are interpreted as attentional bias towards </w:t>
      </w:r>
      <w:r w:rsidR="00613E52" w:rsidRPr="0041550F">
        <w:rPr>
          <w:rFonts w:ascii="Times New Roman" w:eastAsia="Times New Roman" w:hAnsi="Times New Roman" w:cs="Times New Roman"/>
          <w:sz w:val="24"/>
          <w:szCs w:val="24"/>
        </w:rPr>
        <w:t>alcohol</w:t>
      </w:r>
      <w:r w:rsidR="00C3572E" w:rsidRPr="0041550F">
        <w:rPr>
          <w:rFonts w:ascii="Times New Roman" w:eastAsia="Times New Roman" w:hAnsi="Times New Roman" w:cs="Times New Roman"/>
          <w:sz w:val="24"/>
          <w:szCs w:val="24"/>
        </w:rPr>
        <w:t xml:space="preserve"> </w:t>
      </w:r>
      <w:r w:rsidR="00AE465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{"citationItems":[{"id":"ITEM-1","itemData":{"DOI":"10.1016/j.addbeh.2017.01.035","ISSN":"18736327","PMID":"28161617","abstract":"Considerable evidence has identified biased cognitive processing of alcohol-related stimuli as an important factor in the maintenance of alcohol-seeking and relapse among individuals suffering from alcohol use-disorders (AUDs). In addition, a large body of research has demonstrated that exposure to alcohol cues can elicit powerful alcohol cravings. Little is known, however, about the possible relationship between attentional bias and cue-induced cravings, and even less is known about these processes in social drinkers without a personal history of AUDs. The goal of this study was to examine the possibility that attentional biases toward alcohol-related stimuli would predict elevated cue-induced alcohol craving in this population. Young adult social drinkers (N = 30, Mean age = 22.8 ± 1.9, 61% female) recruited from an urban university population completed a visual dot probe task in which they were presented with alcohol and neutral stimulus pictures that were immediately followed by a visual probe replacing one of the pictures. Attentional bias was measured by calculating reaction times to probes that replaced alcohol stimuli vs. neutral stimuli. Participants then completed a classic alcohol cue-exposure task and reported cravings immediately before and after alcohol and neutral cue-exposures. Not surprisingly, exposure to alcohol cues elicited significant cravings. Consistent with the study hypothesis, larger attentional biases toward alcohol stimuli predicted higher levels of alcohol craving. Findings demonstrate that heightened attention to alcohol stimuli can significantly impact motivation to consume in healthy young adults, and suggest a possible pathway linking cognitive processes early in the drinking trajectory to the later development of AUDs.","author":[{"dropping-particle":"","family":"Manchery","given":"Linda","non-dropping-particle":"","parse-names":false,"suffix":""},{"dropping-particle":"","family":"Yarmush","given":"Devorah E.","non-dropping-particle":"","parse-names":false,"suffix":""},{"dropping-particle":"","family":"Luehring-Jones","given":"Peter","non-dropping-particle":"","parse-names":false,"suffix":""},{"dropping-particle":"","family":"Erblich","given":"Joel","non-dropping-particle":"","parse-names":false,"suffix":""}],"container-title":"Addictive Behaviors","id":"ITEM-1","issued":{"date-parts":[["2017"]]},"page":"14-17","publisher":"Elsevier Ltd","title":"Attentional bias to alcohol stimuli predicts elevated cue-induced craving in young adult social drinkers","type":"article-journal","volume":"70"},"uris":["http://www.mendeley.com/documents/?uuid=979e734c-4d18-41fa-b9c6-f9b503977cc7"]},{"id":"ITEM-2","itemData":{"DOI":"10.1016/j.drugalcdep.2011.01.016","ISSN":"03768716","PMID":"21349660","abstract":"Background: Although attentional bias to alcohol-related stimuli has been identified as a potentially important factor in initiating a drinking episode, little is known about whether it persists once drinking has begun. Chief among the measures of attentional bias is the visual probe task, which requires the ability to respond quickly and fixate on objects. Alcohol is well recognized for impairing both of these abilities, which could undermine the reliable detection of attentional bias in intoxicated individuals. The purpose of the present study was to determine if attentional bias toward alcohol-related images can still be observed under alcohol even at blood alcohol concentrations (BACs) sufficient to disrupt reaction time (RT) and basic ocular functions. Methods: The present study employed a within-subject design to test the effects of three doses of alcohol (0.0. g/kg, 0.32. g/kg, and 0.64. g/kg) on attentional bias toward alcohol-related images in a group of 20 social drinkers using a visual probe task. Alcohol's effects on simple RT and ocular functions were also assessed. Results: Attentional bias was observed by participants' fixations toward alcohol-related stimuli following alcohol administration. Alcohol also impaired oculomotor functions as evident by decreased accuracy and speed of saccades. Discussion: The findings indicate that attentional bias can be detected even at BACs above 80. mg/100. ml that disrupt oculomotor functions that are considered fundamental to visual search tasks. © 2011 Elsevier Ireland Ltd.","author":[{"dropping-particle":"","family":"Miller","given":"Melissa A.","non-dropping-particle":"","parse-names":false,"suffix":""},{"dropping-particle":"","family":"Fillmore","given":"Mark T.","non-dropping-particle":"","parse-names":false,"suffix":""}],"container-title":"Drug and Alcohol Dependence","id":"ITEM-2","issue":"2-3","issued":{"date-parts":[["2011"]]},"page":"184-189","publisher":"Elsevier Ireland Ltd","title":"Persistence of attentional bias toward alcohol-related stimuli in intoxicated social drinkers","type":"article-journal","volume":"117"},"uris":["http://www.mendeley.com/documents/?uuid=bf58b55c-ed7f-44d1-a4ec-e012aba37dd5"]},{"id":"ITEM-3","itemData":{"DOI":"https://doi.org/10.1037/pha0000018","author":[{"dropping-particle":"","family":"Ramirez, J. J., Monti, P. M., &amp; Colwill","given":"R. M.","non-dropping-particle":"","parse-names":false,"suffix":""}],"container-title":"Experimental &amp; Clinical Psychopharmacology","id":"ITEM-3","issued":{"date-parts":[["2015"]]},"page":"159-167","title":"Brief and extended alcohol-cue-exposure effects on craving and attentional bias","type":"article-journal","volume":"23"},"uris":["http://www.mendeley.com/documents/?uuid=ba6d7e60-5e2a-4eda-99b3-1c3ea9cd818e"]}],"mendeley":{"formattedCitation":"(27–29)","plainTextFormattedCitation":"(27–29)","previouslyFormattedCitation":"(27–29)"},"properties":{"noteIndex":0},"schema":"https://github.com/citation-style-language/schema/raw/master/csl-citation.json"}</w:instrText>
      </w:r>
      <w:r w:rsidR="00AE465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(27–29)</w:t>
      </w:r>
      <w:r w:rsidR="00AE4655" w:rsidRPr="0041550F">
        <w:rPr>
          <w:rFonts w:ascii="Times New Roman" w:eastAsia="Times New Roman" w:hAnsi="Times New Roman" w:cs="Times New Roman"/>
          <w:sz w:val="24"/>
          <w:szCs w:val="24"/>
        </w:rPr>
        <w:fldChar w:fldCharType="end"/>
      </w:r>
      <w:r w:rsidR="00AE4655"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 Both tasks </w:t>
      </w:r>
      <w:r w:rsidR="00C3572E" w:rsidRPr="0041550F">
        <w:rPr>
          <w:rFonts w:ascii="Times New Roman" w:eastAsia="Times New Roman" w:hAnsi="Times New Roman" w:cs="Times New Roman"/>
          <w:sz w:val="24"/>
          <w:szCs w:val="24"/>
        </w:rPr>
        <w:lastRenderedPageBreak/>
        <w:t xml:space="preserve">appear to demonstrate construct validity; </w:t>
      </w:r>
      <w:r w:rsidR="000A4F45" w:rsidRPr="0041550F">
        <w:rPr>
          <w:rFonts w:ascii="Times New Roman" w:eastAsia="Times New Roman" w:hAnsi="Times New Roman" w:cs="Times New Roman"/>
          <w:sz w:val="24"/>
          <w:szCs w:val="24"/>
        </w:rPr>
        <w:t xml:space="preserve">they generate indices of </w:t>
      </w:r>
      <w:r w:rsidR="00C3572E" w:rsidRPr="0041550F">
        <w:rPr>
          <w:rFonts w:ascii="Times New Roman" w:eastAsia="Times New Roman" w:hAnsi="Times New Roman" w:cs="Times New Roman"/>
          <w:sz w:val="24"/>
          <w:szCs w:val="24"/>
        </w:rPr>
        <w:t xml:space="preserve">attentional bias </w:t>
      </w:r>
      <w:r w:rsidR="000A4F45" w:rsidRPr="0041550F">
        <w:rPr>
          <w:rFonts w:ascii="Times New Roman" w:eastAsia="Times New Roman" w:hAnsi="Times New Roman" w:cs="Times New Roman"/>
          <w:sz w:val="24"/>
          <w:szCs w:val="24"/>
        </w:rPr>
        <w:t xml:space="preserve">that are associated with </w:t>
      </w:r>
      <w:r w:rsidR="00C3572E" w:rsidRPr="0041550F">
        <w:rPr>
          <w:rFonts w:ascii="Times New Roman" w:eastAsia="Times New Roman" w:hAnsi="Times New Roman" w:cs="Times New Roman"/>
          <w:sz w:val="24"/>
          <w:szCs w:val="24"/>
        </w:rPr>
        <w:t xml:space="preserve">individual differences in self-reported alcohol consumption and transient changes in drinking motivation </w:t>
      </w:r>
      <w:r w:rsidR="00FC072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{"citationItems":[{"id":"ITEM-1","itemData":{"DOI":"10.1016/j.drugalcdep.2017.10.005","ISSN":"18790046","PMID":"29136565","abstract":"Background Attentional bias towards substance-related stimuli has shown to be involved in the development and maintenance of cocaine dependence. The relationship between alcohol use and cocaine dependence shown in literature justify the need of study these two substances jointly. Methods This paper analyzes patterns of attentional bias in 71 patients with cocaine dependence and compares these patterns according to whether occasional or problematic concurrent alcohol use is taken into account. It also analyzes whether attentional bias towards alcohol and cocaine-related stimuli predicts treatment retention. Attentional bias was evaluated with a visual probe task between 15 and 20 days after admission to treatment. Treatment status was recorded at a three-month follow-up. Severity of dependence and cocaine and alcohol craving were also measured. Results Results show that patients with cocaine dependence and problematic alcohol use show a pattern of approach towards alcohol stimuli (M = 8.32, SD = 27.01). In contrast, patients with cocaine dependence with occasional consumption of alcohol exhibit a pattern of avoidance of such stimuli (M = −7.23, SD = 19.20) (t = 2.79, p = 0.007). Logistic regression indicates that alcohol attentional bias is the only variable with predictive capacity (OR = 1.05, 95% CI = [1.01, 1.09]). It should also be noted that there is a pattern of avoidance of alcohol stimuli in patients who drop out of treatment. Conclusion The results of this study suggest the need to delve into whether therapeutic strategies involving deeper emotional processing or avoidance strategies are more suitable for preventing relapse.","author":[{"dropping-particle":"","family":"Díaz-Batanero","given":"Carmen","non-dropping-particle":"","parse-names":false,"suffix":""},{"dropping-particle":"","family":"Domínguez-Salas","given":"Sara","non-dropping-particle":"","parse-names":false,"suffix":""},{"dropping-particle":"","family":"Moraleda","given":"Enrique","non-dropping-particle":"","parse-names":false,"suffix":""},{"dropping-particle":"","family":"Fernández-Calderón","given":"Fermín","non-dropping-particle":"","parse-names":false,"suffix":""},{"dropping-particle":"","family":"Lozano","given":"Oscar M.","non-dropping-particle":"","parse-names":false,"suffix":""}],"container-title":"Drug and Alcohol Dependence","id":"ITEM-1","issue":"May 2017","issued":{"date-parts":[["2018"]]},"page":"40-47","publisher":"Elsevier","title":"Attentional bias toward alcohol stimuli as a predictor of treatment retention in cocaine dependence and alcohol user patients","type":"article-journal","volume":"182"},"uris":["http://www.mendeley.com/documents/?uuid=190bbc86-5353-43d5-aa93-96175b3ea928"]},{"id":"ITEM-2","itemData":{"DOI":"10.5127/jep.062317","ISBN":"4478956251","ISSN":"2043-8087","abstract":"Attentional bias variability may be related to alcohol abuse. Of potential use for studying variability is the anticipatory attentional bias: Bias due to the locations of predictively-cued rather than already-presented stimuli. The hypothesis was tested that conflicting automatic associations are related to attentional bias variability. Further, relationships were explored between anticipatory biases and individual differences related to alcohol use. 74 social drinkers performed a cued Visual Probe Task and univalent Single-Target Implicit Associations Tasks. Questionnaires were completed on risky drinking, craving, and motivations to drink or refrain from drinking. Conflict was related to attentional bias variability at the 800 ms Cue-Stimulus Interval. Further, a bias related to craving and risky drinking was found at the 400 ms Cue-Stimulus Interval. Thus, the selection of attentional responses was biased by predicted locations of expected salient stimuli. The results support a role of conflicting associations in attentional bias variability.","author":[{"dropping-particle":"","family":"Gladwin","given":"Thomas E.","non-dropping-particle":"","parse-names":false,"suffix":""},{"dropping-particle":"","family":"Vink","given":"Matthijs","non-dropping-particle":"","parse-names":false,"suffix":""}],"container-title":"Journal of Experimental Psychopathology","id":"ITEM-2","issue":"2","issued":{"date-parts":[["2018"]]},"page":"204380871877963","title":"Alcohol-related Attentional Bias Variability and Conflicting Automatic Associations","type":"article-journal","volume":"9"},"uris":["http://www.mendeley.com/documents/?uuid=19c6f7ab-30ce-42a4-9e87-13d33084b94b"]},{"id":"ITEM-3","itemData":{"DOI":"10.1037/adb0000522","ISSN":"19391501","PMID":"31599605","abstract":"Attentional bias to alcohol is a well-documented effect whereby drinkers allocate greater visual attention toward alcohol-related stimuli rather than nonappetitive, neutral stimuli. Some recent research has shown that acute administration of alcohol temporarily reduces attentional bias to alcohol cues, possibly because alcohol consumption satiates the motivation to drink. However, the specificity of this effect has not been tested, and so it is unclear whether reduced attentional bias following alcohol is specific to alcohol-related stimuli or whether attention to other appetitive stimuli is also reduced (e.g., food). This study tested the degree to which acute alcohol administration selectively reduced attentional bias to alcohol-related but not to food-related cues in a group of 23 healthy young adults who reported consuming alcohol roughly twice per week. Attentional bias to alcohol-related and food-related cues was tested using visual dot probe tasks following 2 active doses of alcohol, .30 g/kg and .65 g/kg, and a placebo. Results showed that attentional bias, measured as fixation time to stimuli on the visual probe tasks, to alcohol cues declined in a dose-dependent manner, whereas attentional bias to food cues was unaffected by the doses. The evidence suggests that alcohol consumption specifically reduces attentional bias to alcohol-related stimuli whereas bias to other appetitive stimuli remains intact. Evidence that alcohol consumption reduces attentional bias specifically to alcohol cues lends further credibility to the satiation theory and to the utility of attentional bias as an indicator of acute and transient changes in an individual's motivation to use alcohol.","author":[{"dropping-particle":"","family":"Monem","given":"Ramey","non-dropping-particle":"","parse-names":false,"suffix":""},{"dropping-particle":"","family":"Fillmore","given":"Mark T.","non-dropping-particle":"","parse-names":false,"suffix":""}],"container-title":"Psychology of Addictive Behaviors","id":"ITEM-3","issue":"8","issued":{"date-parts":[["2019"]]},"page":"677-684","title":"Alcohol administration reduces attentional bias to alcohol-related but not food-related cues: Evidence for a satiety hypothesis","type":"article-journal","volume":"33"},"uris":["http://www.mendeley.com/documents/?uuid=6369bea0-2964-4368-99ee-94387c4b2d80"]}],"mendeley":{"formattedCitation":"(30–32)","plainTextFormattedCitation":"(30–32)","previouslyFormattedCitation":"(30–32)"},"properties":{"noteIndex":0},"schema":"https://github.com/citation-style-language/schema/raw/master/csl-citation.json"}</w:instrText>
      </w:r>
      <w:r w:rsidR="00FC072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(30–32)</w:t>
      </w:r>
      <w:r w:rsidR="00FC072B" w:rsidRPr="0041550F">
        <w:rPr>
          <w:rFonts w:ascii="Times New Roman" w:eastAsia="Times New Roman" w:hAnsi="Times New Roman" w:cs="Times New Roman"/>
          <w:sz w:val="24"/>
          <w:szCs w:val="24"/>
        </w:rPr>
        <w:fldChar w:fldCharType="end"/>
      </w:r>
      <w:bookmarkStart w:id="4" w:name="_heading=h.xtmjdnt40t4d" w:colFirst="0" w:colLast="0"/>
      <w:bookmarkEnd w:id="4"/>
      <w:r w:rsidR="00FC072B" w:rsidRPr="0041550F">
        <w:rPr>
          <w:rFonts w:ascii="Times New Roman" w:eastAsia="Times New Roman" w:hAnsi="Times New Roman" w:cs="Times New Roman"/>
          <w:sz w:val="24"/>
          <w:szCs w:val="24"/>
        </w:rPr>
        <w:t>.</w:t>
      </w:r>
    </w:p>
    <w:p w14:paraId="4BF2EF9C" w14:textId="4CF77643" w:rsidR="00AF5B2A" w:rsidRPr="0041550F" w:rsidRDefault="00C3572E" w:rsidP="004C620A">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In order to </w:t>
      </w:r>
      <w:r w:rsidR="007D2899" w:rsidRPr="0041550F">
        <w:rPr>
          <w:rFonts w:ascii="Times New Roman" w:eastAsia="Times New Roman" w:hAnsi="Times New Roman" w:cs="Times New Roman"/>
          <w:sz w:val="24"/>
          <w:szCs w:val="24"/>
        </w:rPr>
        <w:t>claim that preferential respon</w:t>
      </w:r>
      <w:r w:rsidR="002A4B1F" w:rsidRPr="0041550F">
        <w:rPr>
          <w:rFonts w:ascii="Times New Roman" w:eastAsia="Times New Roman" w:hAnsi="Times New Roman" w:cs="Times New Roman"/>
          <w:sz w:val="24"/>
          <w:szCs w:val="24"/>
        </w:rPr>
        <w:t>ses</w:t>
      </w:r>
      <w:r w:rsidR="007D2899" w:rsidRPr="0041550F">
        <w:rPr>
          <w:rFonts w:ascii="Times New Roman" w:eastAsia="Times New Roman" w:hAnsi="Times New Roman" w:cs="Times New Roman"/>
          <w:sz w:val="24"/>
          <w:szCs w:val="24"/>
        </w:rPr>
        <w:t xml:space="preserve"> tow</w:t>
      </w:r>
      <w:r w:rsidR="00BB3B6B" w:rsidRPr="0041550F">
        <w:rPr>
          <w:rFonts w:ascii="Times New Roman" w:eastAsia="Times New Roman" w:hAnsi="Times New Roman" w:cs="Times New Roman"/>
          <w:sz w:val="24"/>
          <w:szCs w:val="24"/>
        </w:rPr>
        <w:t>a</w:t>
      </w:r>
      <w:r w:rsidR="007D2899" w:rsidRPr="0041550F">
        <w:rPr>
          <w:rFonts w:ascii="Times New Roman" w:eastAsia="Times New Roman" w:hAnsi="Times New Roman" w:cs="Times New Roman"/>
          <w:sz w:val="24"/>
          <w:szCs w:val="24"/>
        </w:rPr>
        <w:t xml:space="preserve">rd alcoholic cues on these tasks reflect </w:t>
      </w:r>
      <w:r w:rsidR="008222D5" w:rsidRPr="0041550F">
        <w:rPr>
          <w:rFonts w:ascii="Times New Roman" w:eastAsia="Times New Roman" w:hAnsi="Times New Roman" w:cs="Times New Roman"/>
          <w:i/>
          <w:iCs/>
          <w:sz w:val="24"/>
          <w:szCs w:val="24"/>
        </w:rPr>
        <w:t>alcohol</w:t>
      </w:r>
      <w:r w:rsidR="00BB3B6B" w:rsidRPr="0041550F">
        <w:rPr>
          <w:rFonts w:ascii="Times New Roman" w:eastAsia="Times New Roman" w:hAnsi="Times New Roman" w:cs="Times New Roman"/>
          <w:i/>
          <w:iCs/>
          <w:sz w:val="24"/>
          <w:szCs w:val="24"/>
        </w:rPr>
        <w:t>-specific</w:t>
      </w:r>
      <w:r w:rsidR="00BB3B6B"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attentional </w:t>
      </w:r>
      <w:r w:rsidR="00BB3B6B" w:rsidRPr="0041550F">
        <w:rPr>
          <w:rFonts w:ascii="Times New Roman" w:eastAsia="Times New Roman" w:hAnsi="Times New Roman" w:cs="Times New Roman"/>
          <w:sz w:val="24"/>
          <w:szCs w:val="24"/>
        </w:rPr>
        <w:t>bias</w:t>
      </w:r>
      <w:r w:rsidRPr="0041550F">
        <w:rPr>
          <w:rFonts w:ascii="Times New Roman" w:eastAsia="Times New Roman" w:hAnsi="Times New Roman" w:cs="Times New Roman"/>
          <w:sz w:val="24"/>
          <w:szCs w:val="24"/>
        </w:rPr>
        <w:t xml:space="preserve">, it is necessary to employ </w:t>
      </w:r>
      <w:r w:rsidR="00EB0DC1" w:rsidRPr="0041550F">
        <w:rPr>
          <w:rFonts w:ascii="Times New Roman" w:eastAsia="Times New Roman" w:hAnsi="Times New Roman" w:cs="Times New Roman"/>
          <w:sz w:val="24"/>
          <w:szCs w:val="24"/>
        </w:rPr>
        <w:t xml:space="preserve">appropriately </w:t>
      </w:r>
      <w:r w:rsidRPr="0041550F">
        <w:rPr>
          <w:rFonts w:ascii="Times New Roman" w:eastAsia="Times New Roman" w:hAnsi="Times New Roman" w:cs="Times New Roman"/>
          <w:sz w:val="24"/>
          <w:szCs w:val="24"/>
        </w:rPr>
        <w:t>matched control stimuli</w:t>
      </w:r>
      <w:r w:rsidR="00463B72" w:rsidRPr="0041550F">
        <w:rPr>
          <w:rFonts w:ascii="Times New Roman" w:eastAsia="Times New Roman" w:hAnsi="Times New Roman" w:cs="Times New Roman"/>
          <w:sz w:val="24"/>
          <w:szCs w:val="24"/>
        </w:rPr>
        <w:t xml:space="preserve"> – that is, </w:t>
      </w:r>
      <w:r w:rsidR="00A40CDA" w:rsidRPr="0041550F">
        <w:rPr>
          <w:rFonts w:ascii="Times New Roman" w:eastAsia="Times New Roman" w:hAnsi="Times New Roman" w:cs="Times New Roman"/>
          <w:sz w:val="24"/>
          <w:szCs w:val="24"/>
        </w:rPr>
        <w:t xml:space="preserve">a category of </w:t>
      </w:r>
      <w:r w:rsidR="00EB1B9F" w:rsidRPr="0041550F">
        <w:rPr>
          <w:rFonts w:ascii="Times New Roman" w:eastAsia="Times New Roman" w:hAnsi="Times New Roman" w:cs="Times New Roman"/>
          <w:sz w:val="24"/>
          <w:szCs w:val="24"/>
        </w:rPr>
        <w:t>non-alcoholi</w:t>
      </w:r>
      <w:r w:rsidR="000D2A42" w:rsidRPr="0041550F">
        <w:rPr>
          <w:rFonts w:ascii="Times New Roman" w:eastAsia="Times New Roman" w:hAnsi="Times New Roman" w:cs="Times New Roman"/>
          <w:sz w:val="24"/>
          <w:szCs w:val="24"/>
        </w:rPr>
        <w:t>c</w:t>
      </w:r>
      <w:r w:rsidR="00EB1B9F" w:rsidRPr="0041550F">
        <w:rPr>
          <w:rFonts w:ascii="Times New Roman" w:eastAsia="Times New Roman" w:hAnsi="Times New Roman" w:cs="Times New Roman"/>
          <w:sz w:val="24"/>
          <w:szCs w:val="24"/>
        </w:rPr>
        <w:t xml:space="preserve"> substances </w:t>
      </w:r>
      <w:r w:rsidR="00463B72" w:rsidRPr="0041550F">
        <w:rPr>
          <w:rFonts w:ascii="Times New Roman" w:eastAsia="Times New Roman" w:hAnsi="Times New Roman" w:cs="Times New Roman"/>
          <w:sz w:val="24"/>
          <w:szCs w:val="24"/>
        </w:rPr>
        <w:t xml:space="preserve">with </w:t>
      </w:r>
      <w:r w:rsidR="00EB1B9F" w:rsidRPr="0041550F">
        <w:rPr>
          <w:rFonts w:ascii="Times New Roman" w:eastAsia="Times New Roman" w:hAnsi="Times New Roman" w:cs="Times New Roman"/>
          <w:sz w:val="24"/>
          <w:szCs w:val="24"/>
        </w:rPr>
        <w:t>some</w:t>
      </w:r>
      <w:r w:rsidR="00463B72" w:rsidRPr="0041550F">
        <w:rPr>
          <w:rFonts w:ascii="Times New Roman" w:eastAsia="Times New Roman" w:hAnsi="Times New Roman" w:cs="Times New Roman"/>
          <w:sz w:val="24"/>
          <w:szCs w:val="24"/>
        </w:rPr>
        <w:t xml:space="preserve"> </w:t>
      </w:r>
      <w:r w:rsidR="00EB1B9F" w:rsidRPr="0041550F">
        <w:rPr>
          <w:rFonts w:ascii="Times New Roman" w:eastAsia="Times New Roman" w:hAnsi="Times New Roman" w:cs="Times New Roman"/>
          <w:sz w:val="24"/>
          <w:szCs w:val="24"/>
        </w:rPr>
        <w:t xml:space="preserve">degree of </w:t>
      </w:r>
      <w:r w:rsidR="00463B72" w:rsidRPr="0041550F">
        <w:rPr>
          <w:rFonts w:ascii="Times New Roman" w:eastAsia="Times New Roman" w:hAnsi="Times New Roman" w:cs="Times New Roman"/>
          <w:sz w:val="24"/>
          <w:szCs w:val="24"/>
        </w:rPr>
        <w:t>incentive value</w:t>
      </w:r>
      <w:r w:rsidR="00EB1B9F" w:rsidRPr="0041550F">
        <w:rPr>
          <w:rFonts w:ascii="Times New Roman" w:eastAsia="Times New Roman" w:hAnsi="Times New Roman" w:cs="Times New Roman"/>
          <w:sz w:val="24"/>
          <w:szCs w:val="24"/>
        </w:rPr>
        <w:t xml:space="preserve"> (e.g., soft drinks).</w:t>
      </w:r>
      <w:r w:rsidR="007D2899" w:rsidRPr="0041550F">
        <w:rPr>
          <w:rFonts w:ascii="Times New Roman" w:eastAsia="Times New Roman" w:hAnsi="Times New Roman" w:cs="Times New Roman"/>
          <w:sz w:val="24"/>
          <w:szCs w:val="24"/>
        </w:rPr>
        <w:t xml:space="preserve"> </w:t>
      </w:r>
      <w:r w:rsidR="00615E11" w:rsidRPr="0041550F">
        <w:rPr>
          <w:rFonts w:ascii="Times New Roman" w:eastAsia="Times New Roman" w:hAnsi="Times New Roman" w:cs="Times New Roman"/>
          <w:sz w:val="24"/>
          <w:szCs w:val="24"/>
        </w:rPr>
        <w:t>H</w:t>
      </w:r>
      <w:r w:rsidR="007D2899" w:rsidRPr="0041550F">
        <w:rPr>
          <w:rFonts w:ascii="Times New Roman" w:eastAsia="Times New Roman" w:hAnsi="Times New Roman" w:cs="Times New Roman"/>
          <w:sz w:val="24"/>
          <w:szCs w:val="24"/>
        </w:rPr>
        <w:t>owever, o</w:t>
      </w:r>
      <w:r w:rsidRPr="0041550F">
        <w:rPr>
          <w:rFonts w:ascii="Times New Roman" w:eastAsia="Times New Roman" w:hAnsi="Times New Roman" w:cs="Times New Roman"/>
          <w:sz w:val="24"/>
          <w:szCs w:val="24"/>
        </w:rPr>
        <w:t xml:space="preserve">ur </w:t>
      </w:r>
      <w:r w:rsidR="007D2899" w:rsidRPr="0041550F">
        <w:rPr>
          <w:rFonts w:ascii="Times New Roman" w:eastAsia="Times New Roman" w:hAnsi="Times New Roman" w:cs="Times New Roman"/>
          <w:sz w:val="24"/>
          <w:szCs w:val="24"/>
        </w:rPr>
        <w:t xml:space="preserve">focused </w:t>
      </w:r>
      <w:r w:rsidRPr="0041550F">
        <w:rPr>
          <w:rFonts w:ascii="Times New Roman" w:eastAsia="Times New Roman" w:hAnsi="Times New Roman" w:cs="Times New Roman"/>
          <w:sz w:val="24"/>
          <w:szCs w:val="24"/>
        </w:rPr>
        <w:t xml:space="preserve">review of alcohol-related attentional bias revealed </w:t>
      </w:r>
      <w:r w:rsidR="001B59D5" w:rsidRPr="0041550F">
        <w:rPr>
          <w:rFonts w:ascii="Times New Roman" w:eastAsia="Times New Roman" w:hAnsi="Times New Roman" w:cs="Times New Roman"/>
          <w:sz w:val="24"/>
          <w:szCs w:val="24"/>
        </w:rPr>
        <w:t>that</w:t>
      </w:r>
      <w:r w:rsidR="00E26A22" w:rsidRPr="0041550F">
        <w:rPr>
          <w:rFonts w:ascii="Times New Roman" w:eastAsia="Times New Roman" w:hAnsi="Times New Roman" w:cs="Times New Roman"/>
          <w:sz w:val="24"/>
          <w:szCs w:val="24"/>
        </w:rPr>
        <w:t xml:space="preserve">, of those papers reporting explicitly the </w:t>
      </w:r>
      <w:r w:rsidR="000A4F45" w:rsidRPr="0041550F">
        <w:rPr>
          <w:rFonts w:ascii="Times New Roman" w:eastAsia="Times New Roman" w:hAnsi="Times New Roman" w:cs="Times New Roman"/>
          <w:sz w:val="24"/>
          <w:szCs w:val="24"/>
        </w:rPr>
        <w:t xml:space="preserve">stimuli </w:t>
      </w:r>
      <w:r w:rsidR="00E26A22" w:rsidRPr="0041550F">
        <w:rPr>
          <w:rFonts w:ascii="Times New Roman" w:eastAsia="Times New Roman" w:hAnsi="Times New Roman" w:cs="Times New Roman"/>
          <w:sz w:val="24"/>
          <w:szCs w:val="24"/>
        </w:rPr>
        <w:t xml:space="preserve">employed within tasks, </w:t>
      </w:r>
      <w:r w:rsidRPr="0041550F">
        <w:rPr>
          <w:rFonts w:ascii="Times New Roman" w:eastAsia="Times New Roman" w:hAnsi="Times New Roman" w:cs="Times New Roman"/>
          <w:sz w:val="24"/>
          <w:szCs w:val="24"/>
        </w:rPr>
        <w:t>3</w:t>
      </w:r>
      <w:r w:rsidR="000F6137" w:rsidRPr="0041550F">
        <w:rPr>
          <w:rFonts w:ascii="Times New Roman" w:eastAsia="Times New Roman" w:hAnsi="Times New Roman" w:cs="Times New Roman"/>
          <w:sz w:val="24"/>
          <w:szCs w:val="24"/>
        </w:rPr>
        <w:t>5.29</w:t>
      </w:r>
      <w:r w:rsidRPr="0041550F">
        <w:rPr>
          <w:rFonts w:ascii="Times New Roman" w:eastAsia="Times New Roman" w:hAnsi="Times New Roman" w:cs="Times New Roman"/>
          <w:sz w:val="24"/>
          <w:szCs w:val="24"/>
        </w:rPr>
        <w:t xml:space="preserve">% </w:t>
      </w:r>
      <w:r w:rsidR="00E26A22" w:rsidRPr="0041550F">
        <w:rPr>
          <w:rFonts w:ascii="Times New Roman" w:eastAsia="Times New Roman" w:hAnsi="Times New Roman" w:cs="Times New Roman"/>
          <w:sz w:val="24"/>
          <w:szCs w:val="24"/>
        </w:rPr>
        <w:t>us</w:t>
      </w:r>
      <w:r w:rsidR="007D2899" w:rsidRPr="0041550F">
        <w:rPr>
          <w:rFonts w:ascii="Times New Roman" w:eastAsia="Times New Roman" w:hAnsi="Times New Roman" w:cs="Times New Roman"/>
          <w:sz w:val="24"/>
          <w:szCs w:val="24"/>
        </w:rPr>
        <w:t>ed</w:t>
      </w:r>
      <w:r w:rsidR="00E26A22" w:rsidRPr="0041550F">
        <w:rPr>
          <w:rFonts w:ascii="Times New Roman" w:eastAsia="Times New Roman" w:hAnsi="Times New Roman" w:cs="Times New Roman"/>
          <w:sz w:val="24"/>
          <w:szCs w:val="24"/>
        </w:rPr>
        <w:t xml:space="preserve"> unmatched</w:t>
      </w:r>
      <w:r w:rsidR="00615E11" w:rsidRPr="0041550F">
        <w:rPr>
          <w:rFonts w:ascii="Times New Roman" w:eastAsia="Times New Roman" w:hAnsi="Times New Roman" w:cs="Times New Roman"/>
          <w:sz w:val="24"/>
          <w:szCs w:val="24"/>
        </w:rPr>
        <w:t xml:space="preserve"> non-appetitive</w:t>
      </w:r>
      <w:r w:rsidR="00591351" w:rsidRPr="0041550F">
        <w:rPr>
          <w:rFonts w:ascii="Times New Roman" w:eastAsia="Times New Roman" w:hAnsi="Times New Roman" w:cs="Times New Roman"/>
          <w:sz w:val="24"/>
          <w:szCs w:val="24"/>
        </w:rPr>
        <w:t xml:space="preserve"> </w:t>
      </w:r>
      <w:r w:rsidR="005270F2" w:rsidRPr="0041550F">
        <w:rPr>
          <w:rFonts w:ascii="Times New Roman" w:eastAsia="Times New Roman" w:hAnsi="Times New Roman" w:cs="Times New Roman"/>
          <w:sz w:val="24"/>
          <w:szCs w:val="24"/>
        </w:rPr>
        <w:t xml:space="preserve">control </w:t>
      </w:r>
      <w:r w:rsidRPr="0041550F">
        <w:rPr>
          <w:rFonts w:ascii="Times New Roman" w:eastAsia="Times New Roman" w:hAnsi="Times New Roman" w:cs="Times New Roman"/>
          <w:sz w:val="24"/>
          <w:szCs w:val="24"/>
        </w:rPr>
        <w:t>stimuli</w:t>
      </w:r>
      <w:r w:rsidR="005D7107" w:rsidRPr="0041550F">
        <w:rPr>
          <w:rFonts w:ascii="Times New Roman" w:eastAsia="Times New Roman" w:hAnsi="Times New Roman" w:cs="Times New Roman"/>
          <w:sz w:val="24"/>
          <w:szCs w:val="24"/>
        </w:rPr>
        <w:t>. F</w:t>
      </w:r>
      <w:r w:rsidR="000A4F45" w:rsidRPr="0041550F">
        <w:rPr>
          <w:rFonts w:ascii="Times New Roman" w:eastAsia="Times New Roman" w:hAnsi="Times New Roman" w:cs="Times New Roman"/>
          <w:sz w:val="24"/>
          <w:szCs w:val="24"/>
        </w:rPr>
        <w:t xml:space="preserve">or instance, </w:t>
      </w:r>
      <w:r w:rsidRPr="0041550F">
        <w:rPr>
          <w:rFonts w:ascii="Times New Roman" w:eastAsia="Times New Roman" w:hAnsi="Times New Roman" w:cs="Times New Roman"/>
          <w:sz w:val="24"/>
          <w:szCs w:val="24"/>
        </w:rPr>
        <w:t xml:space="preserve">responses toward </w:t>
      </w:r>
      <w:r w:rsidR="00E46394" w:rsidRPr="0041550F">
        <w:rPr>
          <w:rFonts w:ascii="Times New Roman" w:eastAsia="Times New Roman" w:hAnsi="Times New Roman" w:cs="Times New Roman"/>
          <w:sz w:val="24"/>
          <w:szCs w:val="24"/>
        </w:rPr>
        <w:t xml:space="preserve">pictorial </w:t>
      </w:r>
      <w:r w:rsidRPr="0041550F">
        <w:rPr>
          <w:rFonts w:ascii="Times New Roman" w:eastAsia="Times New Roman" w:hAnsi="Times New Roman" w:cs="Times New Roman"/>
          <w:sz w:val="24"/>
          <w:szCs w:val="24"/>
        </w:rPr>
        <w:t xml:space="preserve">alcohol-related stimuli </w:t>
      </w:r>
      <w:r w:rsidR="002757FD" w:rsidRPr="0041550F">
        <w:rPr>
          <w:rFonts w:ascii="Times New Roman" w:eastAsia="Times New Roman" w:hAnsi="Times New Roman" w:cs="Times New Roman"/>
          <w:sz w:val="24"/>
          <w:szCs w:val="24"/>
        </w:rPr>
        <w:t xml:space="preserve">were </w:t>
      </w:r>
      <w:r w:rsidRPr="0041550F">
        <w:rPr>
          <w:rFonts w:ascii="Times New Roman" w:eastAsia="Times New Roman" w:hAnsi="Times New Roman" w:cs="Times New Roman"/>
          <w:sz w:val="24"/>
          <w:szCs w:val="24"/>
        </w:rPr>
        <w:t xml:space="preserve">compared frequently against those to household objects or office stationery (e.g., </w:t>
      </w:r>
      <w:r w:rsidR="00C30FD3"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{"citationItems":[{"id":"ITEM-1","itemData":{"ISSN":"15548716","abstract":"Introduction: Alcohol use disorder (AUD) represents a major general health concern with important consequences for individuals’ psycho-social functioning. Many studies suggest that cognitive processes such as attentional bias (AB) are heavily involved in the phases of acquisition, maintenance and relapse precipitation in AUD. AB is described as an implicit selective attention when processing visual information in favor of desired cues, which may elicit craving for alcohol and facilitate drinking-related behaviors. In line with recent studies of the applications of human-computer interaction in the field of psychology, the current study aimed to assess attentional bias towards alcohol-related images using eye-tracking technology. Specifically, we explored the first gaze towards alcohol-related images versus neutral images in patients with short-term and long-term abstinence. Method: 24 outpatients (Mage = 53, SD = 11.65) from the Addictive Behavior Unit of the Hospital Clinic of Barcelona participated in the study. The inclusion criteria were diagnoses of AUD and normal or corrected-to-normal visual acuity. Participants were divided according to their abstinence period, with the cut-off point being set at four months. Fourteen patients had been abstinent for less than four months (M = 1, SD = 0.96), and 10 for longer than this period (M = 14, SD = 8.17). The self-reported abstinence period was supported by the results of urine analyses performed in all patients. Participants completed the Alcohol Use Disorder Identification Test (M = 19.75, SD = 9.34) and the Visual Attention Task (VAT). The VAT consisted of images related to alcohol consumption versus neutral images such as office objects. The EyeTribe eye-tracking technology was used to record eye movement activity during the VAT. Results: Our data indicated a statistically significant difference between patients with short-term and long-term abstinence regarding their first fixation towards alcohol-related and neutral images. Patients abstinent for less than four months had a tendency to look first at images related to alcohol consumption, whereas patients abstinent for more than four months were more likely to look first at neutral images, regardless of their AUDIT score. Conclusions: Patients with short-term abstinence had a greater AB than patients with long-term abstinence. The first gaze seems to be a sensitive parameter for differentiating between patients with low and high AB. The use of eye-tr…","author":[{"dropping-particle":"","family":"Ghiţă","given":"Alexandra","non-dropping-particle":"","parse-names":false,"suffix":""},{"dropping-particle":"","family":"Porras García","given":"Bruno","non-dropping-particle":"","parse-names":false,"suffix":""},{"dropping-particle":"","family":"Moreno","given":"Manuel","non-dropping-particle":"","parse-names":false,"suffix":""},{"dropping-particle":"","family":"Monras","given":"Miquel","non-dropping-particle":"","parse-names":false,"suffix":""},{"dropping-particle":"","family":"Ortega","given":"Lluisa","non-dropping-particle":"","parse-names":false,"suffix":""},{"dropping-particle":"","family":"Mondon","given":"Silvia","non-dropping-particle":"","parse-names":false,"suffix":""},{"dropping-particle":"","family":"Teixido","given":"Lidia","non-dropping-particle":"","parse-names":false,"suffix":""},{"dropping-particle":"","family":"Obach I Vidal","given":"Amadeu","non-dropping-particle":"","parse-names":false,"suffix":""},{"dropping-particle":"","family":"Gual","given":"Antoni","non-dropping-particle":"","parse-names":false,"suffix":""},{"dropping-particle":"","family":"Aznar Casanova","given":"José Antonio","non-dropping-particle":"","parse-names":false,"suffix":""},{"dropping-particle":"","family":"Ferrer García","given":"Marta","non-dropping-particle":"","parse-names":false,"suffix":""},{"dropping-particle":"","family":"Bertomeu Panisello","given":"Paola","non-dropping-particle":"","parse-names":false,"suffix":""},{"dropping-particle":"","family":"Gutiérrez Maldonado","given":"José","non-dropping-particle":"","parse-names":false,"suffix":""}],"container-title":"Annual Review of CyberTherapy and Telemedicine","id":"ITEM-1","issue":"May 2020","issued":{"date-parts":[["2019"]]},"page":"83-87","title":"Attentional bias assessment in patients with alcohol use disorder: An eyetracking study","type":"article-journal","volume":"17"},"uris":["http://www.mendeley.com/documents/?uuid=23ebd6a2-754e-4b47-8891-6f2b50255fc3"]},{"id":"ITEM-2","itemData":{"DOI":"10.1016/j.addbeh.2018.09.001","ISSN":"18736327","PMID":"30205257","abstract":"Background: An attentional bias towards substance-related stimuli has been demonstrated with alcohol drinkers and many other types of substance user. There is evidence to suggest that the strength of an attentional bias may vary as a result of context (or use intention), especially within Ecstasy/MDMA users. Objective: Our aim was to empirically investigate attentional biases by observing the affect that use intention plays in recreational MDMA users and compare the findings with that of alcohol users. Method: Regular alcohol drinkers were compared with MDMA users. Performance was assessed for each group separately using two versions of an eye-tracking attentional bias task with pairs of matched neutral, and alcohol or MDMA-related visual stimuli. Dwell time was recorded for alcohol or MDMA. Participants were tested twice, when intending and not intending to use MDMA or alcohol. Note, participants in the alcohol group did not complete any tasks which involved MDMA-related stimuli and vice versa. Results: Significant attentional biases were found with both MDMA and alcohol users for respective substance-related stimuli, but not control stimuli. Critically, use intention did not affect attentional biases. Attentional biases were demonstrated with both MDMA users and alcohol drinkers when usage was and was not intended. Conclusions: These findings demonstrate the robust nature of attentional biases i.e. once an attentional bias has developed, it is not readily affected by intention.","author":[{"dropping-particle":"","family":"Wilcockson","given":"Thomas D.W.","non-dropping-particle":"","parse-names":false,"suffix":""},{"dropping-particle":"","family":"Pothos","given":"Emmanuel M.","non-dropping-particle":"","parse-names":false,"suffix":""},{"dropping-particle":"","family":"Parrott","given":"Andrew C.","non-dropping-particle":"","parse-names":false,"suffix":""}],"container-title":"Addictive Behaviors","id":"ITEM-2","issue":"September 2018","issued":{"date-parts":[["2019"]]},"page":"175-181","publisher":"Elsevier","title":"Substance usage intention does not affect attentional bias: implications from Ecstasy/MDMA users and alcohol drinkers","type":"article-journal","volume":"88"},"uris":["http://www.mendeley.com/documents/?uuid=be3fbe07-b97b-42e5-8d4d-ac820645fdf7"]},{"id":"ITEM-3","itemData":{"DOI":"10.1093/alcalc/agy065","ISSN":"14643502","PMID":"30192917","abstract":"Aims The current candidate gene and environment interaction (cGxE) study examined whether the effects of an experimentally manipulated psychosocial stressor on self-reported drinking urge and implicit attentional bias for alcohol cues differ as a function of a cumulative genetic score of 5-HTTLPR, MAO-A, DRD4, DAT1 and DRD2 genotypes. The current study also examined whether salivary alpha-amylase level or self-reported anxiety state mediate these cGxE effects. Short Summary Individuals with high cumulative genetic risk score of the five monoamergic genotypes showed greater attentional bias toward alcohol cues when exposed to a psychosocial stressor than when not exposed. Methods Frequent binge-drinking Caucasian young adults (N = 105; mean age = 19; 61% male) completed both the control condition and stress condition (using the Trier Social Stress Test) in order. Results Regarding attentional bias, individuals with high and medium cumulative genetic risk scores showed greater attentional bias toward alcohol stimuli in the stress condition than in the control condition, whereas, those with low genetic risk scores showed greater attentional bias toward alcohol stimuli in the control condition than in the stress condition. No mediating roles of salivary alpha-amylase and anxiety state in the cGxE effect were found. Regarding self-reported drinking urge, individuals with high cumulative genetic score reported greater drinking urge than those with low genetic score regardless of experimental conditions. Conclusions Although replication is necessary, the findings suggest that the association of a psychosocial stressor on implicit (but not explicit, self-reported) alcohol outcomes may differ as a function of the collective effects of five monoamine genes.","author":[{"dropping-particle":"","family":"Kim","given":"Jueun","non-dropping-particle":"","parse-names":false,"suffix":""},{"dropping-particle":"","family":"Marciano","given":"Michael A.","non-dropping-particle":"","parse-names":false,"suffix":""},{"dropping-particle":"","family":"Ninham","given":"Shyanne","non-dropping-particle":"","parse-names":false,"suffix":""},{"dropping-particle":"","family":"Zaso","given":"Michelle J.","non-dropping-particle":"","parse-names":false,"suffix":""},{"dropping-particle":"","family":"Park","given":"Aesoon","non-dropping-particle":"","parse-names":false,"suffix":""}],"container-title":"Alcohol and Alcoholism","id":"ITEM-3","issue":"1","issued":{"date-parts":[["2019"]]},"page":"30-37","title":"Interaction effects between the cumulative genetic score and psychosocial stressor on self-reported drinking urge and implicit attentional bias for alcohol: A human laboratory study","type":"article-journal","volume":"54"},"uris":["http://www.mendeley.com/documents/?uuid=90f6efc0-ea9e-4f3c-8023-df8f4a79259a"]}],"mendeley":{"formattedCitation":"(35–37)","manualFormatting":"35–37)","plainTextFormattedCitation":"(35–37)","previouslyFormattedCitation":"(35–37)"},"properties":{"noteIndex":0},"schema":"https://github.com/citation-style-language/schema/raw/master/csl-citation.json"}</w:instrText>
      </w:r>
      <w:r w:rsidR="00C30FD3"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3</w:t>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5</w:t>
      </w:r>
      <w:r w:rsidR="0072560E" w:rsidRPr="0041550F">
        <w:rPr>
          <w:rFonts w:ascii="Times New Roman" w:eastAsia="Times New Roman" w:hAnsi="Times New Roman" w:cs="Times New Roman"/>
          <w:noProof/>
          <w:sz w:val="24"/>
          <w:szCs w:val="24"/>
        </w:rPr>
        <w:t>)</w:t>
      </w:r>
      <w:r w:rsidR="00C30FD3" w:rsidRPr="0041550F">
        <w:rPr>
          <w:rFonts w:ascii="Times New Roman" w:eastAsia="Times New Roman" w:hAnsi="Times New Roman" w:cs="Times New Roman"/>
          <w:sz w:val="24"/>
          <w:szCs w:val="24"/>
        </w:rPr>
        <w:fldChar w:fldCharType="end"/>
      </w:r>
      <w:r w:rsidR="004C620A" w:rsidRPr="0041550F">
        <w:rPr>
          <w:rFonts w:ascii="Times New Roman" w:eastAsia="Times New Roman" w:hAnsi="Times New Roman" w:cs="Times New Roman"/>
          <w:sz w:val="24"/>
          <w:szCs w:val="24"/>
        </w:rPr>
        <w:t xml:space="preserve">, thereby confounding </w:t>
      </w:r>
      <w:r w:rsidR="002C4348" w:rsidRPr="0041550F">
        <w:rPr>
          <w:rFonts w:ascii="Times New Roman" w:eastAsia="Times New Roman" w:hAnsi="Times New Roman" w:cs="Times New Roman"/>
          <w:sz w:val="24"/>
          <w:szCs w:val="24"/>
        </w:rPr>
        <w:t xml:space="preserve">the incentive value of </w:t>
      </w:r>
      <w:r w:rsidR="004C620A" w:rsidRPr="0041550F">
        <w:rPr>
          <w:rFonts w:ascii="Times New Roman" w:eastAsia="Times New Roman" w:hAnsi="Times New Roman" w:cs="Times New Roman"/>
          <w:sz w:val="24"/>
          <w:szCs w:val="24"/>
        </w:rPr>
        <w:t>alcohol</w:t>
      </w:r>
      <w:r w:rsidR="00FC4911" w:rsidRPr="0041550F">
        <w:rPr>
          <w:rFonts w:ascii="Times New Roman" w:eastAsia="Times New Roman" w:hAnsi="Times New Roman" w:cs="Times New Roman"/>
          <w:sz w:val="24"/>
          <w:szCs w:val="24"/>
        </w:rPr>
        <w:t>ic</w:t>
      </w:r>
      <w:r w:rsidR="004C620A" w:rsidRPr="0041550F">
        <w:rPr>
          <w:rFonts w:ascii="Times New Roman" w:eastAsia="Times New Roman" w:hAnsi="Times New Roman" w:cs="Times New Roman"/>
          <w:sz w:val="24"/>
          <w:szCs w:val="24"/>
        </w:rPr>
        <w:t xml:space="preserve"> </w:t>
      </w:r>
      <w:r w:rsidR="002C4348" w:rsidRPr="0041550F">
        <w:rPr>
          <w:rFonts w:ascii="Times New Roman" w:eastAsia="Times New Roman" w:hAnsi="Times New Roman" w:cs="Times New Roman"/>
          <w:sz w:val="24"/>
          <w:szCs w:val="24"/>
        </w:rPr>
        <w:t xml:space="preserve">and </w:t>
      </w:r>
      <w:r w:rsidR="00FC4911" w:rsidRPr="0041550F">
        <w:rPr>
          <w:rFonts w:ascii="Times New Roman" w:eastAsia="Times New Roman" w:hAnsi="Times New Roman" w:cs="Times New Roman"/>
          <w:sz w:val="24"/>
          <w:szCs w:val="24"/>
        </w:rPr>
        <w:t>non-</w:t>
      </w:r>
      <w:r w:rsidR="002C4348" w:rsidRPr="0041550F">
        <w:rPr>
          <w:rFonts w:ascii="Times New Roman" w:eastAsia="Times New Roman" w:hAnsi="Times New Roman" w:cs="Times New Roman"/>
          <w:sz w:val="24"/>
          <w:szCs w:val="24"/>
        </w:rPr>
        <w:t>alcohol</w:t>
      </w:r>
      <w:r w:rsidR="00FC4911" w:rsidRPr="0041550F">
        <w:rPr>
          <w:rFonts w:ascii="Times New Roman" w:eastAsia="Times New Roman" w:hAnsi="Times New Roman" w:cs="Times New Roman"/>
          <w:sz w:val="24"/>
          <w:szCs w:val="24"/>
        </w:rPr>
        <w:t xml:space="preserve">ic </w:t>
      </w:r>
      <w:r w:rsidR="004C620A" w:rsidRPr="0041550F">
        <w:rPr>
          <w:rFonts w:ascii="Times New Roman" w:eastAsia="Times New Roman" w:hAnsi="Times New Roman" w:cs="Times New Roman"/>
          <w:sz w:val="24"/>
          <w:szCs w:val="24"/>
        </w:rPr>
        <w:t xml:space="preserve">appetitive </w:t>
      </w:r>
      <w:r w:rsidR="002C4348" w:rsidRPr="0041550F">
        <w:rPr>
          <w:rFonts w:ascii="Times New Roman" w:eastAsia="Times New Roman" w:hAnsi="Times New Roman" w:cs="Times New Roman"/>
          <w:sz w:val="24"/>
          <w:szCs w:val="24"/>
        </w:rPr>
        <w:t>substances</w:t>
      </w:r>
      <w:r w:rsidRPr="0041550F">
        <w:rPr>
          <w:rFonts w:ascii="Times New Roman" w:eastAsia="Times New Roman" w:hAnsi="Times New Roman" w:cs="Times New Roman"/>
          <w:sz w:val="24"/>
          <w:szCs w:val="24"/>
        </w:rPr>
        <w:t>. Similarly, although researchers take care with certain validation procedures in the Addiction Stroop task, such as ensuring that word length, syllables and frequency of use are matched</w:t>
      </w:r>
      <w:r w:rsidR="002A4B1F" w:rsidRPr="0041550F">
        <w:rPr>
          <w:rFonts w:ascii="Times New Roman" w:eastAsia="Times New Roman" w:hAnsi="Times New Roman" w:cs="Times New Roman"/>
          <w:sz w:val="24"/>
          <w:szCs w:val="24"/>
        </w:rPr>
        <w:t xml:space="preserve"> between experimental and control stimuli</w:t>
      </w:r>
      <w:r w:rsidRPr="0041550F">
        <w:rPr>
          <w:rFonts w:ascii="Times New Roman" w:eastAsia="Times New Roman" w:hAnsi="Times New Roman" w:cs="Times New Roman"/>
          <w:sz w:val="24"/>
          <w:szCs w:val="24"/>
        </w:rPr>
        <w:t xml:space="preserve">, many compare responses </w:t>
      </w:r>
      <w:r w:rsidR="00FB23BC" w:rsidRPr="0041550F">
        <w:rPr>
          <w:rFonts w:ascii="Times New Roman" w:eastAsia="Times New Roman" w:hAnsi="Times New Roman" w:cs="Times New Roman"/>
          <w:sz w:val="24"/>
          <w:szCs w:val="24"/>
        </w:rPr>
        <w:t xml:space="preserve">between </w:t>
      </w:r>
      <w:r w:rsidR="00E26A22" w:rsidRPr="0041550F">
        <w:rPr>
          <w:rFonts w:ascii="Times New Roman" w:eastAsia="Times New Roman" w:hAnsi="Times New Roman" w:cs="Times New Roman"/>
          <w:sz w:val="24"/>
          <w:szCs w:val="24"/>
        </w:rPr>
        <w:t>alcohol</w:t>
      </w:r>
      <w:r w:rsidRPr="0041550F">
        <w:rPr>
          <w:rFonts w:ascii="Times New Roman" w:eastAsia="Times New Roman" w:hAnsi="Times New Roman" w:cs="Times New Roman"/>
          <w:sz w:val="24"/>
          <w:szCs w:val="24"/>
        </w:rPr>
        <w:t xml:space="preserve">-related (e.g., VODKA) </w:t>
      </w:r>
      <w:r w:rsidR="00FB23BC" w:rsidRPr="0041550F">
        <w:rPr>
          <w:rFonts w:ascii="Times New Roman" w:eastAsia="Times New Roman" w:hAnsi="Times New Roman" w:cs="Times New Roman"/>
          <w:sz w:val="24"/>
          <w:szCs w:val="24"/>
        </w:rPr>
        <w:t>and</w:t>
      </w:r>
      <w:r w:rsidRPr="0041550F">
        <w:rPr>
          <w:rFonts w:ascii="Times New Roman" w:eastAsia="Times New Roman" w:hAnsi="Times New Roman" w:cs="Times New Roman"/>
          <w:sz w:val="24"/>
          <w:szCs w:val="24"/>
        </w:rPr>
        <w:t xml:space="preserve"> non-appetitive words (e.g., CHAIR;</w:t>
      </w:r>
      <w:r w:rsidR="00737F4A"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{"citationItems":[{"id":"ITEM-1","itemData":{"DOI":"10.1111/acer.13520","ISSN":"15300277","PMID":"28992377","abstract":"Background: Attentional bias modification (ABM) techniques for reducing problematic alcohol consumption hold promise as highly accessible and cost-effective treatment approaches. A growing body of literature has examined ABM as a potentially efficacious intervention for reducing drinking and drinking-related cognitions in alcohol-dependent individuals as well as those at-risk of developing problem drinking habits. Methods: This study tested the effectiveness of a single session of visual probe-based ABM training in a cohort of 60 non-treatment-seeking young adult drinkers, with a focus on examining mechanisms underlying training efficacy. Participants were randomly assigned to a single session of active ABM training or a sham training condition in a laboratory setting. Measures of implicit drinking-related cognitions (alcohol Stroop and an Implicit Association Task) and attentional bias (AB; alcohol visual probe) were administered, and subjective alcohol craving was reported in response to in vivo alcohol cues. Results: Results showed that active ABM training, relative to sham, resulted in significant differences in measures of implicit alcohol-related cognition, alcohol-related AB, and self-reports of alcohol craving. Mediation analysis showed that reductions in craving were fully mediated by ABM-related reductions in alcohol-Stroop interference scores, suggesting a previously undocumented relationship between the 2 measures. Conclusions: Results document the efficacy of brief ABM to reduce both implicit and explicit processes related to drinking, and highlight the potential intervention-relevance of alcohol-related implicit cognitions in social drinkers.","author":[{"dropping-particle":"","family":"Luehring-Jones","given":"Peter","non-dropping-particle":"","parse-names":false,"suffix":""},{"dropping-particle":"","family":"Louis","given":"Courtney","non-dropping-particle":"","parse-names":false,"suffix":""},{"dropping-particle":"","family":"Dennis-Tiwary","given":"Tracy A.","non-dropping-particle":"","parse-names":false,"suffix":""},{"dropping-particle":"","family":"Erblich","given":"Joel","non-dropping-particle":"","parse-names":false,"suffix":""}],"container-title":"Alcoholism: Clinical and Experimental Research","id":"ITEM-1","issue":"12","issued":{"date-parts":[["2017"]]},"page":"2207-2216","title":"A Single Session of Attentional Bias Modification Reduces Alcohol Craving and Implicit Measures of Alcohol Bias in Young Adult Drinkers","type":"article-journal","volume":"41"},"uris":["http://www.mendeley.com/documents/?uuid=9996a559-7889-49bd-8845-4043633fa590"]},{"id":"ITEM-2","itemData":{"DOI":"10.1016/j.addbeh.2018.03.034","ISSN":"18736327","PMID":"29631095","abstract":"Introduction: This study assessed relationships between clients’ attentional bias (AB) for different types of stimuli and their treatment outcomes. Alcohol AB during detoxification has previously been shown to predict relapse, but further research was needed to clarify this relationship. The current study determined whether AB for recovery-related words would also predict treatment outcome. Methods: Participants were 45 clients undergoing alcohol detoxification, and a control group of 36 staff members. They rated words for personal relevance in four categories (alcohol-related, neutral, positive change-related, and negative change-related). Participants completed an individualized Stroop task containing their chosen words. They were also assessed on readiness-to-change, difficulties with emotion regulation, drinking problems, anxiety, and depression. Clients were interviewed at a three-month follow-up to determine their treatment outcome. Results: As predicted, questionnaire measures did not predict clients’ treatment outcome (p &gt;.05). A logistic regression model indicated that the best predictor of treatment outcome was AB for positive change-related words (p =.048), with successful individuals having less AB for these words than for the other word categories. Although this finding was unexpected, it was supported by significant relationships between positive change-related interference scores and continuous measures of drinking at follow-up [i.e. number of units drunk (p =.039) and number of drinking days (p =.018)]. Conclusions: The results suggest that positive change-related words are a better predictor of treatment outcome than are either alcohol-related words or negative change-related words.","author":[{"dropping-particle":"","family":"Rettie","given":"Hannah C.","non-dropping-particle":"","parse-names":false,"suffix":""},{"dropping-particle":"","family":"Hogan","given":"Lee M.","non-dropping-particle":"","parse-names":false,"suffix":""},{"dropping-particle":"","family":"Cox","given":"W. Miles","non-dropping-particle":"","parse-names":false,"suffix":""}],"container-title":"Addictive Behaviors","id":"ITEM-2","issue":"February","issued":{"date-parts":[["2018"]]},"page":"86-91","publisher":"Elsevier","title":"Negative attentional bias for positive recovery-related words as a predictor of treatment success among individuals with an alcohol use disorder","type":"article-journal","volume":"84"},"uris":["http://www.mendeley.com/documents/?uuid=addb0473-b63d-4e3a-843e-8cc1719a5e3b"]},{"id":"ITEM-3","itemData":{"DOI":"10.1111/acer.12817","ISSN":"15300277","PMID":"26247388","abstract":"Background: Implicit processes such as attentional bias (AB) and automatic approach/avoidance tendencies (AA) play a role in substance use disorders. Whether these processes can predict a relapse in alcohol-dependent patients is still unclear and must be examined in more detail than has been done previously. We aimed to establish whether AB and AA measured during treatment would predict relapse in alcohol-dependent patients. We also investigated whether these implicit processes predicted time to relapse better than a more common binary relapse variable. Methods: A total of 50 alcohol-dependent outpatients undergoing treatment completed the study. Patients completed the Addiction Stroop Task, which assesses AB, and the relevant Stimulus-Response Compatibility Task, which measures AA. Time to relapse was assessed 1, 2, and 3 months after the bias assessment. Results: Twenty patients (40%) relapsed during the follow-up period. The average time to relapse was 40 days after the first session. Overall, participants had an AB for alcohol-related stimuli and a tendency to avoid these stimuli. Neither relapse nor time to relapse was predicted by either bias type. Conclusions: Although both AB and avoidance tendencies were present in our sample, these measures did not predict relapse or time to relapse in an outpatient alcohol-dependent sample in the following 3 months. Future research should focus on studying the predictive value of these biases in the short term, for example, using ecological momentary assessment techniques to assess implicit processes shortly before a relapse.","author":[{"dropping-particle":"","family":"Snelleman","given":"Michelle","non-dropping-particle":"","parse-names":false,"suffix":""},{"dropping-particle":"","family":"Schoenmakers","given":"Tim Michaël","non-dropping-particle":"","parse-names":false,"suffix":""},{"dropping-particle":"","family":"Mheen","given":"Dike","non-dropping-particle":"van de","parse-names":false,"suffix":""}],"container-title":"Alcoholism: Clinical and Experimental Research","id":"ITEM-3","issue":"9","issued":{"date-parts":[["2015"]]},"page":"1734-1739","title":"Attentional Bias and Approach/Avoidance Tendencies Do Not Predict Relapse or Time to Relapse in Alcohol Dependency","type":"article-journal","volume":"39"},"uris":["http://www.mendeley.com/documents/?uuid=e2bcc97c-0ab9-482b-90bf-7ae3e7ec0daa"]}],"mendeley":{"formattedCitation":"(38–40)","manualFormatting":" 38–40)","plainTextFormattedCitation":"(38–40)","previouslyFormattedCitation":"(38–40)"},"properties":{"noteIndex":0},"schema":"https://github.com/citation-style-language/schema/raw/master/csl-citation.json"}</w:instrText>
      </w:r>
      <w:r w:rsidR="00737F4A" w:rsidRPr="0041550F">
        <w:rPr>
          <w:rFonts w:ascii="Times New Roman" w:eastAsia="Times New Roman" w:hAnsi="Times New Roman" w:cs="Times New Roman"/>
          <w:sz w:val="24"/>
          <w:szCs w:val="24"/>
        </w:rPr>
        <w:fldChar w:fldCharType="separate"/>
      </w:r>
      <w:r w:rsidR="008373E3" w:rsidRPr="0041550F">
        <w:rPr>
          <w:rFonts w:ascii="Times New Roman" w:eastAsia="Times New Roman" w:hAnsi="Times New Roman" w:cs="Times New Roman"/>
          <w:noProof/>
          <w:sz w:val="24"/>
          <w:szCs w:val="24"/>
        </w:rPr>
        <w:t xml:space="preserve"> </w:t>
      </w:r>
      <w:r w:rsidR="0072560E" w:rsidRPr="0041550F">
        <w:rPr>
          <w:rFonts w:ascii="Times New Roman" w:eastAsia="Times New Roman" w:hAnsi="Times New Roman" w:cs="Times New Roman"/>
          <w:noProof/>
          <w:sz w:val="24"/>
          <w:szCs w:val="24"/>
        </w:rPr>
        <w:t>3</w:t>
      </w:r>
      <w:r w:rsidR="0047788B" w:rsidRPr="0041550F">
        <w:rPr>
          <w:rFonts w:ascii="Times New Roman" w:eastAsia="Times New Roman" w:hAnsi="Times New Roman" w:cs="Times New Roman"/>
          <w:noProof/>
          <w:sz w:val="24"/>
          <w:szCs w:val="24"/>
        </w:rPr>
        <w:t>6</w:t>
      </w:r>
      <w:r w:rsidR="0072560E" w:rsidRPr="0041550F">
        <w:rPr>
          <w:rFonts w:ascii="Times New Roman" w:eastAsia="Times New Roman" w:hAnsi="Times New Roman" w:cs="Times New Roman"/>
          <w:noProof/>
          <w:sz w:val="24"/>
          <w:szCs w:val="24"/>
        </w:rPr>
        <w:t>–</w:t>
      </w:r>
      <w:r w:rsidR="00D061F3" w:rsidRPr="0041550F">
        <w:rPr>
          <w:rFonts w:ascii="Times New Roman" w:eastAsia="Times New Roman" w:hAnsi="Times New Roman" w:cs="Times New Roman"/>
          <w:noProof/>
          <w:sz w:val="24"/>
          <w:szCs w:val="24"/>
        </w:rPr>
        <w:t>38</w:t>
      </w:r>
      <w:r w:rsidR="0072560E" w:rsidRPr="0041550F">
        <w:rPr>
          <w:rFonts w:ascii="Times New Roman" w:eastAsia="Times New Roman" w:hAnsi="Times New Roman" w:cs="Times New Roman"/>
          <w:noProof/>
          <w:sz w:val="24"/>
          <w:szCs w:val="24"/>
        </w:rPr>
        <w:t>)</w:t>
      </w:r>
      <w:r w:rsidR="00737F4A"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9B5295" w:rsidRPr="0041550F">
        <w:rPr>
          <w:rFonts w:ascii="Times New Roman" w:eastAsia="Times New Roman" w:hAnsi="Times New Roman" w:cs="Times New Roman"/>
          <w:sz w:val="24"/>
          <w:szCs w:val="24"/>
        </w:rPr>
        <w:t>O</w:t>
      </w:r>
      <w:r w:rsidR="007D2899" w:rsidRPr="0041550F">
        <w:rPr>
          <w:rFonts w:ascii="Times New Roman" w:eastAsia="Times New Roman" w:hAnsi="Times New Roman" w:cs="Times New Roman"/>
          <w:sz w:val="24"/>
          <w:szCs w:val="24"/>
        </w:rPr>
        <w:t xml:space="preserve">ne study </w:t>
      </w:r>
      <w:r w:rsidR="009B5295" w:rsidRPr="0041550F">
        <w:rPr>
          <w:rFonts w:ascii="Times New Roman" w:eastAsia="Times New Roman" w:hAnsi="Times New Roman" w:cs="Times New Roman"/>
          <w:sz w:val="24"/>
          <w:szCs w:val="24"/>
        </w:rPr>
        <w:t xml:space="preserve">even </w:t>
      </w:r>
      <w:r w:rsidR="007D2899" w:rsidRPr="0041550F">
        <w:rPr>
          <w:rFonts w:ascii="Times New Roman" w:eastAsia="Times New Roman" w:hAnsi="Times New Roman" w:cs="Times New Roman"/>
          <w:sz w:val="24"/>
          <w:szCs w:val="24"/>
        </w:rPr>
        <w:t xml:space="preserve">reports that they employed </w:t>
      </w:r>
      <w:r w:rsidR="0061646B" w:rsidRPr="0041550F">
        <w:rPr>
          <w:rFonts w:ascii="Times New Roman" w:eastAsia="Times New Roman" w:hAnsi="Times New Roman" w:cs="Times New Roman"/>
          <w:sz w:val="24"/>
          <w:szCs w:val="24"/>
        </w:rPr>
        <w:t xml:space="preserve">office </w:t>
      </w:r>
      <w:r w:rsidR="002A4B1F" w:rsidRPr="0041550F">
        <w:rPr>
          <w:rFonts w:ascii="Times New Roman" w:eastAsia="Times New Roman" w:hAnsi="Times New Roman" w:cs="Times New Roman"/>
          <w:sz w:val="24"/>
          <w:szCs w:val="24"/>
        </w:rPr>
        <w:t xml:space="preserve">stationery purposefully </w:t>
      </w:r>
      <w:r w:rsidR="007D2899" w:rsidRPr="0041550F">
        <w:rPr>
          <w:rFonts w:ascii="Times New Roman" w:eastAsia="Times New Roman" w:hAnsi="Times New Roman" w:cs="Times New Roman"/>
          <w:sz w:val="24"/>
          <w:szCs w:val="24"/>
        </w:rPr>
        <w:t xml:space="preserve">“so that participants would not be distracted by the control category stimuli in any way” </w:t>
      </w:r>
      <w:r w:rsidR="00211CAE"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{"citationItems":[{"id":"ITEM-1","itemData":{"DOI":"10.1080/14659891.2020.1736670","ISSN":"14759942","abstract":"Background: Poor quality sleep can lead to executive function deficits, including problems with inhibitory control. Similarly, substance use is associated with decreased inhibitory control for substance-related stimuli. Therefore, this study investigated whether sleep quality is associated with attentional bias. Methods: Participants were 39 university students (18–28 years, 29 females). An eye tracking task was used to measure attentional bias for alcohol-related stimuli. Alcohol usage and sleep quality were measured using self- report questionnaires (AUDIT and PSQI respectively). Results: An attentional bias related to alcohol usage was observed within the participants. However, there was no association observed with sleep quality. Conclusion: Therefore, we conclude that sleep quality may not influence attentional biases.","author":[{"dropping-particle":"","family":"Brown","given":"C. E.","non-dropping-particle":"","parse-names":false,"suffix":""},{"dropping-particle":"","family":"Wilcockson","given":"T. D.W.","non-dropping-particle":"","parse-names":false,"suffix":""},{"dropping-particle":"","family":"Lunn","given":"J.","non-dropping-particle":"","parse-names":false,"suffix":""}],"container-title":"Journal of Substance Use","id":"ITEM-1","issue":"5","issued":{"date-parts":[["2020"]]},"page":"515-518","publisher":"Taylor &amp; Francis","title":"Does sleep affect alcohol-related attention bias?","type":"article-journal","volume":"25"},"uris":["http://www.mendeley.com/documents/?uuid=d6697be5-8958-45c1-bb05-c7fd766a243c"]}],"mendeley":{"formattedCitation":"(41)","manualFormatting":"(41","plainTextFormattedCitation":"(41)","previouslyFormattedCitation":"(41)"},"properties":{"noteIndex":0},"schema":"https://github.com/citation-style-language/schema/raw/master/csl-citation.json"}</w:instrText>
      </w:r>
      <w:r w:rsidR="00211CAE"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w:t>
      </w:r>
      <w:r w:rsidR="00D061F3" w:rsidRPr="0041550F">
        <w:rPr>
          <w:rFonts w:ascii="Times New Roman" w:eastAsia="Times New Roman" w:hAnsi="Times New Roman" w:cs="Times New Roman"/>
          <w:noProof/>
          <w:sz w:val="24"/>
          <w:szCs w:val="24"/>
        </w:rPr>
        <w:t>39</w:t>
      </w:r>
      <w:r w:rsidR="00211CAE" w:rsidRPr="0041550F">
        <w:rPr>
          <w:rFonts w:ascii="Times New Roman" w:eastAsia="Times New Roman" w:hAnsi="Times New Roman" w:cs="Times New Roman"/>
          <w:sz w:val="24"/>
          <w:szCs w:val="24"/>
        </w:rPr>
        <w:fldChar w:fldCharType="end"/>
      </w:r>
      <w:r w:rsidR="007D2899" w:rsidRPr="0041550F">
        <w:rPr>
          <w:rFonts w:ascii="Times New Roman" w:eastAsia="Times New Roman" w:hAnsi="Times New Roman" w:cs="Times New Roman"/>
          <w:sz w:val="24"/>
          <w:szCs w:val="24"/>
        </w:rPr>
        <w:t xml:space="preserve">, pp. 2). </w:t>
      </w:r>
      <w:r w:rsidR="00AF5B2A" w:rsidRPr="0041550F">
        <w:rPr>
          <w:rFonts w:ascii="Times New Roman" w:eastAsia="Times New Roman" w:hAnsi="Times New Roman" w:cs="Times New Roman"/>
          <w:sz w:val="24"/>
          <w:szCs w:val="24"/>
        </w:rPr>
        <w:t>While these studies have provided important contributions by demonstrating attentional bias towards alcohol</w:t>
      </w:r>
      <w:r w:rsidR="00F42C7D" w:rsidRPr="0041550F">
        <w:rPr>
          <w:rFonts w:ascii="Times New Roman" w:eastAsia="Times New Roman" w:hAnsi="Times New Roman" w:cs="Times New Roman"/>
          <w:sz w:val="24"/>
          <w:szCs w:val="24"/>
        </w:rPr>
        <w:t>-related</w:t>
      </w:r>
      <w:r w:rsidR="00AF5B2A" w:rsidRPr="0041550F">
        <w:rPr>
          <w:rFonts w:ascii="Times New Roman" w:eastAsia="Times New Roman" w:hAnsi="Times New Roman" w:cs="Times New Roman"/>
          <w:sz w:val="24"/>
          <w:szCs w:val="24"/>
        </w:rPr>
        <w:t xml:space="preserve"> relative to </w:t>
      </w:r>
      <w:r w:rsidR="005270F2" w:rsidRPr="0041550F">
        <w:rPr>
          <w:rFonts w:ascii="Times New Roman" w:eastAsia="Times New Roman" w:hAnsi="Times New Roman" w:cs="Times New Roman"/>
          <w:sz w:val="24"/>
          <w:szCs w:val="24"/>
        </w:rPr>
        <w:t>non-appetitive</w:t>
      </w:r>
      <w:r w:rsidR="00AF5B2A" w:rsidRPr="0041550F">
        <w:rPr>
          <w:rFonts w:ascii="Times New Roman" w:eastAsia="Times New Roman" w:hAnsi="Times New Roman" w:cs="Times New Roman"/>
          <w:sz w:val="24"/>
          <w:szCs w:val="24"/>
        </w:rPr>
        <w:t xml:space="preserve"> stimuli, differential responding </w:t>
      </w:r>
      <w:r w:rsidR="005270F2" w:rsidRPr="0041550F">
        <w:rPr>
          <w:rFonts w:ascii="Times New Roman" w:eastAsia="Times New Roman" w:hAnsi="Times New Roman" w:cs="Times New Roman"/>
          <w:sz w:val="24"/>
          <w:szCs w:val="24"/>
        </w:rPr>
        <w:t>between</w:t>
      </w:r>
      <w:r w:rsidR="00AF5B2A" w:rsidRPr="0041550F">
        <w:rPr>
          <w:rFonts w:ascii="Times New Roman" w:eastAsia="Times New Roman" w:hAnsi="Times New Roman" w:cs="Times New Roman"/>
          <w:sz w:val="24"/>
          <w:szCs w:val="24"/>
        </w:rPr>
        <w:t xml:space="preserve"> these stimulus categories might simply reflect </w:t>
      </w:r>
      <w:r w:rsidR="00AF5B2A" w:rsidRPr="0041550F">
        <w:rPr>
          <w:rFonts w:ascii="Times New Roman" w:eastAsia="Times New Roman" w:hAnsi="Times New Roman" w:cs="Times New Roman"/>
          <w:color w:val="000000" w:themeColor="text1"/>
          <w:sz w:val="24"/>
          <w:szCs w:val="24"/>
        </w:rPr>
        <w:t>a</w:t>
      </w:r>
      <w:r w:rsidR="00FA70A3"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general</w:t>
      </w:r>
      <w:r w:rsidR="005270F2"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alcohol-unspecific</w:t>
      </w:r>
      <w:r w:rsidR="005270F2" w:rsidRPr="0041550F">
        <w:rPr>
          <w:rFonts w:ascii="Times New Roman" w:eastAsia="Times New Roman" w:hAnsi="Times New Roman" w:cs="Times New Roman"/>
          <w:color w:val="000000" w:themeColor="text1"/>
          <w:sz w:val="24"/>
          <w:szCs w:val="24"/>
        </w:rPr>
        <w:t xml:space="preserve">) </w:t>
      </w:r>
      <w:r w:rsidR="00AF5B2A" w:rsidRPr="0041550F">
        <w:rPr>
          <w:rFonts w:ascii="Times New Roman" w:eastAsia="Times New Roman" w:hAnsi="Times New Roman" w:cs="Times New Roman"/>
          <w:color w:val="000000" w:themeColor="text1"/>
          <w:sz w:val="24"/>
          <w:szCs w:val="24"/>
        </w:rPr>
        <w:t xml:space="preserve">bias to appetitive stimuli </w:t>
      </w:r>
      <w:r w:rsidR="00AF5B2A" w:rsidRPr="0041550F">
        <w:rPr>
          <w:rFonts w:ascii="Times New Roman" w:eastAsia="Times New Roman" w:hAnsi="Times New Roman" w:cs="Times New Roman"/>
          <w:color w:val="000000" w:themeColor="text1"/>
          <w:sz w:val="24"/>
          <w:szCs w:val="24"/>
        </w:rPr>
        <w:fldChar w:fldCharType="begin" w:fldLock="1"/>
      </w:r>
      <w:r w:rsidR="00AF5B2A" w:rsidRPr="0041550F">
        <w:rPr>
          <w:rFonts w:ascii="Times New Roman" w:eastAsia="Times New Roman" w:hAnsi="Times New Roman" w:cs="Times New Roman"/>
          <w:color w:val="000000" w:themeColor="text1"/>
          <w:sz w:val="24"/>
          <w:szCs w:val="24"/>
        </w:rPr>
        <w:instrText>ADDIN CSL_CITATION {"citationItems":[{"id":"ITEM-1","itemData":{"DOI":"10.1016/j.drugalcdep.2017.07.038","ISSN":"18790046","PMID":"28858670","abstract":"Background Prior research demonstrates that individuals who consume alcohol show diminished inhibitory control towards alcohol-related cues. However, such research contrasts predominantly alcoholic appetitive cues with non-alcoholic, non-appetitive cues (e.g., stationary items). As such, it is not clear whether it is specifically the alcoholic nature of the cues that influences impairments in inhibitory control or whether more general appetitive processes are at play. Aims The current study examined the hitherto untested assertion that the disinhibiting effects of alcohol-related stimuli might generalise to other appetitive liquid stimuli, but not to non-appetitive liquid stimuli. Method Fifty-nine participants (Mage = 21.63, SD = 5.85) completed a modified version of the Stop Signal Task, which exposed them to visual stimuli of three types of liquids: Alcoholic appetitive (e.g., wine), non-alcoholic appetitive (e.g., water) and non-appetitive (e.g., washing-up liquid). Results Consistent with predictions, Stop-signal reaction time was significantly longer for appetitive (alcoholic, non-alcoholic) compared to non-appetitive stimuli. Participants were also faster and less error-prone when responding to appetitive relative to non-appetitive stimuli on go-trials. There were no apparent differences in stop signal reaction times between alcoholic and non-alcoholic appetitive products. Conclusions These findings suggest that decreases in inhibitory control in response to alcohol-related cues might generalise to other appetitive liquids, possibly due to evaluative conditioning. Implications for existing research methodologies include the use of appetitive control conditions and the diversification of cues within tests of alcohol-related inhibitory control.","author":[{"dropping-particle":"","family":"Monk","given":"Rebecca L.","non-dropping-particle":"","parse-names":false,"suffix":""},{"dropping-particle":"","family":"Qureshi","given":"Adam","non-dropping-particle":"","parse-names":false,"suffix":""},{"dropping-particle":"","family":"Pennington","given":"Charlotte R.","non-dropping-particle":"","parse-names":false,"suffix":""},{"dropping-particle":"","family":"Hamlin","given":"Iain","non-dropping-particle":"","parse-names":false,"suffix":""}],"container-title":"Drug and Alcohol Dependence","id":"ITEM-1","issue":"June","issued":{"date-parts":[["2017"]]},"page":"26-32","publisher":"Elsevier","title":"Generalised inhibitory impairment to appetitive cues: From alcoholic to non-alcoholic visual stimuli","type":"article-journal","volume":"180"},"uris":["http://www.mendeley.com/documents/?uuid=085f0b68-014e-48e4-b697-cd2442f502ea"]},{"id":"ITEM-2","itemData":{"DOI":"10.1007/s00213-019-05313-0","ISBN":"0021301905313","ISSN":"14322072","PMID":"31286155","abstract":"Rationale: Experimental tasks that demonstrate alcohol-related attentional bias typically expose participants to single-stimulus targets (e.g. addiction Stroop, visual probe, anti-saccade task), which may not correspond fully with real-world contexts where alcoholic and non-alcoholic cues simultaneously compete for attention. Moreover, alcoholic stimuli are rarely matched to other appetitive non-alcoholic stimuli. Objectives: To address these limitations by utilising a conjunction search eye-tracking task and matched stimuli to examine alcohol-related attentional bias. Methods: Thirty social drinkers (Mage = 19.87, SD = 1.74) were asked to detect whether alcoholic (beer), non-alcoholic (water) or non-appetitive (detergent) targets were present or absent amongst a visual array of matching and non-matching distractors. Both behavioural response times and eye-movement dwell time were measured. Results: Social drinkers were significantly quicker to detect alcoholic and non-alcoholic appetitive targets relative to non-appetitive targets in an array of matching and mismatching distractors. Similarly, proportional dwell time was lower for both alcoholic and non-alcoholic appetitive distractors relative to non-appetitive distractors, suggesting that appetitive targets were relatively easier to detect. Conclusions: Social drinkers may exhibit generalised attentional bias towards alcoholic and non-alcoholic appetitive cues. This adds to emergent research suggesting that the mechanisms driving these individual’s attention towards alcoholic cues might ‘spill over’ to other appetitive cues, possibly due to associative learning.","author":[{"dropping-particle":"","family":"Pennington","given":"Charlotte R.","non-dropping-particle":"","parse-names":false,"suffix":""},{"dropping-particle":"","family":"Qureshi","given":"Adam W.","non-dropping-particle":"","parse-names":false,"suffix":""},{"dropping-particle":"","family":"Monk","given":"Rebecca L.","non-dropping-particle":"","parse-names":false,"suffix":""},{"dropping-particle":"","family":"Greenwood","given":"Katie","non-dropping-particle":"","parse-names":false,"suffix":""},{"dropping-particle":"","family":"Heim","given":"Derek","non-dropping-particle":"","parse-names":false,"suffix":""}],"container-title":"Psychopharmacology","id":"ITEM-2","issue":"12","issued":{"date-parts":[["2019"]]},"page":"3465-3476","title":"Beer? Over here! Examining attentional bias towards alcoholic and appetitive stimuli in a visual search eye-tracking task","type":"article-journal","volume":"236"},"uris":["http://www.mendeley.com/documents/?uuid=25f786f4-9592-4185-8814-4e6eb7439d51"]}],"mendeley":{"formattedCitation":"(33,34)","plainTextFormattedCitation":"(33,34)","previouslyFormattedCitation":"(33,34)"},"properties":{"noteIndex":0},"schema":"https://github.com/citation-style-language/schema/raw/master/csl-citation.json"}</w:instrText>
      </w:r>
      <w:r w:rsidR="00AF5B2A" w:rsidRPr="0041550F">
        <w:rPr>
          <w:rFonts w:ascii="Times New Roman" w:eastAsia="Times New Roman" w:hAnsi="Times New Roman" w:cs="Times New Roman"/>
          <w:color w:val="000000" w:themeColor="text1"/>
          <w:sz w:val="24"/>
          <w:szCs w:val="24"/>
        </w:rPr>
        <w:fldChar w:fldCharType="separate"/>
      </w:r>
      <w:r w:rsidR="00AF5B2A" w:rsidRPr="0041550F">
        <w:rPr>
          <w:rFonts w:ascii="Times New Roman" w:eastAsia="Times New Roman" w:hAnsi="Times New Roman" w:cs="Times New Roman"/>
          <w:noProof/>
          <w:color w:val="000000" w:themeColor="text1"/>
          <w:sz w:val="24"/>
          <w:szCs w:val="24"/>
        </w:rPr>
        <w:t>(</w:t>
      </w:r>
      <w:r w:rsidR="00D061F3" w:rsidRPr="0041550F">
        <w:rPr>
          <w:rFonts w:ascii="Times New Roman" w:eastAsia="Times New Roman" w:hAnsi="Times New Roman" w:cs="Times New Roman"/>
          <w:noProof/>
          <w:color w:val="000000" w:themeColor="text1"/>
          <w:sz w:val="24"/>
          <w:szCs w:val="24"/>
        </w:rPr>
        <w:t>40</w:t>
      </w:r>
      <w:r w:rsidR="00AF5B2A" w:rsidRPr="0041550F">
        <w:rPr>
          <w:rFonts w:ascii="Times New Roman" w:eastAsia="Times New Roman" w:hAnsi="Times New Roman" w:cs="Times New Roman"/>
          <w:noProof/>
          <w:color w:val="000000" w:themeColor="text1"/>
          <w:sz w:val="24"/>
          <w:szCs w:val="24"/>
        </w:rPr>
        <w:t>,4</w:t>
      </w:r>
      <w:r w:rsidR="00D061F3" w:rsidRPr="0041550F">
        <w:rPr>
          <w:rFonts w:ascii="Times New Roman" w:eastAsia="Times New Roman" w:hAnsi="Times New Roman" w:cs="Times New Roman"/>
          <w:noProof/>
          <w:color w:val="000000" w:themeColor="text1"/>
          <w:sz w:val="24"/>
          <w:szCs w:val="24"/>
        </w:rPr>
        <w:t>1</w:t>
      </w:r>
      <w:r w:rsidR="00AF5B2A" w:rsidRPr="0041550F">
        <w:rPr>
          <w:rFonts w:ascii="Times New Roman" w:eastAsia="Times New Roman" w:hAnsi="Times New Roman" w:cs="Times New Roman"/>
          <w:noProof/>
          <w:color w:val="000000" w:themeColor="text1"/>
          <w:sz w:val="24"/>
          <w:szCs w:val="24"/>
        </w:rPr>
        <w:t>)</w:t>
      </w:r>
      <w:r w:rsidR="00AF5B2A" w:rsidRPr="0041550F">
        <w:rPr>
          <w:rFonts w:ascii="Times New Roman" w:eastAsia="Times New Roman" w:hAnsi="Times New Roman" w:cs="Times New Roman"/>
          <w:color w:val="000000" w:themeColor="text1"/>
          <w:sz w:val="24"/>
          <w:szCs w:val="24"/>
        </w:rPr>
        <w:fldChar w:fldCharType="end"/>
      </w:r>
      <w:r w:rsidR="00591351" w:rsidRPr="0041550F">
        <w:rPr>
          <w:rFonts w:ascii="Times New Roman" w:eastAsia="Times New Roman" w:hAnsi="Times New Roman" w:cs="Times New Roman"/>
          <w:color w:val="000000" w:themeColor="text1"/>
          <w:sz w:val="24"/>
          <w:szCs w:val="24"/>
        </w:rPr>
        <w:t xml:space="preserve">. </w:t>
      </w:r>
      <w:r w:rsidR="00591351" w:rsidRPr="0041550F">
        <w:rPr>
          <w:rFonts w:ascii="Times New Roman" w:eastAsia="Times New Roman" w:hAnsi="Times New Roman" w:cs="Times New Roman"/>
          <w:sz w:val="24"/>
          <w:szCs w:val="24"/>
        </w:rPr>
        <w:t>C</w:t>
      </w:r>
      <w:r w:rsidR="00AF5B2A" w:rsidRPr="0041550F">
        <w:rPr>
          <w:rFonts w:ascii="Times New Roman" w:eastAsia="Times New Roman" w:hAnsi="Times New Roman" w:cs="Times New Roman"/>
          <w:sz w:val="24"/>
          <w:szCs w:val="24"/>
        </w:rPr>
        <w:t xml:space="preserve">omparisons among such stimuli that differ markedly in terms of their incentive value </w:t>
      </w:r>
      <w:r w:rsidR="00591351" w:rsidRPr="0041550F">
        <w:rPr>
          <w:rFonts w:ascii="Times New Roman" w:eastAsia="Times New Roman" w:hAnsi="Times New Roman" w:cs="Times New Roman"/>
          <w:sz w:val="24"/>
          <w:szCs w:val="24"/>
        </w:rPr>
        <w:t xml:space="preserve">therefore </w:t>
      </w:r>
      <w:r w:rsidR="00AF5B2A" w:rsidRPr="0041550F">
        <w:rPr>
          <w:rFonts w:ascii="Times New Roman" w:eastAsia="Times New Roman" w:hAnsi="Times New Roman" w:cs="Times New Roman"/>
          <w:sz w:val="24"/>
          <w:szCs w:val="24"/>
        </w:rPr>
        <w:t xml:space="preserve">make it impossible to isolate the precise mechanisms driving alcohol (mis-)use and </w:t>
      </w:r>
      <w:r w:rsidR="00E67AC1" w:rsidRPr="0041550F">
        <w:rPr>
          <w:rFonts w:ascii="Times New Roman" w:eastAsia="Times New Roman" w:hAnsi="Times New Roman" w:cs="Times New Roman"/>
          <w:sz w:val="24"/>
          <w:szCs w:val="24"/>
        </w:rPr>
        <w:t>may</w:t>
      </w:r>
      <w:r w:rsidR="00AF5B2A" w:rsidRPr="0041550F">
        <w:rPr>
          <w:rFonts w:ascii="Times New Roman" w:eastAsia="Times New Roman" w:hAnsi="Times New Roman" w:cs="Times New Roman"/>
          <w:sz w:val="24"/>
          <w:szCs w:val="24"/>
        </w:rPr>
        <w:t xml:space="preserve"> inflate effect size estimates </w:t>
      </w:r>
      <w:r w:rsidR="00AF5B2A" w:rsidRPr="0041550F">
        <w:rPr>
          <w:rFonts w:ascii="Times New Roman" w:eastAsia="Times New Roman" w:hAnsi="Times New Roman" w:cs="Times New Roman"/>
          <w:sz w:val="24"/>
          <w:szCs w:val="24"/>
        </w:rPr>
        <w:fldChar w:fldCharType="begin" w:fldLock="1"/>
      </w:r>
      <w:r w:rsidR="00AF5B2A" w:rsidRPr="0041550F">
        <w:rPr>
          <w:rFonts w:ascii="Times New Roman" w:eastAsia="Times New Roman" w:hAnsi="Times New Roman" w:cs="Times New Roman"/>
          <w:sz w:val="24"/>
          <w:szCs w:val="24"/>
        </w:rPr>
        <w:instrText>ADDIN CSL_CITATION {"citationItems":[{"id":"ITEM-1","itemData":{"DOI":"10.1007/s00213-019-05313-0","ISBN":"0021301905313","ISSN":"14322072","PMID":"31286155","abstract":"Rationale: Experimental tasks that demonstrate alcohol-related attentional bias typically expose participants to single-stimulus targets (e.g. addiction Stroop, visual probe, anti-saccade task), which may not correspond fully with real-world contexts where alcoholic and non-alcoholic cues simultaneously compete for attention. Moreover, alcoholic stimuli are rarely matched to other appetitive non-alcoholic stimuli. Objectives: To address these limitations by utilising a conjunction search eye-tracking task and matched stimuli to examine alcohol-related attentional bias. Methods: Thirty social drinkers (Mage = 19.87, SD = 1.74) were asked to detect whether alcoholic (beer), non-alcoholic (water) or non-appetitive (detergent) targets were present or absent amongst a visual array of matching and non-matching distractors. Both behavioural response times and eye-movement dwell time were measured. Results: Social drinkers were significantly quicker to detect alcoholic and non-alcoholic appetitive targets relative to non-appetitive targets in an array of matching and mismatching distractors. Similarly, proportional dwell time was lower for both alcoholic and non-alcoholic appetitive distractors relative to non-appetitive distractors, suggesting that appetitive targets were relatively easier to detect. Conclusions: Social drinkers may exhibit generalised attentional bias towards alcoholic and non-alcoholic appetitive cues. This adds to emergent research suggesting that the mechanisms driving these individual’s attention towards alcoholic cues might ‘spill over’ to other appetitive cues, possibly due to associative learning.","author":[{"dropping-particle":"","family":"Pennington","given":"Charlotte R.","non-dropping-particle":"","parse-names":false,"suffix":""},{"dropping-particle":"","family":"Qureshi","given":"Adam W.","non-dropping-particle":"","parse-names":false,"suffix":""},{"dropping-particle":"","family":"Monk","given":"Rebecca L.","non-dropping-particle":"","parse-names":false,"suffix":""},{"dropping-particle":"","family":"Greenwood","given":"Katie","non-dropping-particle":"","parse-names":false,"suffix":""},{"dropping-particle":"","family":"Heim","given":"Derek","non-dropping-particle":"","parse-names":false,"suffix":""}],"container-title":"Psychopharmacology","id":"ITEM-1","issue":"12","issued":{"date-parts":[["2019"]]},"page":"3465-3476","title":"Beer? Over here! Examining attentional bias towards alcoholic and appetitive stimuli in a visual search eye-tracking task","type":"article-journal","volume":"236"},"uris":["http://www.mendeley.com/documents/?uuid=25f786f4-9592-4185-8814-4e6eb7439d51"]},{"id":"ITEM-2","itemData":{"DOI":"10.1111/add.14997","ISSN":"13600443","PMID":"32003522","abstract":"Background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-2","issue":"9","issued":{"date-parts":[["2020"]]},"page":"1650-1659","title":"Where's the wine? Heavy social drinkers show attentional bias towards alcohol in a visual conjunction search task","type":"article-journal","volume":"115"},"uris":["http://www.mendeley.com/documents/?uuid=562d8561-63cc-443e-9173-9f3e8ec27161"]},{"id":"ITEM-3","itemData":{"DOI":"10.1093/ntr/ntx002","ISSN":"1469994X","PMID":"28486715","abstract":"Neurobiological models of addiction posit that drug use can alter reward processes in two ways: (1) by increasing the motivational relevance of drugs and drug-related cues and (2) by reducing the motivational relevance of non-drug-related rewards. Here, we discuss the results from a series of neuroimaging studies in which we assessed the extent to which these hypotheses apply to nicotine dependence. In these studies, we recorded smokers' and nonsmokers' brain responses to a wide array of motivationally relevant visual stimuli that included pleasant, unpleasant, cigarette-related and neutral images. Based on these findings, we highlight the flaws of the traditional cue reactivity paradigm and we conclude that responses to non-drug-related motivationally relevant stimuli should be used to appropriately gauge the motivational relevance of cigarette-related cues and to identify smokers attributing higher motivational relevance to drug-related cues than to non-drug-related rewards. Identifying these individuals is clinically relevant as they achieve lower rates of long-term smoking abstinence when attempting to quit. Finally, we show how this approach may be extended beyond nicotine dependence to inform theoretical and clinical research in the study of obesity. Implications: The cue reactivity paradigm (ie, comparing responses evoked by drug-related cues to those evoked by neutral cues) cannot provide conclusive information about the motivational relevance of drug-related cues. Responses to non-drug-related motivationally relevant stimuli should be used to appropriately gauge the level of motivational relevance that substance-dependent individuals attribute to drug-related cues.","author":[{"dropping-particle":"","family":"Versace","given":"Francesco","non-dropping-particle":"","parse-names":false,"suffix":""},{"dropping-particle":"","family":"Engelmann","given":"Jeffrey M.","non-dropping-particle":"","parse-names":false,"suffix":""},{"dropping-particle":"","family":"Deweese","given":"Menton M.","non-dropping-particle":"","parse-names":false,"suffix":""},{"dropping-particle":"","family":"Robinson","given":"Jason D.","non-dropping-particle":"","parse-names":false,"suffix":""},{"dropping-particle":"","family":"Green","given":"Charles E.","non-dropping-particle":"","parse-names":false,"suffix":""},{"dropping-particle":"","family":"Lam","given":"Cho Y.","non-dropping-particle":"","parse-names":false,"suffix":""},{"dropping-particle":"","family":"Minnix","given":"Jennifer A.","non-dropping-particle":"","parse-names":false,"suffix":""},{"dropping-particle":"","family":"Karam-Hage","given":"Maher A.","non-dropping-particle":"","parse-names":false,"suffix":""},{"dropping-particle":"","family":"Wetter","given":"David W.","non-dropping-particle":"","parse-names":false,"suffix":""},{"dropping-particle":"","family":"Schembre","given":"Susan M.","non-dropping-particle":"","parse-names":false,"suffix":""},{"dropping-particle":"","family":"Cinciripini","given":"Paul M.","non-dropping-particle":"","parse-names":false,"suffix":""}],"container-title":"Nicotine and Tobacco Research","id":"ITEM-3","issue":"6","issued":{"date-parts":[["2017"]]},"page":"663-669","title":"Beyond cue reactivity: Non-drug-related motivationally relevant stimuli are necessary to understand reactivity to drug-related cues","type":"article-journal","volume":"19"},"uris":["http://www.mendeley.com/documents/?uuid=e34f2e29-d7d2-45f4-93f9-a202e0c78f2b"]}],"mendeley":{"formattedCitation":"(34,42,43)","plainTextFormattedCitation":"(34,42,43)","previouslyFormattedCitation":"(34,42,43)"},"properties":{"noteIndex":0},"schema":"https://github.com/citation-style-language/schema/raw/master/csl-citation.json"}</w:instrText>
      </w:r>
      <w:r w:rsidR="00AF5B2A" w:rsidRPr="0041550F">
        <w:rPr>
          <w:rFonts w:ascii="Times New Roman" w:eastAsia="Times New Roman" w:hAnsi="Times New Roman" w:cs="Times New Roman"/>
          <w:sz w:val="24"/>
          <w:szCs w:val="24"/>
        </w:rPr>
        <w:fldChar w:fldCharType="separate"/>
      </w:r>
      <w:r w:rsidR="00AF5B2A" w:rsidRPr="0041550F">
        <w:rPr>
          <w:rFonts w:ascii="Times New Roman" w:eastAsia="Times New Roman" w:hAnsi="Times New Roman" w:cs="Times New Roman"/>
          <w:noProof/>
          <w:sz w:val="24"/>
          <w:szCs w:val="24"/>
        </w:rPr>
        <w:t>(4</w:t>
      </w:r>
      <w:r w:rsidR="00D061F3" w:rsidRPr="0041550F">
        <w:rPr>
          <w:rFonts w:ascii="Times New Roman" w:eastAsia="Times New Roman" w:hAnsi="Times New Roman" w:cs="Times New Roman"/>
          <w:noProof/>
          <w:sz w:val="24"/>
          <w:szCs w:val="24"/>
        </w:rPr>
        <w:t>1</w:t>
      </w:r>
      <w:r w:rsidR="00FC4911" w:rsidRPr="0041550F">
        <w:rPr>
          <w:rFonts w:ascii="Times New Roman" w:eastAsia="Times New Roman" w:hAnsi="Times New Roman" w:cs="Times New Roman"/>
          <w:noProof/>
          <w:sz w:val="24"/>
          <w:szCs w:val="24"/>
        </w:rPr>
        <w:t>–</w:t>
      </w:r>
      <w:r w:rsidR="00AF5B2A" w:rsidRPr="0041550F">
        <w:rPr>
          <w:rFonts w:ascii="Times New Roman" w:eastAsia="Times New Roman" w:hAnsi="Times New Roman" w:cs="Times New Roman"/>
          <w:noProof/>
          <w:sz w:val="24"/>
          <w:szCs w:val="24"/>
        </w:rPr>
        <w:t>43)</w:t>
      </w:r>
      <w:r w:rsidR="00AF5B2A" w:rsidRPr="0041550F">
        <w:rPr>
          <w:rFonts w:ascii="Times New Roman" w:eastAsia="Times New Roman" w:hAnsi="Times New Roman" w:cs="Times New Roman"/>
          <w:sz w:val="24"/>
          <w:szCs w:val="24"/>
        </w:rPr>
        <w:fldChar w:fldCharType="end"/>
      </w:r>
      <w:r w:rsidR="00AF5B2A" w:rsidRPr="0041550F">
        <w:rPr>
          <w:rFonts w:ascii="Times New Roman" w:eastAsia="Times New Roman" w:hAnsi="Times New Roman" w:cs="Times New Roman"/>
          <w:sz w:val="24"/>
          <w:szCs w:val="24"/>
        </w:rPr>
        <w:t>.</w:t>
      </w:r>
    </w:p>
    <w:p w14:paraId="00000025" w14:textId="27842BB0" w:rsidR="00CB2059" w:rsidRPr="0041550F" w:rsidRDefault="00CB2059" w:rsidP="00D061F3">
      <w:pPr>
        <w:spacing w:after="0" w:line="480" w:lineRule="auto"/>
        <w:jc w:val="both"/>
        <w:rPr>
          <w:rFonts w:ascii="Times New Roman" w:eastAsia="Times New Roman" w:hAnsi="Times New Roman" w:cs="Times New Roman"/>
          <w:b/>
          <w:i/>
          <w:sz w:val="24"/>
          <w:szCs w:val="24"/>
        </w:rPr>
      </w:pPr>
    </w:p>
    <w:p w14:paraId="761EAD8C" w14:textId="58A66F28" w:rsidR="00531D3A" w:rsidRPr="0041550F" w:rsidRDefault="002F58B3">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t>OPACITY</w:t>
      </w:r>
      <w:r w:rsidR="00954427" w:rsidRPr="0041550F">
        <w:rPr>
          <w:rFonts w:ascii="Times New Roman" w:eastAsia="Times New Roman" w:hAnsi="Times New Roman" w:cs="Times New Roman"/>
          <w:b/>
          <w:i/>
          <w:sz w:val="24"/>
          <w:szCs w:val="24"/>
        </w:rPr>
        <w:t xml:space="preserve"> OF STIMULI</w:t>
      </w:r>
      <w:r w:rsidR="00CD6AB0" w:rsidRPr="0041550F">
        <w:rPr>
          <w:rFonts w:ascii="Times New Roman" w:eastAsia="Times New Roman" w:hAnsi="Times New Roman" w:cs="Times New Roman"/>
          <w:b/>
          <w:i/>
          <w:sz w:val="24"/>
          <w:szCs w:val="24"/>
        </w:rPr>
        <w:t xml:space="preserve"> SELECTION</w:t>
      </w:r>
      <w:r w:rsidR="001F6F94" w:rsidRPr="0041550F">
        <w:rPr>
          <w:rFonts w:ascii="Times New Roman" w:eastAsia="Times New Roman" w:hAnsi="Times New Roman" w:cs="Times New Roman"/>
          <w:b/>
          <w:i/>
          <w:sz w:val="24"/>
          <w:szCs w:val="24"/>
        </w:rPr>
        <w:t xml:space="preserve"> &amp; VALIDATION</w:t>
      </w:r>
    </w:p>
    <w:p w14:paraId="2113839E" w14:textId="7D041C79" w:rsidR="00F9265A" w:rsidRPr="0041550F" w:rsidRDefault="00C3572E">
      <w:pPr>
        <w:spacing w:after="0" w:line="480" w:lineRule="auto"/>
        <w:jc w:val="both"/>
        <w:rPr>
          <w:rFonts w:ascii="Times New Roman" w:eastAsia="Times New Roman" w:hAnsi="Times New Roman" w:cs="Times New Roman"/>
          <w:sz w:val="24"/>
          <w:szCs w:val="24"/>
        </w:rPr>
      </w:pPr>
      <w:bookmarkStart w:id="5" w:name="_heading=h.dapp1868mbnb" w:colFirst="0" w:colLast="0"/>
      <w:bookmarkEnd w:id="5"/>
      <w:r w:rsidRPr="0041550F">
        <w:rPr>
          <w:rFonts w:ascii="Times New Roman" w:eastAsia="Times New Roman" w:hAnsi="Times New Roman" w:cs="Times New Roman"/>
          <w:sz w:val="24"/>
          <w:szCs w:val="24"/>
        </w:rPr>
        <w:lastRenderedPageBreak/>
        <w:t xml:space="preserve">A </w:t>
      </w:r>
      <w:r w:rsidR="00436258" w:rsidRPr="0041550F">
        <w:rPr>
          <w:rFonts w:ascii="Times New Roman" w:eastAsia="Times New Roman" w:hAnsi="Times New Roman" w:cs="Times New Roman"/>
          <w:sz w:val="24"/>
          <w:szCs w:val="24"/>
        </w:rPr>
        <w:t xml:space="preserve">related but separate issue </w:t>
      </w:r>
      <w:r w:rsidRPr="0041550F">
        <w:rPr>
          <w:rFonts w:ascii="Times New Roman" w:eastAsia="Times New Roman" w:hAnsi="Times New Roman" w:cs="Times New Roman"/>
          <w:sz w:val="24"/>
          <w:szCs w:val="24"/>
        </w:rPr>
        <w:t xml:space="preserve">that casts doubt over the robustness of findings in </w:t>
      </w:r>
      <w:r w:rsidR="00853ABE" w:rsidRPr="0041550F">
        <w:rPr>
          <w:rFonts w:ascii="Times New Roman" w:eastAsia="Times New Roman" w:hAnsi="Times New Roman" w:cs="Times New Roman"/>
          <w:sz w:val="24"/>
          <w:szCs w:val="24"/>
        </w:rPr>
        <w:t xml:space="preserve">alcohol research generally </w:t>
      </w:r>
      <w:r w:rsidRPr="0041550F">
        <w:rPr>
          <w:rFonts w:ascii="Times New Roman" w:eastAsia="Times New Roman" w:hAnsi="Times New Roman" w:cs="Times New Roman"/>
          <w:sz w:val="24"/>
          <w:szCs w:val="24"/>
        </w:rPr>
        <w:t xml:space="preserve">is the failure of many studies to report the selection and validation of experimental stimuli. Our review </w:t>
      </w:r>
      <w:r w:rsidR="00D97BC7" w:rsidRPr="0041550F">
        <w:rPr>
          <w:rFonts w:ascii="Times New Roman" w:eastAsia="Times New Roman" w:hAnsi="Times New Roman" w:cs="Times New Roman"/>
          <w:sz w:val="24"/>
          <w:szCs w:val="24"/>
        </w:rPr>
        <w:t xml:space="preserve">of alcohol-related </w:t>
      </w:r>
      <w:r w:rsidR="001F1E98" w:rsidRPr="0041550F">
        <w:rPr>
          <w:rFonts w:ascii="Times New Roman" w:eastAsia="Times New Roman" w:hAnsi="Times New Roman" w:cs="Times New Roman"/>
          <w:sz w:val="24"/>
          <w:szCs w:val="24"/>
        </w:rPr>
        <w:t xml:space="preserve">attentional bias </w:t>
      </w:r>
      <w:r w:rsidRPr="0041550F">
        <w:rPr>
          <w:rFonts w:ascii="Times New Roman" w:eastAsia="Times New Roman" w:hAnsi="Times New Roman" w:cs="Times New Roman"/>
          <w:sz w:val="24"/>
          <w:szCs w:val="24"/>
        </w:rPr>
        <w:t>revealed that 1</w:t>
      </w:r>
      <w:r w:rsidR="0014383E" w:rsidRPr="0041550F">
        <w:rPr>
          <w:rFonts w:ascii="Times New Roman" w:eastAsia="Times New Roman" w:hAnsi="Times New Roman" w:cs="Times New Roman"/>
          <w:sz w:val="24"/>
          <w:szCs w:val="24"/>
        </w:rPr>
        <w:t>1.76</w:t>
      </w:r>
      <w:r w:rsidRPr="0041550F">
        <w:rPr>
          <w:rFonts w:ascii="Times New Roman" w:eastAsia="Times New Roman" w:hAnsi="Times New Roman" w:cs="Times New Roman"/>
          <w:sz w:val="24"/>
          <w:szCs w:val="24"/>
        </w:rPr>
        <w:t xml:space="preserve">% of articles do not describe control stimuli with </w:t>
      </w:r>
      <w:r w:rsidR="00063E9E" w:rsidRPr="0041550F">
        <w:rPr>
          <w:rFonts w:ascii="Times New Roman" w:eastAsia="Times New Roman" w:hAnsi="Times New Roman" w:cs="Times New Roman"/>
          <w:sz w:val="24"/>
          <w:szCs w:val="24"/>
        </w:rPr>
        <w:t xml:space="preserve">sufficient </w:t>
      </w:r>
      <w:r w:rsidRPr="0041550F">
        <w:rPr>
          <w:rFonts w:ascii="Times New Roman" w:eastAsia="Times New Roman" w:hAnsi="Times New Roman" w:cs="Times New Roman"/>
          <w:sz w:val="24"/>
          <w:szCs w:val="24"/>
        </w:rPr>
        <w:t>detail to evaluate their appropriateness, instead using ambiguous terms such as ‘neutral’ stimuli. Of the articles that do report such information, only 3</w:t>
      </w:r>
      <w:r w:rsidR="00863061" w:rsidRPr="0041550F">
        <w:rPr>
          <w:rFonts w:ascii="Times New Roman" w:eastAsia="Times New Roman" w:hAnsi="Times New Roman" w:cs="Times New Roman"/>
          <w:sz w:val="24"/>
          <w:szCs w:val="24"/>
        </w:rPr>
        <w:t>8.24</w:t>
      </w:r>
      <w:r w:rsidRPr="0041550F">
        <w:rPr>
          <w:rFonts w:ascii="Times New Roman" w:eastAsia="Times New Roman" w:hAnsi="Times New Roman" w:cs="Times New Roman"/>
          <w:sz w:val="24"/>
          <w:szCs w:val="24"/>
        </w:rPr>
        <w:t>% disclose the source from which their stimuli were selected and just 1</w:t>
      </w:r>
      <w:r w:rsidR="00863061" w:rsidRPr="0041550F">
        <w:rPr>
          <w:rFonts w:ascii="Times New Roman" w:eastAsia="Times New Roman" w:hAnsi="Times New Roman" w:cs="Times New Roman"/>
          <w:sz w:val="24"/>
          <w:szCs w:val="24"/>
        </w:rPr>
        <w:t>9.12</w:t>
      </w:r>
      <w:r w:rsidRPr="0041550F">
        <w:rPr>
          <w:rFonts w:ascii="Times New Roman" w:eastAsia="Times New Roman" w:hAnsi="Times New Roman" w:cs="Times New Roman"/>
          <w:sz w:val="24"/>
          <w:szCs w:val="24"/>
        </w:rPr>
        <w:t xml:space="preserve">% report a validation procedure. Moreover, despite the availability of validated image databases, such as the Amsterdam Beverage Picture Set </w:t>
      </w:r>
      <w:r w:rsidR="00A93A8D"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plainTextFormattedCitation":"(44)","previouslyFormattedCitation":"(44)"},"properties":{"noteIndex":0},"schema":"https://github.com/citation-style-language/schema/raw/master/csl-citation.json"}</w:instrText>
      </w:r>
      <w:r w:rsidR="00A93A8D"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(44)</w:t>
      </w:r>
      <w:r w:rsidR="00A93A8D"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our review indicates that</w:t>
      </w:r>
      <w:r w:rsidR="0070243E"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these were utilised by only 1</w:t>
      </w:r>
      <w:r w:rsidR="00863061" w:rsidRPr="0041550F">
        <w:rPr>
          <w:rFonts w:ascii="Times New Roman" w:eastAsia="Times New Roman" w:hAnsi="Times New Roman" w:cs="Times New Roman"/>
          <w:sz w:val="24"/>
          <w:szCs w:val="24"/>
        </w:rPr>
        <w:t>5</w:t>
      </w:r>
      <w:r w:rsidRPr="0041550F">
        <w:rPr>
          <w:rFonts w:ascii="Times New Roman" w:eastAsia="Times New Roman" w:hAnsi="Times New Roman" w:cs="Times New Roman"/>
          <w:sz w:val="24"/>
          <w:szCs w:val="24"/>
        </w:rPr>
        <w:t>.</w:t>
      </w:r>
      <w:r w:rsidR="00863061" w:rsidRPr="0041550F">
        <w:rPr>
          <w:rFonts w:ascii="Times New Roman" w:eastAsia="Times New Roman" w:hAnsi="Times New Roman" w:cs="Times New Roman"/>
          <w:sz w:val="24"/>
          <w:szCs w:val="24"/>
        </w:rPr>
        <w:t>38</w:t>
      </w:r>
      <w:r w:rsidRPr="0041550F">
        <w:rPr>
          <w:rFonts w:ascii="Times New Roman" w:eastAsia="Times New Roman" w:hAnsi="Times New Roman" w:cs="Times New Roman"/>
          <w:sz w:val="24"/>
          <w:szCs w:val="24"/>
        </w:rPr>
        <w:t xml:space="preserve">% of the studies reporting their source. </w:t>
      </w:r>
    </w:p>
    <w:p w14:paraId="00000028" w14:textId="6F768C14" w:rsidR="00CB2059" w:rsidRPr="0041550F" w:rsidRDefault="00C3572E" w:rsidP="00764A24">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Instead, the majority (</w:t>
      </w:r>
      <w:r w:rsidR="00863061" w:rsidRPr="0041550F">
        <w:rPr>
          <w:rFonts w:ascii="Times New Roman" w:eastAsia="Times New Roman" w:hAnsi="Times New Roman" w:cs="Times New Roman"/>
          <w:sz w:val="24"/>
          <w:szCs w:val="24"/>
        </w:rPr>
        <w:t>61.54</w:t>
      </w:r>
      <w:r w:rsidRPr="0041550F">
        <w:rPr>
          <w:rFonts w:ascii="Times New Roman" w:eastAsia="Times New Roman" w:hAnsi="Times New Roman" w:cs="Times New Roman"/>
          <w:sz w:val="24"/>
          <w:szCs w:val="24"/>
        </w:rPr>
        <w:t>%) report using stimuli from previous studies</w:t>
      </w:r>
      <w:r w:rsidR="00742F12" w:rsidRPr="0041550F">
        <w:rPr>
          <w:rFonts w:ascii="Times New Roman" w:eastAsia="Times New Roman" w:hAnsi="Times New Roman" w:cs="Times New Roman"/>
          <w:sz w:val="24"/>
          <w:szCs w:val="24"/>
        </w:rPr>
        <w:t xml:space="preserve"> but neglect to detail any validity checks. </w:t>
      </w:r>
      <w:r w:rsidR="002E48DC" w:rsidRPr="0041550F">
        <w:rPr>
          <w:rFonts w:ascii="Times New Roman" w:eastAsia="Times New Roman" w:hAnsi="Times New Roman" w:cs="Times New Roman"/>
          <w:sz w:val="24"/>
          <w:szCs w:val="24"/>
        </w:rPr>
        <w:t>This creates a ‘rabbit-hol</w:t>
      </w:r>
      <w:r w:rsidR="00187742" w:rsidRPr="0041550F">
        <w:rPr>
          <w:rFonts w:ascii="Times New Roman" w:eastAsia="Times New Roman" w:hAnsi="Times New Roman" w:cs="Times New Roman"/>
          <w:sz w:val="24"/>
          <w:szCs w:val="24"/>
        </w:rPr>
        <w:t>e</w:t>
      </w:r>
      <w:r w:rsidR="002E48DC" w:rsidRPr="0041550F">
        <w:rPr>
          <w:rFonts w:ascii="Times New Roman" w:eastAsia="Times New Roman" w:hAnsi="Times New Roman" w:cs="Times New Roman"/>
          <w:sz w:val="24"/>
          <w:szCs w:val="24"/>
        </w:rPr>
        <w:t xml:space="preserve">’ problem for </w:t>
      </w:r>
      <w:r w:rsidRPr="0041550F">
        <w:rPr>
          <w:rFonts w:ascii="Times New Roman" w:eastAsia="Times New Roman" w:hAnsi="Times New Roman" w:cs="Times New Roman"/>
          <w:sz w:val="24"/>
          <w:szCs w:val="24"/>
        </w:rPr>
        <w:t>researchers in the many instances where materials are not openly available</w:t>
      </w:r>
      <w:r w:rsidR="00F96363" w:rsidRPr="0041550F">
        <w:rPr>
          <w:rFonts w:ascii="Times New Roman" w:eastAsia="Times New Roman" w:hAnsi="Times New Roman" w:cs="Times New Roman"/>
          <w:sz w:val="24"/>
          <w:szCs w:val="24"/>
        </w:rPr>
        <w:t>. A</w:t>
      </w:r>
      <w:r w:rsidR="002E48DC" w:rsidRPr="0041550F">
        <w:rPr>
          <w:rFonts w:ascii="Times New Roman" w:eastAsia="Times New Roman" w:hAnsi="Times New Roman" w:cs="Times New Roman"/>
          <w:sz w:val="24"/>
          <w:szCs w:val="24"/>
        </w:rPr>
        <w:t xml:space="preserve">s one </w:t>
      </w:r>
      <w:r w:rsidRPr="0041550F">
        <w:rPr>
          <w:rFonts w:ascii="Times New Roman" w:eastAsia="Times New Roman" w:hAnsi="Times New Roman" w:cs="Times New Roman"/>
          <w:sz w:val="24"/>
          <w:szCs w:val="24"/>
        </w:rPr>
        <w:t xml:space="preserve">example, the authors of a study published in 2019 cited their previous 2015 article as the origin of the alcohol stimuli, but that article then cites Hogarth et al. </w:t>
      </w:r>
      <w:r w:rsidR="001457A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{"citationItems":[{"id":"ITEM-1","itemData":{"DOI":"10.1037/a0014957","ISSN":"10641297","PMID":"19186931","abstract":"It is commonly thought that attentional bias for drug cues plays an important role in motivating human drug-seeking behavior. To assess this claim, two groups of smokers were trained in a discrimination task in which a tobacco-seeking response was rewarded only in the presence of 1 particular stimulus (the S+). The key manipulation was that whereas 1 group could control the duration of S+ presentation, for the second group, this duration was fixed. The results showed that the fixed-duration group acquired a sustained attentional bias to the S+ over training, indexed by greater dwell time and fixation count, which emerged in parallel with the control exerted by the S+ over tobacco-seeking behavior. By contrast, the controllable-duration group acquired no sustained attentional bias for S+ and instead used efficient detection of the S+ to achieve a comparable level of control over tobacco seeking. These data suggest that detection and sustained attention to drug cues have dissociable roles in enabling drug cues to motivate drug-seeking behavior, which has implications for attentional retraining as a treatment for addiction. © 2009 American Psychological Association.","author":[{"dropping-particle":"","family":"Hogarth","given":"Lee","non-dropping-particle":"","parse-names":false,"suffix":""},{"dropping-particle":"","family":"Dickinson","given":"Anthony","non-dropping-particle":"","parse-names":false,"suffix":""},{"dropping-particle":"","family":"Duka","given":"Theodora","non-dropping-particle":"","parse-names":false,"suffix":""}],"container-title":"Experimental and Clinical Psychopharmacology","id":"ITEM-1","issue":"1","issued":{"date-parts":[["2009"]]},"page":"21-30","title":"Detection Versus Sustained Attention to Drug Cues Have Dissociable Roles in Mediating Drug Seeking Behavior","type":"article-journal","volume":"17"},"uris":["http://www.mendeley.com/documents/?uuid=8e6b9bec-51e7-4436-bc66-1866dcc793de"]}],"mendeley":{"formattedCitation":"(45)","plainTextFormattedCitation":"(45)","previouslyFormattedCitation":"(45)"},"properties":{"noteIndex":0},"schema":"https://github.com/citation-style-language/schema/raw/master/csl-citation.json"}</w:instrText>
      </w:r>
      <w:r w:rsidR="001457A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(45)</w:t>
      </w:r>
      <w:r w:rsidR="001457A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who employed </w:t>
      </w:r>
      <w:r w:rsidRPr="0041550F">
        <w:rPr>
          <w:rFonts w:ascii="Times New Roman" w:eastAsia="Times New Roman" w:hAnsi="Times New Roman" w:cs="Times New Roman"/>
          <w:i/>
          <w:sz w:val="24"/>
          <w:szCs w:val="24"/>
        </w:rPr>
        <w:t xml:space="preserve">smoking </w:t>
      </w:r>
      <w:r w:rsidRPr="0041550F">
        <w:rPr>
          <w:rFonts w:ascii="Times New Roman" w:eastAsia="Times New Roman" w:hAnsi="Times New Roman" w:cs="Times New Roman"/>
          <w:sz w:val="24"/>
          <w:szCs w:val="24"/>
        </w:rPr>
        <w:t>cues. Such dead-ends stifle progress within this research field; researchers are unable to use the same stimuli in order to build upon prior findings, and direct replications are impossible if researchers are forced to develop their own stimuli.</w:t>
      </w:r>
      <w:r w:rsidR="000E2982" w:rsidRPr="0041550F">
        <w:rPr>
          <w:rFonts w:ascii="Times New Roman" w:eastAsia="Times New Roman" w:hAnsi="Times New Roman" w:cs="Times New Roman"/>
          <w:sz w:val="24"/>
          <w:szCs w:val="24"/>
        </w:rPr>
        <w:t xml:space="preserve"> </w:t>
      </w:r>
      <w:bookmarkStart w:id="6" w:name="_heading=h.k7z4ztnnizty" w:colFirst="0" w:colLast="0"/>
      <w:bookmarkEnd w:id="6"/>
      <w:r w:rsidRPr="0041550F">
        <w:rPr>
          <w:rFonts w:ascii="Times New Roman" w:eastAsia="Times New Roman" w:hAnsi="Times New Roman" w:cs="Times New Roman"/>
          <w:sz w:val="24"/>
          <w:szCs w:val="24"/>
        </w:rPr>
        <w:t>Other</w:t>
      </w:r>
      <w:r w:rsidR="00187742" w:rsidRPr="0041550F">
        <w:rPr>
          <w:rFonts w:ascii="Times New Roman" w:eastAsia="Times New Roman" w:hAnsi="Times New Roman" w:cs="Times New Roman"/>
          <w:sz w:val="24"/>
          <w:szCs w:val="24"/>
        </w:rPr>
        <w:t xml:space="preserve">s </w:t>
      </w:r>
      <w:r w:rsidRPr="0041550F">
        <w:rPr>
          <w:rFonts w:ascii="Times New Roman" w:eastAsia="Times New Roman" w:hAnsi="Times New Roman" w:cs="Times New Roman"/>
          <w:sz w:val="24"/>
          <w:szCs w:val="24"/>
        </w:rPr>
        <w:t xml:space="preserve">report using internet image searches to develop stimulus sets, with no information provided about their visual properties (e.g., luminosity) or, therefore, the equivalence between experimental and control stimuli. It is well known that the visual characteristics of stimuli can influence general cognitive processing </w:t>
      </w:r>
      <w:r w:rsidR="0047543D"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{"citationItems":[{"id":"ITEM-1","itemData":{"ISSN":"02112159","abstract":"Attentional bias plays an important role in the development and maintenance of alcohol addiction, and has often been measured with a visual probe task, where reaction times are compared for probes replacing either a substancerelated cue or a neutral cue. Systematic low-level differences between image classes are a potential cause of low internal reliability of the probe task (Ataya et al., 2012). Moreover, it is unclear whether automatic attentional capture by low-level properties such as size and colour in the non-substance related image could reduce attentional bias to the alcohol-related cue. Here, alcohol-related attentional bias was assessed in moderate social drinkers by measuring reaction times to targets that replaced either an alcohol-related or a non-alcohol related (i.e., neutral) picture. All alcohol-related images were greyscale, and the neutral stimulus could be either greyscale ('control'), in colour ('colour'), or greyscale and 25% larger in size ('25% larger size'). We found attentional bias towards the alcohol-related stimuli in the control and 25% larger size conditions, but not in the colour condition. The magnitude of attentional bias was significantly reduced in the colour condition compared to the control and 25% larger size conditions. These findings indicate that salient low-level features in the non-substance related cue, in particular colour, can reduce the effect of alcohol-related content on the allocation of alcohol drinkers' attention. Further, the results highlight the need for image pairs in visual probe tasks to be closely matched on basic perceptual dimensions.","author":[{"dropping-particle":"","family":"Harrison","given":"Neil R.","non-dropping-particle":"","parse-names":false,"suffix":""},{"dropping-particle":"","family":"McCann","given":"Amy","non-dropping-particle":"","parse-names":false,"suffix":""}],"container-title":"Psicologica","id":"ITEM-1","issue":"1","issued":{"date-parts":[["2014"]]},"page":"39-48","title":"The effect of colour and size on attentional bias to alcohol-related pictures","type":"article-journal","volume":"35"},"uris":["http://www.mendeley.com/documents/?uuid=d9683b30-5949-41b7-95b8-06ec0807e73b"]},{"id":"ITEM-2","itemData":{"DOI":"10.1016/j.drugalcdep.2011.01.016","ISSN":"03768716","PMID":"21349660","abstract":"Background: Although attentional bias to alcohol-related stimuli has been identified as a potentially important factor in initiating a drinking episode, little is known about whether it persists once drinking has begun. Chief among the measures of attentional bias is the visual probe task, which requires the ability to respond quickly and fixate on objects. Alcohol is well recognized for impairing both of these abilities, which could undermine the reliable detection of attentional bias in intoxicated individuals. The purpose of the present study was to determine if attentional bias toward alcohol-related images can still be observed under alcohol even at blood alcohol concentrations (BACs) sufficient to disrupt reaction time (RT) and basic ocular functions. Methods: The present study employed a within-subject design to test the effects of three doses of alcohol (0.0. g/kg, 0.32. g/kg, and 0.64. g/kg) on attentional bias toward alcohol-related images in a group of 20 social drinkers using a visual probe task. Alcohol's effects on simple RT and ocular functions were also assessed. Results: Attentional bias was observed by participants' fixations toward alcohol-related stimuli following alcohol administration. Alcohol also impaired oculomotor functions as evident by decreased accuracy and speed of saccades. Discussion: The findings indicate that attentional bias can be detected even at BACs above 80. mg/100. ml that disrupt oculomotor functions that are considered fundamental to visual search tasks. © 2011 Elsevier Ireland Ltd.","author":[{"dropping-particle":"","family":"Miller","given":"Melissa A.","non-dropping-particle":"","parse-names":false,"suffix":""},{"dropping-particle":"","family":"Fillmore","given":"Mark T.","non-dropping-particle":"","parse-names":false,"suffix":""}],"container-title":"Drug and Alcohol Dependence","id":"ITEM-2","issue":"2-3","issued":{"date-parts":[["2011"]]},"page":"184-189","publisher":"Elsevier Ireland Ltd","title":"Persistence of attentional bias toward alcohol-related stimuli in intoxicated social drinkers","type":"article-journal","volume":"117"},"uris":["http://www.mendeley.com/documents/?uuid=bf58b55c-ed7f-44d1-a4ec-e012aba37dd5"]}],"mendeley":{"formattedCitation":"(28,46)","plainTextFormattedCitation":"(28,46)","previouslyFormattedCitation":"(28,46)"},"properties":{"noteIndex":0},"schema":"https://github.com/citation-style-language/schema/raw/master/csl-citation.json"}</w:instrText>
      </w:r>
      <w:r w:rsidR="0047543D"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(28,46)</w:t>
      </w:r>
      <w:r w:rsidR="0047543D" w:rsidRPr="0041550F">
        <w:rPr>
          <w:rFonts w:ascii="Times New Roman" w:eastAsia="Times New Roman" w:hAnsi="Times New Roman" w:cs="Times New Roman"/>
          <w:sz w:val="24"/>
          <w:szCs w:val="24"/>
        </w:rPr>
        <w:fldChar w:fldCharType="end"/>
      </w:r>
      <w:r w:rsidR="008B3A50" w:rsidRPr="0041550F">
        <w:rPr>
          <w:rFonts w:ascii="Times New Roman" w:eastAsia="Times New Roman" w:hAnsi="Times New Roman" w:cs="Times New Roman"/>
          <w:sz w:val="24"/>
          <w:szCs w:val="24"/>
        </w:rPr>
        <w:t xml:space="preserve">, </w:t>
      </w:r>
      <w:r w:rsidR="00F96363" w:rsidRPr="0041550F">
        <w:rPr>
          <w:rFonts w:ascii="Times New Roman" w:eastAsia="Times New Roman" w:hAnsi="Times New Roman" w:cs="Times New Roman"/>
          <w:sz w:val="24"/>
          <w:szCs w:val="24"/>
        </w:rPr>
        <w:t>meaning it is imp</w:t>
      </w:r>
      <w:r w:rsidR="008B3A50" w:rsidRPr="0041550F">
        <w:rPr>
          <w:rFonts w:ascii="Times New Roman" w:eastAsia="Times New Roman" w:hAnsi="Times New Roman" w:cs="Times New Roman"/>
          <w:sz w:val="24"/>
          <w:szCs w:val="24"/>
        </w:rPr>
        <w:t>ortant to standardise stimulus sets in order to reduce noise from these factors</w:t>
      </w:r>
      <w:r w:rsidRPr="0041550F">
        <w:rPr>
          <w:rFonts w:ascii="Times New Roman" w:eastAsia="Times New Roman" w:hAnsi="Times New Roman" w:cs="Times New Roman"/>
          <w:sz w:val="24"/>
          <w:szCs w:val="24"/>
        </w:rPr>
        <w:t xml:space="preserve">. Just as the lack of transparency constrains progress, the frequent disregard for stimulus validation limits the evidential value of </w:t>
      </w:r>
      <w:r w:rsidR="00187742" w:rsidRPr="0041550F">
        <w:rPr>
          <w:rFonts w:ascii="Times New Roman" w:eastAsia="Times New Roman" w:hAnsi="Times New Roman" w:cs="Times New Roman"/>
          <w:sz w:val="24"/>
          <w:szCs w:val="24"/>
        </w:rPr>
        <w:t xml:space="preserve">cognitive </w:t>
      </w:r>
      <w:r w:rsidRPr="0041550F">
        <w:rPr>
          <w:rFonts w:ascii="Times New Roman" w:eastAsia="Times New Roman" w:hAnsi="Times New Roman" w:cs="Times New Roman"/>
          <w:sz w:val="24"/>
          <w:szCs w:val="24"/>
        </w:rPr>
        <w:t>alcohol research.</w:t>
      </w:r>
    </w:p>
    <w:p w14:paraId="3ACBD435" w14:textId="77777777" w:rsidR="0099767E" w:rsidRPr="0041550F" w:rsidRDefault="0099767E" w:rsidP="00764A24">
      <w:pPr>
        <w:spacing w:after="0" w:line="480" w:lineRule="auto"/>
        <w:ind w:firstLine="720"/>
        <w:jc w:val="both"/>
        <w:rPr>
          <w:rFonts w:ascii="Times New Roman" w:eastAsia="Times New Roman" w:hAnsi="Times New Roman" w:cs="Times New Roman"/>
          <w:sz w:val="24"/>
          <w:szCs w:val="24"/>
        </w:rPr>
      </w:pPr>
    </w:p>
    <w:p w14:paraId="0000002A" w14:textId="77777777"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t>A CREDENCE IN NOISY MEASURES</w:t>
      </w:r>
    </w:p>
    <w:p w14:paraId="0000002B" w14:textId="142C5638" w:rsidR="00CB2059" w:rsidRPr="0041550F" w:rsidRDefault="00C3572E">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lastRenderedPageBreak/>
        <w:t xml:space="preserve">Researchers </w:t>
      </w:r>
      <w:r w:rsidR="002233DA" w:rsidRPr="0041550F">
        <w:rPr>
          <w:rFonts w:ascii="Times New Roman" w:eastAsia="Times New Roman" w:hAnsi="Times New Roman" w:cs="Times New Roman"/>
          <w:sz w:val="24"/>
          <w:szCs w:val="24"/>
        </w:rPr>
        <w:t xml:space="preserve">often </w:t>
      </w:r>
      <w:r w:rsidR="00FB21F8" w:rsidRPr="0041550F">
        <w:rPr>
          <w:rFonts w:ascii="Times New Roman" w:eastAsia="Times New Roman" w:hAnsi="Times New Roman" w:cs="Times New Roman"/>
          <w:sz w:val="24"/>
          <w:szCs w:val="24"/>
        </w:rPr>
        <w:t>rely on</w:t>
      </w:r>
      <w:r w:rsidR="006A59C4" w:rsidRPr="0041550F">
        <w:rPr>
          <w:rFonts w:ascii="Times New Roman" w:eastAsia="Times New Roman" w:hAnsi="Times New Roman" w:cs="Times New Roman"/>
          <w:sz w:val="24"/>
          <w:szCs w:val="24"/>
        </w:rPr>
        <w:t xml:space="preserve"> measurement</w:t>
      </w:r>
      <w:r w:rsidR="00761601" w:rsidRPr="0041550F">
        <w:rPr>
          <w:rFonts w:ascii="Times New Roman" w:eastAsia="Times New Roman" w:hAnsi="Times New Roman" w:cs="Times New Roman"/>
          <w:sz w:val="24"/>
          <w:szCs w:val="24"/>
        </w:rPr>
        <w:t xml:space="preserve"> indices from raw behavioural data, such as average </w:t>
      </w:r>
      <w:r w:rsidRPr="0041550F">
        <w:rPr>
          <w:rFonts w:ascii="Times New Roman" w:eastAsia="Times New Roman" w:hAnsi="Times New Roman" w:cs="Times New Roman"/>
          <w:sz w:val="24"/>
          <w:szCs w:val="24"/>
        </w:rPr>
        <w:t xml:space="preserve">reaction times (RT) or choice accuracy. </w:t>
      </w:r>
      <w:r w:rsidR="00016EB3" w:rsidRPr="0041550F">
        <w:rPr>
          <w:rFonts w:ascii="Times New Roman" w:eastAsia="Times New Roman" w:hAnsi="Times New Roman" w:cs="Times New Roman"/>
          <w:sz w:val="24"/>
          <w:szCs w:val="24"/>
        </w:rPr>
        <w:t xml:space="preserve">For example, our review reveals that </w:t>
      </w:r>
      <w:r w:rsidR="00A769EC" w:rsidRPr="0041550F">
        <w:rPr>
          <w:rFonts w:ascii="Times New Roman" w:eastAsia="Times New Roman" w:hAnsi="Times New Roman" w:cs="Times New Roman"/>
          <w:sz w:val="24"/>
          <w:szCs w:val="24"/>
        </w:rPr>
        <w:t xml:space="preserve">behavioural </w:t>
      </w:r>
      <w:r w:rsidR="00016EB3" w:rsidRPr="0041550F">
        <w:rPr>
          <w:rFonts w:ascii="Times New Roman" w:eastAsia="Times New Roman" w:hAnsi="Times New Roman" w:cs="Times New Roman"/>
          <w:sz w:val="24"/>
          <w:szCs w:val="24"/>
        </w:rPr>
        <w:t xml:space="preserve">RT was the primary index </w:t>
      </w:r>
      <w:r w:rsidR="00063E9E" w:rsidRPr="0041550F">
        <w:rPr>
          <w:rFonts w:ascii="Times New Roman" w:eastAsia="Times New Roman" w:hAnsi="Times New Roman" w:cs="Times New Roman"/>
          <w:sz w:val="24"/>
          <w:szCs w:val="24"/>
        </w:rPr>
        <w:t xml:space="preserve">for </w:t>
      </w:r>
      <w:r w:rsidR="00016EB3" w:rsidRPr="0041550F">
        <w:rPr>
          <w:rFonts w:ascii="Times New Roman" w:eastAsia="Times New Roman" w:hAnsi="Times New Roman" w:cs="Times New Roman"/>
          <w:sz w:val="24"/>
          <w:szCs w:val="24"/>
        </w:rPr>
        <w:t xml:space="preserve">72.06% of </w:t>
      </w:r>
      <w:r w:rsidR="00063E9E" w:rsidRPr="0041550F">
        <w:rPr>
          <w:rFonts w:ascii="Times New Roman" w:eastAsia="Times New Roman" w:hAnsi="Times New Roman" w:cs="Times New Roman"/>
          <w:sz w:val="24"/>
          <w:szCs w:val="24"/>
        </w:rPr>
        <w:t xml:space="preserve">measures of </w:t>
      </w:r>
      <w:r w:rsidR="00016EB3" w:rsidRPr="0041550F">
        <w:rPr>
          <w:rFonts w:ascii="Times New Roman" w:eastAsia="Times New Roman" w:hAnsi="Times New Roman" w:cs="Times New Roman"/>
          <w:sz w:val="24"/>
          <w:szCs w:val="24"/>
        </w:rPr>
        <w:t xml:space="preserve">attentional bias </w:t>
      </w:r>
      <w:r w:rsidR="00665975" w:rsidRPr="0041550F">
        <w:rPr>
          <w:rFonts w:ascii="Times New Roman" w:eastAsia="Times New Roman" w:hAnsi="Times New Roman" w:cs="Times New Roman"/>
          <w:sz w:val="24"/>
          <w:szCs w:val="24"/>
        </w:rPr>
        <w:t>(with the remaining 27.94% utilising eye</w:t>
      </w:r>
      <w:r w:rsidR="003E7C86" w:rsidRPr="0041550F">
        <w:rPr>
          <w:rFonts w:ascii="Times New Roman" w:eastAsia="Times New Roman" w:hAnsi="Times New Roman" w:cs="Times New Roman"/>
          <w:sz w:val="24"/>
          <w:szCs w:val="24"/>
        </w:rPr>
        <w:t>-</w:t>
      </w:r>
      <w:r w:rsidR="00665975" w:rsidRPr="0041550F">
        <w:rPr>
          <w:rFonts w:ascii="Times New Roman" w:eastAsia="Times New Roman" w:hAnsi="Times New Roman" w:cs="Times New Roman"/>
          <w:sz w:val="24"/>
          <w:szCs w:val="24"/>
        </w:rPr>
        <w:t>tracking methodology that can disambiguate attentional processes)</w:t>
      </w:r>
      <w:r w:rsidR="00016EB3" w:rsidRPr="0041550F">
        <w:rPr>
          <w:rFonts w:ascii="Times New Roman" w:eastAsia="Times New Roman" w:hAnsi="Times New Roman" w:cs="Times New Roman"/>
          <w:sz w:val="24"/>
          <w:szCs w:val="24"/>
        </w:rPr>
        <w:t xml:space="preserve">. </w:t>
      </w:r>
      <w:r w:rsidR="00665975" w:rsidRPr="0041550F">
        <w:rPr>
          <w:rFonts w:ascii="Times New Roman" w:eastAsia="Times New Roman" w:hAnsi="Times New Roman" w:cs="Times New Roman"/>
          <w:sz w:val="24"/>
          <w:szCs w:val="24"/>
        </w:rPr>
        <w:t xml:space="preserve">This </w:t>
      </w:r>
      <w:r w:rsidRPr="0041550F">
        <w:rPr>
          <w:rFonts w:ascii="Times New Roman" w:eastAsia="Times New Roman" w:hAnsi="Times New Roman" w:cs="Times New Roman"/>
          <w:sz w:val="24"/>
          <w:szCs w:val="24"/>
        </w:rPr>
        <w:t xml:space="preserve">assumes that systematic differences in RT are driven </w:t>
      </w:r>
      <w:r w:rsidRPr="0041550F">
        <w:rPr>
          <w:rFonts w:ascii="Times New Roman" w:eastAsia="Times New Roman" w:hAnsi="Times New Roman" w:cs="Times New Roman"/>
          <w:i/>
          <w:sz w:val="24"/>
          <w:szCs w:val="24"/>
        </w:rPr>
        <w:t xml:space="preserve">only </w:t>
      </w:r>
      <w:r w:rsidRPr="0041550F">
        <w:rPr>
          <w:rFonts w:ascii="Times New Roman" w:eastAsia="Times New Roman" w:hAnsi="Times New Roman" w:cs="Times New Roman"/>
          <w:sz w:val="24"/>
          <w:szCs w:val="24"/>
        </w:rPr>
        <w:t xml:space="preserve">by attentional bias, </w:t>
      </w:r>
      <w:r w:rsidR="00063E9E" w:rsidRPr="0041550F">
        <w:rPr>
          <w:rFonts w:ascii="Times New Roman" w:eastAsia="Times New Roman" w:hAnsi="Times New Roman" w:cs="Times New Roman"/>
          <w:sz w:val="24"/>
          <w:szCs w:val="24"/>
        </w:rPr>
        <w:t xml:space="preserve">but there is a general </w:t>
      </w:r>
      <w:r w:rsidRPr="0041550F">
        <w:rPr>
          <w:rFonts w:ascii="Times New Roman" w:eastAsia="Times New Roman" w:hAnsi="Times New Roman" w:cs="Times New Roman"/>
          <w:sz w:val="24"/>
          <w:szCs w:val="24"/>
        </w:rPr>
        <w:t xml:space="preserve">understanding that RT measures are affected by several cognitive and motor processes simultaneously </w:t>
      </w:r>
      <w:r w:rsidR="005C7E5B"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{"citationItems":[{"id":"ITEM-1","itemData":{"DOI":"10.1037/bul0000164","ISSN":"00332909","PMID":"30265012","abstract":"The underpinning assumption of much research on cognitive individual differences (or group differences) is that task performance indexes cognitive ability in that domain. In many tasks performance is measured by differences (costs) between conditions, which are widely assumed to index a psychological process of interest rather than extraneous factors such as speed-accuracy trade-offs (e.g., Stroop, implicit association task, lexical decision, antisaccade, Simon, Navon, flanker, and task switching). Relatedly, reaction time (RT) costs or error costs are interpreted similarly and used interchangeably in the literature. All of this assumes a strong correlation between RT-costs and error-costs from the same psychological effect. We conducted a metaanalysis to test this, with 114 effects across a range of well-known tasks. Counterintuitively, we found a general pattern of weak, and often no, association between RT and error costs (mean r = .17, range -.45 to .78). This general problem is accounted for by the theoretical framework of evidence accumulation models, which capture individual differences in (at least) 2 distinct ways. Differences affecting accumulation rate produce positive correlation. But this is cancelled out if individuals also differ in response threshold, which produces negative correlations. In the models, subtractions between conditions do not isolate processing costs from caution. To demonstrate the explanatory power of synthesizing the traditional subtraction method within a broader decision model framework, we confirm 2 predictions with new data. Thus, using error costs or RT costs is more than a pragmatic choice; the decision carries theoretical consequence that can be understood through the accumulation model framework.","author":[{"dropping-particle":"","family":"Hedge","given":"Craig","non-dropping-particle":"","parse-names":false,"suffix":""},{"dropping-particle":"","family":"Powell","given":"Georgina","non-dropping-particle":"","parse-names":false,"suffix":""},{"dropping-particle":"","family":"Bompas","given":"Aline","non-dropping-particle":"","parse-names":false,"suffix":""},{"dropping-particle":"","family":"Vivian-Griffiths","given":"Solveiga","non-dropping-particle":"","parse-names":false,"suffix":""},{"dropping-particle":"","family":"Sumner","given":"Petroc","non-dropping-particle":"","parse-names":false,"suffix":""}],"container-title":"Psychological Bulletin","id":"ITEM-1","issue":"11","issued":{"date-parts":[["2018"]]},"page":"1200-1227","title":"Low and variable correlation between reaction time costs and accuracy costs explained by accumulation models: Meta-analysis and simulations","type":"article-journal","volume":"144"},"uris":["http://www.mendeley.com/documents/?uuid=20dccf43-8a73-4014-89e3-500b6188aa5d"]},{"id":"ITEM-2","itemData":{"DOI":"10.3758/s13423-013-0404-5","ISSN":"10699384","PMID":"23955122","abstract":"We used a general stage-based model of reaction time (RT) to investigate the psychometric properties of mean RTs and experimental effect sizes (i.e., differences in mean RTs). Using the model, formulas were derived for the reliabilities of mean RTs and RT difference scores, and these formulas provide guidance about the number of trials per participant needed to obtain reliable estimates of these measures. In addition, formulas were derived for various different types of correlations computed in RT research (e.g., correlations between a mean RT and an external non-RT measure, between two mean RTs, between a mean RT and an RT effect size). The analysis revealed that observed RT-based correlations depend on many parameters of the underlying processes contributing to RT. We conclude that these correlations often fail to support the inferences drawn from them and that their proper interpretation is far more complex than is generally acknowledged. © 2013 Psychonomic Society, Inc.","author":[{"dropping-particle":"","family":"Miller","given":"Jeff","non-dropping-particle":"","parse-names":false,"suffix":""},{"dropping-particle":"","family":"Ulrich","given":"Rolf","non-dropping-particle":"","parse-names":false,"suffix":""}],"container-title":"Psychonomic Bulletin and Review","id":"ITEM-2","issue":"5","issued":{"date-parts":[["2013"]]},"page":"819-858","title":"Mental chronometry and individual differences: Modeling reliabilities and correlations of reaction time means and effect sizes","type":"article-journal","volume":"20"},"uris":["http://www.mendeley.com/documents/?uuid=f7a2017d-46d9-4efa-88ed-79ae03c09fbc"]}],"mendeley":{"formattedCitation":"(47,48)","plainTextFormattedCitation":"(47,48)","previouslyFormattedCitation":"(47,48)"},"properties":{"noteIndex":0},"schema":"https://github.com/citation-style-language/schema/raw/master/csl-citation.json"}</w:instrText>
      </w:r>
      <w:r w:rsidR="005C7E5B"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(47,48)</w:t>
      </w:r>
      <w:r w:rsidR="005C7E5B"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520F12" w:rsidRPr="0041550F">
        <w:rPr>
          <w:rFonts w:ascii="Times New Roman" w:eastAsia="Times New Roman" w:hAnsi="Times New Roman" w:cs="Times New Roman"/>
          <w:sz w:val="24"/>
          <w:szCs w:val="24"/>
        </w:rPr>
        <w:t>Specifically</w:t>
      </w:r>
      <w:r w:rsidRPr="0041550F">
        <w:rPr>
          <w:rFonts w:ascii="Times New Roman" w:eastAsia="Times New Roman" w:hAnsi="Times New Roman" w:cs="Times New Roman"/>
          <w:sz w:val="24"/>
          <w:szCs w:val="24"/>
        </w:rPr>
        <w:t xml:space="preserve">, a participant must </w:t>
      </w:r>
      <w:r w:rsidR="00063E9E" w:rsidRPr="0041550F">
        <w:rPr>
          <w:rFonts w:ascii="Times New Roman" w:eastAsia="Times New Roman" w:hAnsi="Times New Roman" w:cs="Times New Roman"/>
          <w:sz w:val="24"/>
          <w:szCs w:val="24"/>
        </w:rPr>
        <w:t xml:space="preserve">first </w:t>
      </w:r>
      <w:r w:rsidRPr="0041550F">
        <w:rPr>
          <w:rFonts w:ascii="Times New Roman" w:eastAsia="Times New Roman" w:hAnsi="Times New Roman" w:cs="Times New Roman"/>
          <w:sz w:val="24"/>
          <w:szCs w:val="24"/>
        </w:rPr>
        <w:t xml:space="preserve">encode the stimulus, process information </w:t>
      </w:r>
      <w:r w:rsidR="00063E9E" w:rsidRPr="0041550F">
        <w:rPr>
          <w:rFonts w:ascii="Times New Roman" w:eastAsia="Times New Roman" w:hAnsi="Times New Roman" w:cs="Times New Roman"/>
          <w:sz w:val="24"/>
          <w:szCs w:val="24"/>
        </w:rPr>
        <w:t xml:space="preserve">needed </w:t>
      </w:r>
      <w:r w:rsidRPr="0041550F">
        <w:rPr>
          <w:rFonts w:ascii="Times New Roman" w:eastAsia="Times New Roman" w:hAnsi="Times New Roman" w:cs="Times New Roman"/>
          <w:sz w:val="24"/>
          <w:szCs w:val="24"/>
        </w:rPr>
        <w:t xml:space="preserve">to </w:t>
      </w:r>
      <w:proofErr w:type="gramStart"/>
      <w:r w:rsidRPr="0041550F">
        <w:rPr>
          <w:rFonts w:ascii="Times New Roman" w:eastAsia="Times New Roman" w:hAnsi="Times New Roman" w:cs="Times New Roman"/>
          <w:sz w:val="24"/>
          <w:szCs w:val="24"/>
        </w:rPr>
        <w:t>make a decision</w:t>
      </w:r>
      <w:proofErr w:type="gramEnd"/>
      <w:r w:rsidRPr="0041550F">
        <w:rPr>
          <w:rFonts w:ascii="Times New Roman" w:eastAsia="Times New Roman" w:hAnsi="Times New Roman" w:cs="Times New Roman"/>
          <w:sz w:val="24"/>
          <w:szCs w:val="24"/>
        </w:rPr>
        <w:t xml:space="preserve">, and </w:t>
      </w:r>
      <w:r w:rsidR="00063E9E" w:rsidRPr="0041550F">
        <w:rPr>
          <w:rFonts w:ascii="Times New Roman" w:eastAsia="Times New Roman" w:hAnsi="Times New Roman" w:cs="Times New Roman"/>
          <w:sz w:val="24"/>
          <w:szCs w:val="24"/>
        </w:rPr>
        <w:t xml:space="preserve">then </w:t>
      </w:r>
      <w:r w:rsidRPr="0041550F">
        <w:rPr>
          <w:rFonts w:ascii="Times New Roman" w:eastAsia="Times New Roman" w:hAnsi="Times New Roman" w:cs="Times New Roman"/>
          <w:sz w:val="24"/>
          <w:szCs w:val="24"/>
        </w:rPr>
        <w:t>execute a</w:t>
      </w:r>
      <w:r w:rsidR="00063E9E" w:rsidRPr="0041550F">
        <w:rPr>
          <w:rFonts w:ascii="Times New Roman" w:eastAsia="Times New Roman" w:hAnsi="Times New Roman" w:cs="Times New Roman"/>
          <w:sz w:val="24"/>
          <w:szCs w:val="24"/>
        </w:rPr>
        <w:t>n appropriate</w:t>
      </w:r>
      <w:r w:rsidRPr="0041550F">
        <w:rPr>
          <w:rFonts w:ascii="Times New Roman" w:eastAsia="Times New Roman" w:hAnsi="Times New Roman" w:cs="Times New Roman"/>
          <w:sz w:val="24"/>
          <w:szCs w:val="24"/>
        </w:rPr>
        <w:t xml:space="preserve"> motor response (e.g., </w:t>
      </w:r>
      <w:r w:rsidR="00063E9E" w:rsidRPr="0041550F">
        <w:rPr>
          <w:rFonts w:ascii="Times New Roman" w:eastAsia="Times New Roman" w:hAnsi="Times New Roman" w:cs="Times New Roman"/>
          <w:sz w:val="24"/>
          <w:szCs w:val="24"/>
        </w:rPr>
        <w:t xml:space="preserve">key </w:t>
      </w:r>
      <w:r w:rsidRPr="0041550F">
        <w:rPr>
          <w:rFonts w:ascii="Times New Roman" w:eastAsia="Times New Roman" w:hAnsi="Times New Roman" w:cs="Times New Roman"/>
          <w:sz w:val="24"/>
          <w:szCs w:val="24"/>
        </w:rPr>
        <w:t xml:space="preserve">press). Measurement noise is exacerbated by the fact that common experimental tasks are often unable to account sufficiently for speed-accuracy trade-offs (SATOs; </w:t>
      </w:r>
      <w:r w:rsidR="00103354"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alternatives","type":"article-journal","volume":"145"},"uris":["http://www.mendeley.com/documents/?uuid=98bf3dfc-5c42-4be7-be0e-33e24dfbe99f"]},{"id":"ITEM-2","itemData":{"DOI":"10.3389/fnins.2014.00150","ISSN":"1662453X","abstract":"There are few behavioral effects as ubiquitous as the speed-accuracy tradeoff (SAT). From insects to rodents to primates, the tendency for decision speed to covary with decision accuracy seems an inescapable property of choice behavior. Recently, the SAT has received renewed interest, as neuroscience approaches begin to uncover its neural underpinnings and computational models are compelled to incorporate it as a necessary benchmark. The present work provides a comprehensive overview of SAT. First, I trace its history as a tractable behavioral phenomenon and the role it has played in shaping mathematical descriptions of the decision process. Second, I present a \"users guide\" of SAT methodology, including a critical review of common experimental manipulations and analysis techniques and a treatment of the typical behavioral patterns that emerge when SAT is manipulated directly. Finally, I review applications of this methodology in several domains. © 2014 Heitz.","author":[{"dropping-particle":"","family":"Heitz","given":"Richard P.","non-dropping-particle":"","parse-names":false,"suffix":""}],"container-title":"Frontiers in Neuroscience","id":"ITEM-2","issue":"8 JUN","issued":{"date-parts":[["2014"]]},"page":"1-19","title":"The speed-accuracy tradeoff: History, physiology, methodology, and behavior","type":"article-journal","volume":"8"},"uris":["http://www.mendeley.com/documents/?uuid=d32677f1-0362-4a39-9d39-028503a7c628"]}],"mendeley":{"formattedCitation":"(49,50)","manualFormatting":"49,50)","plainTextFormattedCitation":"(49,50)","previouslyFormattedCitation":"(49,50)"},"properties":{"noteIndex":0},"schema":"https://github.com/citation-style-language/schema/raw/master/csl-citation.json"}</w:instrText>
      </w:r>
      <w:r w:rsidR="0010335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49,50)</w:t>
      </w:r>
      <w:r w:rsidR="0010335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while some people will respond faster at the cost of being less accurate, others will respond slower to increase their accuracy </w:t>
      </w:r>
      <w:r w:rsidR="00A17B72"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mendeley":{"formattedCitation":"(51)","plainTextFormattedCitation":"(51)","previouslyFormattedCitation":"(51)"},"properties":{"noteIndex":0},"schema":"https://github.com/citation-style-language/schema/raw/master/csl-citation.json"}</w:instrText>
      </w:r>
      <w:r w:rsidR="00A17B72"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(51)</w:t>
      </w:r>
      <w:r w:rsidR="00A17B72"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By failing to account for SATOs, inferences </w:t>
      </w:r>
      <w:r w:rsidR="0025611D" w:rsidRPr="0041550F">
        <w:rPr>
          <w:rFonts w:ascii="Times New Roman" w:eastAsia="Times New Roman" w:hAnsi="Times New Roman" w:cs="Times New Roman"/>
          <w:sz w:val="24"/>
          <w:szCs w:val="24"/>
        </w:rPr>
        <w:t xml:space="preserve">drawn from </w:t>
      </w:r>
      <w:r w:rsidRPr="0041550F">
        <w:rPr>
          <w:rFonts w:ascii="Times New Roman" w:eastAsia="Times New Roman" w:hAnsi="Times New Roman" w:cs="Times New Roman"/>
          <w:sz w:val="24"/>
          <w:szCs w:val="24"/>
        </w:rPr>
        <w:t>raw behavioural data might lack insight into important aspects of the decision-making process (e.g., response caution;</w:t>
      </w:r>
      <w:r w:rsidR="00A17B72" w:rsidRPr="0041550F">
        <w:rPr>
          <w:rFonts w:ascii="Times New Roman" w:eastAsia="Times New Roman" w:hAnsi="Times New Roman" w:cs="Times New Roman"/>
          <w:sz w:val="24"/>
          <w:szCs w:val="24"/>
        </w:rPr>
        <w:fldChar w:fldCharType="begin" w:fldLock="1"/>
      </w:r>
      <w:r w:rsidR="008373E3"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alternatives","type":"article-journal","volume":"145"},"uris":["http://www.mendeley.com/documents/?uuid=98bf3dfc-5c42-4be7-be0e-33e24dfbe99f"]}],"mendeley":{"formattedCitation":"(49)","manualFormatting":" 49)","plainTextFormattedCitation":"(49)","previouslyFormattedCitation":"(49)"},"properties":{"noteIndex":0},"schema":"https://github.com/citation-style-language/schema/raw/master/csl-citation.json"}</w:instrText>
      </w:r>
      <w:r w:rsidR="00A17B72" w:rsidRPr="0041550F">
        <w:rPr>
          <w:rFonts w:ascii="Times New Roman" w:eastAsia="Times New Roman" w:hAnsi="Times New Roman" w:cs="Times New Roman"/>
          <w:sz w:val="24"/>
          <w:szCs w:val="24"/>
        </w:rPr>
        <w:fldChar w:fldCharType="separate"/>
      </w:r>
      <w:r w:rsidR="008373E3" w:rsidRPr="0041550F">
        <w:rPr>
          <w:rFonts w:ascii="Times New Roman" w:eastAsia="Times New Roman" w:hAnsi="Times New Roman" w:cs="Times New Roman"/>
          <w:noProof/>
          <w:sz w:val="24"/>
          <w:szCs w:val="24"/>
        </w:rPr>
        <w:t xml:space="preserve"> </w:t>
      </w:r>
      <w:r w:rsidR="0072560E" w:rsidRPr="0041550F">
        <w:rPr>
          <w:rFonts w:ascii="Times New Roman" w:eastAsia="Times New Roman" w:hAnsi="Times New Roman" w:cs="Times New Roman"/>
          <w:noProof/>
          <w:sz w:val="24"/>
          <w:szCs w:val="24"/>
        </w:rPr>
        <w:t>49)</w:t>
      </w:r>
      <w:r w:rsidR="00A17B72"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p>
    <w:p w14:paraId="0000002D" w14:textId="22119501" w:rsidR="00CB2059" w:rsidRPr="0041550F" w:rsidRDefault="00C3572E" w:rsidP="00877A82">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A</w:t>
      </w:r>
      <w:r w:rsidR="00C04608" w:rsidRPr="0041550F">
        <w:rPr>
          <w:rFonts w:ascii="Times New Roman" w:eastAsia="Times New Roman" w:hAnsi="Times New Roman" w:cs="Times New Roman"/>
          <w:sz w:val="24"/>
          <w:szCs w:val="24"/>
        </w:rPr>
        <w:t xml:space="preserve">nother </w:t>
      </w:r>
      <w:r w:rsidRPr="0041550F">
        <w:rPr>
          <w:rFonts w:ascii="Times New Roman" w:eastAsia="Times New Roman" w:hAnsi="Times New Roman" w:cs="Times New Roman"/>
          <w:sz w:val="24"/>
          <w:szCs w:val="24"/>
        </w:rPr>
        <w:t>issue is the reliance on subtraction method</w:t>
      </w:r>
      <w:r w:rsidR="001D3657" w:rsidRPr="0041550F">
        <w:rPr>
          <w:rFonts w:ascii="Times New Roman" w:eastAsia="Times New Roman" w:hAnsi="Times New Roman" w:cs="Times New Roman"/>
          <w:sz w:val="24"/>
          <w:szCs w:val="24"/>
        </w:rPr>
        <w:t xml:space="preserve">s </w:t>
      </w:r>
      <w:r w:rsidRPr="0041550F">
        <w:rPr>
          <w:rFonts w:ascii="Times New Roman" w:eastAsia="Times New Roman" w:hAnsi="Times New Roman" w:cs="Times New Roman"/>
          <w:sz w:val="24"/>
          <w:szCs w:val="24"/>
        </w:rPr>
        <w:t xml:space="preserve">(e.g., difference scores) to </w:t>
      </w:r>
      <w:r w:rsidR="0048029B" w:rsidRPr="0041550F">
        <w:rPr>
          <w:rFonts w:ascii="Times New Roman" w:eastAsia="Times New Roman" w:hAnsi="Times New Roman" w:cs="Times New Roman"/>
          <w:sz w:val="24"/>
          <w:szCs w:val="24"/>
        </w:rPr>
        <w:t xml:space="preserve">index </w:t>
      </w:r>
      <w:r w:rsidR="007364A9" w:rsidRPr="0041550F">
        <w:rPr>
          <w:rFonts w:ascii="Times New Roman" w:eastAsia="Times New Roman" w:hAnsi="Times New Roman" w:cs="Times New Roman"/>
          <w:sz w:val="24"/>
          <w:szCs w:val="24"/>
        </w:rPr>
        <w:t>alcohol-related cognitions</w:t>
      </w:r>
      <w:r w:rsidR="003E7C86" w:rsidRPr="0041550F">
        <w:rPr>
          <w:rFonts w:ascii="Times New Roman" w:eastAsia="Times New Roman" w:hAnsi="Times New Roman" w:cs="Times New Roman"/>
          <w:sz w:val="24"/>
          <w:szCs w:val="24"/>
        </w:rPr>
        <w:t>,</w:t>
      </w:r>
      <w:r w:rsidR="0095333B" w:rsidRPr="0041550F">
        <w:rPr>
          <w:rFonts w:ascii="Times New Roman" w:eastAsia="Times New Roman" w:hAnsi="Times New Roman" w:cs="Times New Roman"/>
          <w:sz w:val="24"/>
          <w:szCs w:val="24"/>
        </w:rPr>
        <w:t xml:space="preserve"> and assess </w:t>
      </w:r>
      <w:r w:rsidR="00E20C08" w:rsidRPr="0041550F">
        <w:rPr>
          <w:rFonts w:ascii="Times New Roman" w:eastAsia="Times New Roman" w:hAnsi="Times New Roman" w:cs="Times New Roman"/>
          <w:sz w:val="24"/>
          <w:szCs w:val="24"/>
        </w:rPr>
        <w:t xml:space="preserve">their </w:t>
      </w:r>
      <w:r w:rsidR="0095333B" w:rsidRPr="0041550F">
        <w:rPr>
          <w:rFonts w:ascii="Times New Roman" w:eastAsia="Times New Roman" w:hAnsi="Times New Roman" w:cs="Times New Roman"/>
          <w:sz w:val="24"/>
          <w:szCs w:val="24"/>
        </w:rPr>
        <w:t xml:space="preserve">associations with other variables of interest (e.g., subjective craving). Difference </w:t>
      </w:r>
      <w:r w:rsidRPr="0041550F">
        <w:rPr>
          <w:rFonts w:ascii="Times New Roman" w:eastAsia="Times New Roman" w:hAnsi="Times New Roman" w:cs="Times New Roman"/>
          <w:sz w:val="24"/>
          <w:szCs w:val="24"/>
        </w:rPr>
        <w:t>scores appear to be a simple and effective method of controlling for general RT and isolating signal in the noise. Unfortunately, however, there is a fundamental shortcoming in the use of difference scores; as the correlation increases between two component measures (e.g., RTs to alcohol</w:t>
      </w:r>
      <w:r w:rsidR="00F42C7D" w:rsidRPr="0041550F">
        <w:rPr>
          <w:rFonts w:ascii="Times New Roman" w:eastAsia="Times New Roman" w:hAnsi="Times New Roman" w:cs="Times New Roman"/>
          <w:sz w:val="24"/>
          <w:szCs w:val="24"/>
        </w:rPr>
        <w:t>-related</w:t>
      </w:r>
      <w:r w:rsidRPr="0041550F">
        <w:rPr>
          <w:rFonts w:ascii="Times New Roman" w:eastAsia="Times New Roman" w:hAnsi="Times New Roman" w:cs="Times New Roman"/>
          <w:sz w:val="24"/>
          <w:szCs w:val="24"/>
        </w:rPr>
        <w:t xml:space="preserve"> and </w:t>
      </w:r>
      <w:r w:rsidR="00F42C7D" w:rsidRPr="0041550F">
        <w:rPr>
          <w:rFonts w:ascii="Times New Roman" w:eastAsia="Times New Roman" w:hAnsi="Times New Roman" w:cs="Times New Roman"/>
          <w:sz w:val="24"/>
          <w:szCs w:val="24"/>
        </w:rPr>
        <w:t>-unrelated</w:t>
      </w:r>
      <w:r w:rsidRPr="0041550F">
        <w:rPr>
          <w:rFonts w:ascii="Times New Roman" w:eastAsia="Times New Roman" w:hAnsi="Times New Roman" w:cs="Times New Roman"/>
          <w:sz w:val="24"/>
          <w:szCs w:val="24"/>
        </w:rPr>
        <w:t xml:space="preserve"> stimuli), the reliability of their difference score decreases proportionately </w:t>
      </w:r>
      <w:r w:rsidR="001C77E9"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plainTextFormattedCitation":"(49)","previouslyFormattedCitation":"(49)"},"properties":{"noteIndex":0},"schema":"https://github.com/citation-style-language/schema/raw/master/csl-citation.json"}</w:instrText>
      </w:r>
      <w:r w:rsidR="001C77E9"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(49)</w:t>
      </w:r>
      <w:r w:rsidR="001C77E9" w:rsidRPr="0041550F">
        <w:rPr>
          <w:rFonts w:ascii="Times New Roman" w:eastAsia="Times New Roman" w:hAnsi="Times New Roman" w:cs="Times New Roman"/>
          <w:sz w:val="24"/>
          <w:szCs w:val="24"/>
        </w:rPr>
        <w:fldChar w:fldCharType="end"/>
      </w:r>
      <w:r w:rsidR="00C471C6" w:rsidRPr="0041550F">
        <w:rPr>
          <w:rFonts w:ascii="Times New Roman" w:eastAsia="Times New Roman" w:hAnsi="Times New Roman" w:cs="Times New Roman"/>
          <w:sz w:val="24"/>
          <w:szCs w:val="24"/>
        </w:rPr>
        <w:t xml:space="preserve"> and </w:t>
      </w:r>
      <w:r w:rsidRPr="0041550F">
        <w:rPr>
          <w:rFonts w:ascii="Times New Roman" w:eastAsia="Times New Roman" w:hAnsi="Times New Roman" w:cs="Times New Roman"/>
          <w:sz w:val="24"/>
          <w:szCs w:val="24"/>
        </w:rPr>
        <w:t xml:space="preserve">potentially meaningful associations with other variables </w:t>
      </w:r>
      <w:r w:rsidR="005F571B" w:rsidRPr="0041550F">
        <w:rPr>
          <w:rFonts w:ascii="Times New Roman" w:eastAsia="Times New Roman" w:hAnsi="Times New Roman" w:cs="Times New Roman"/>
          <w:sz w:val="24"/>
          <w:szCs w:val="24"/>
        </w:rPr>
        <w:t xml:space="preserve">are weakened </w:t>
      </w:r>
      <w:r w:rsidR="001C77E9"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A.","non-dropping-particle":"","parse-names":false,"suffix":""}],"id":"ITEM-1","issued":{"date-parts":[["2020"]]},"title":"Advancing the understanding of individual differences in attentional control: Theoretical, methodological, and analytical considerations","type":"article-journal"},"uris":["http://www.mendeley.com/documents/?uuid=1c8bdd8e-5846-438f-b575-e3ecb8c64beb"]}],"mendeley":{"formattedCitation":"(17)","plainTextFormattedCitation":"(17)","previouslyFormattedCitation":"(17)"},"properties":{"noteIndex":0},"schema":"https://github.com/citation-style-language/schema/raw/master/csl-citation.json"}</w:instrText>
      </w:r>
      <w:r w:rsidR="001C77E9"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(17)</w:t>
      </w:r>
      <w:r w:rsidR="001C77E9"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Together then, RTs and difference scores are contaminated by factors extraneous to the cognitive mechanism of interest. Since the use of such measures constitutes a norm in this domain, these issues question the extent to which existing research </w:t>
      </w:r>
      <w:r w:rsidRPr="0041550F">
        <w:rPr>
          <w:rFonts w:ascii="Times New Roman" w:eastAsia="Times New Roman" w:hAnsi="Times New Roman" w:cs="Times New Roman"/>
          <w:sz w:val="24"/>
          <w:szCs w:val="24"/>
        </w:rPr>
        <w:lastRenderedPageBreak/>
        <w:t>can be viewed as obtaining precise, interpretable, and sensitive measures of alcohol-related cognition.</w:t>
      </w:r>
      <w:bookmarkStart w:id="7" w:name="_heading=h.gk5qnljor2vl" w:colFirst="0" w:colLast="0"/>
      <w:bookmarkEnd w:id="7"/>
    </w:p>
    <w:p w14:paraId="22557E81" w14:textId="77777777" w:rsidR="008222D5" w:rsidRPr="0041550F" w:rsidRDefault="008222D5" w:rsidP="00877A82">
      <w:pPr>
        <w:spacing w:after="0" w:line="480" w:lineRule="auto"/>
        <w:ind w:firstLine="720"/>
        <w:jc w:val="both"/>
        <w:rPr>
          <w:rFonts w:ascii="Times New Roman" w:eastAsia="Times New Roman" w:hAnsi="Times New Roman" w:cs="Times New Roman"/>
          <w:sz w:val="24"/>
          <w:szCs w:val="24"/>
        </w:rPr>
      </w:pPr>
    </w:p>
    <w:p w14:paraId="0000002E" w14:textId="77777777" w:rsidR="00CB2059" w:rsidRPr="0041550F" w:rsidRDefault="00C3572E">
      <w:pPr>
        <w:spacing w:after="0" w:line="480" w:lineRule="auto"/>
        <w:rPr>
          <w:rFonts w:ascii="Times New Roman" w:eastAsia="Times New Roman" w:hAnsi="Times New Roman" w:cs="Times New Roman"/>
          <w:b/>
          <w:i/>
          <w:sz w:val="24"/>
          <w:szCs w:val="24"/>
        </w:rPr>
      </w:pPr>
      <w:r w:rsidRPr="0041550F">
        <w:rPr>
          <w:rFonts w:ascii="Times New Roman" w:eastAsia="Times New Roman" w:hAnsi="Times New Roman" w:cs="Times New Roman"/>
          <w:b/>
          <w:i/>
          <w:sz w:val="24"/>
          <w:szCs w:val="24"/>
        </w:rPr>
        <w:t>UNRELIABLE TASKS = UNRELIABLE INFERENCES</w:t>
      </w:r>
    </w:p>
    <w:p w14:paraId="0000002F" w14:textId="3D23D2A9" w:rsidR="00CB2059" w:rsidRPr="0041550F" w:rsidRDefault="00C3572E">
      <w:pPr>
        <w:spacing w:after="0" w:line="480" w:lineRule="auto"/>
        <w:jc w:val="both"/>
        <w:rPr>
          <w:rFonts w:ascii="Times New Roman" w:eastAsia="Times New Roman" w:hAnsi="Times New Roman" w:cs="Times New Roman"/>
          <w:sz w:val="24"/>
          <w:szCs w:val="24"/>
        </w:rPr>
      </w:pPr>
      <w:bookmarkStart w:id="8" w:name="_heading=h.zdvlzlpwaq58" w:colFirst="0" w:colLast="0"/>
      <w:bookmarkEnd w:id="8"/>
      <w:r w:rsidRPr="0041550F">
        <w:rPr>
          <w:rFonts w:ascii="Times New Roman" w:eastAsia="Times New Roman" w:hAnsi="Times New Roman" w:cs="Times New Roman"/>
          <w:sz w:val="24"/>
          <w:szCs w:val="24"/>
        </w:rPr>
        <w:t>Variability in the stimul</w:t>
      </w:r>
      <w:r w:rsidR="00042B9A" w:rsidRPr="0041550F">
        <w:rPr>
          <w:rFonts w:ascii="Times New Roman" w:eastAsia="Times New Roman" w:hAnsi="Times New Roman" w:cs="Times New Roman"/>
          <w:sz w:val="24"/>
          <w:szCs w:val="24"/>
        </w:rPr>
        <w:t>us</w:t>
      </w:r>
      <w:r w:rsidRPr="0041550F">
        <w:rPr>
          <w:rFonts w:ascii="Times New Roman" w:eastAsia="Times New Roman" w:hAnsi="Times New Roman" w:cs="Times New Roman"/>
          <w:sz w:val="24"/>
          <w:szCs w:val="24"/>
        </w:rPr>
        <w:t xml:space="preserve"> sets used across studies, the number of stimuli and their repetitions, and the use of noisy measures of response bias </w:t>
      </w:r>
      <w:r w:rsidR="009B71DD" w:rsidRPr="0041550F">
        <w:rPr>
          <w:rFonts w:ascii="Times New Roman" w:eastAsia="Times New Roman" w:hAnsi="Times New Roman" w:cs="Times New Roman"/>
          <w:sz w:val="24"/>
          <w:szCs w:val="24"/>
        </w:rPr>
        <w:t xml:space="preserve">will </w:t>
      </w:r>
      <w:r w:rsidRPr="0041550F">
        <w:rPr>
          <w:rFonts w:ascii="Times New Roman" w:eastAsia="Times New Roman" w:hAnsi="Times New Roman" w:cs="Times New Roman"/>
          <w:sz w:val="24"/>
          <w:szCs w:val="24"/>
        </w:rPr>
        <w:t xml:space="preserve">all impact on the reliability of experimental tasks and the replicability of research findings. Increasing the number of stimuli is believed generally to increase the internal consistency of a task </w:t>
      </w:r>
      <w:r w:rsidR="00E9688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{"citationItems":[{"id":"ITEM-1","itemData":{"DOI":"10.1080/13645579.2018.1547523","ISSN":"14645300","abstract":"Cronbach’s alpha is the most frequently used measure to investigate the reliability of measurement instruments. Despite its frequent use, many warn for misinterpretations of alpha. These claims about regular misunderstandings, however, are not based on empirical data. To understand how common such beliefs are, we conducted a survey study to test researchers’ knowledge of and beliefs about alpha. For this survey, we selected authors from recent papers, in which alpha was used. The results provide empirical evidence for the claims that researchers have difficulty interpreting alpha in a proper way. At the same time, we expounded the claims, by showing that whereas some beliefs are fairly typical, others are not so often seen. This non-technical paper, aimed at both statisticians and substantive researchers, is concluded by providing a few suggestions that could be helpful to get us out of the current stalemate regarding the usability of alpha and its alternatives.","author":[{"dropping-particle":"","family":"Hoekstra","given":"R.","non-dropping-particle":"","parse-names":false,"suffix":""},{"dropping-particle":"","family":"Vugteveen","given":"J.","non-dropping-particle":"","parse-names":false,"suffix":""},{"dropping-particle":"","family":"Warrens","given":"M. J.","non-dropping-particle":"","parse-names":false,"suffix":""},{"dropping-particle":"","family":"Kruyen","given":"P. M.","non-dropping-particle":"","parse-names":false,"suffix":""}],"container-title":"International Journal of Social Research Methodology","id":"ITEM-1","issue":"4","issued":{"date-parts":[["2019"]]},"page":"351-364","publisher":"Routledge","title":"An empirical analysis of alleged misunderstandings of coefficient alpha","type":"article-journal","volume":"22"},"uris":["http://www.mendeley.com/documents/?uuid=6772aadb-3e28-4146-9101-79f544bff624"]}],"mendeley":{"formattedCitation":"(52)","plainTextFormattedCitation":"(52)","previouslyFormattedCitation":"(52)"},"properties":{"noteIndex":0},"schema":"https://github.com/citation-style-language/schema/raw/master/csl-citation.json"}</w:instrText>
      </w:r>
      <w:r w:rsidR="00E9688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(52)</w:t>
      </w:r>
      <w:r w:rsidR="00E9688F"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and a large number of stimuli will help to reduce any habituation effect </w:t>
      </w:r>
      <w:r w:rsidR="00E9688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{"citationItems":[{"id":"ITEM-1","itemData":{"DOI":"10.1037/xan0000129","ISSN":"23298464","PMID":"28045294","abstract":"Repeated presentation of a single stimulus produces habituation- engages a learning process that results in a reduction of the ability of the stimulus to evoke its customary response. Repeated stimulus presentation is a feature of the standard procedure for classical conditioning, although, in this case, subjects experience repeated presentations of 2 stimuli occurring in sequence: S1-S2. We ask how habituation to each of these stimuli (S1 and S2) is influenced by this form of sequential presentation and what implications any effects might have for the understanding of both conditioning and habituation itself. Our review of the experimental evidence demonstrates no clear effect on habituation to S2 of preceding this stimulus with S1. Habituation to S1, however, is attenuated or prevented by the occurrence of S2: Some orienting responses are maintained when S2 follows S1 inconsistently; other responses (habituation of which may be taken to indicate a reduction in the effective salience of the stimulus) are maintained when a salient S2 reliably follows S1. We discuss the implications of these changes in the properties of S1 for associative theories of conditioning and, in particular, for the proposal that the rules that govern changes in the associability of a stimulus differ from those governing changes in its effective salience.","author":[{"dropping-particle":"","family":"Hall","given":"Geoffrey","non-dropping-particle":"","parse-names":false,"suffix":""},{"dropping-particle":"","family":"Rodríguez","given":"Gabriel","non-dropping-particle":"","parse-names":false,"suffix":""}],"container-title":"Journal of Experimental Psychology: Animal Learning and Cognition","id":"ITEM-1","issue":"1","issued":{"date-parts":[["2017"]]},"page":"48-61","title":"Habituation and conditioning: Salience change in associative learning","type":"article-journal","volume":"43"},"uris":["http://www.mendeley.com/documents/?uuid=4aa91598-daf9-461a-ba46-162c6130b26e"]}],"mendeley":{"formattedCitation":"(53)","plainTextFormattedCitation":"(53)","previouslyFormattedCitation":"(53)"},"properties":{"noteIndex":0},"schema":"https://github.com/citation-style-language/schema/raw/master/csl-citation.json"}</w:instrText>
      </w:r>
      <w:r w:rsidR="00E9688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(53)</w:t>
      </w:r>
      <w:r w:rsidR="00E9688F"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This is critical, since the stimuli used in alcohol cognition tasks are assumed to evoke an implicit response (e.g., alcohol-related cues</w:t>
      </w:r>
      <w:r w:rsidR="008065C0" w:rsidRPr="0041550F">
        <w:rPr>
          <w:rFonts w:ascii="Times New Roman" w:eastAsia="Times New Roman" w:hAnsi="Times New Roman" w:cs="Times New Roman"/>
          <w:sz w:val="24"/>
          <w:szCs w:val="24"/>
        </w:rPr>
        <w:t xml:space="preserve"> should</w:t>
      </w:r>
      <w:r w:rsidRPr="0041550F">
        <w:rPr>
          <w:rFonts w:ascii="Times New Roman" w:eastAsia="Times New Roman" w:hAnsi="Times New Roman" w:cs="Times New Roman"/>
          <w:sz w:val="24"/>
          <w:szCs w:val="24"/>
        </w:rPr>
        <w:t xml:space="preserve"> ‘grab’ attention). Despite this, </w:t>
      </w:r>
      <w:r w:rsidR="00B61DC2" w:rsidRPr="0041550F">
        <w:rPr>
          <w:rFonts w:ascii="Times New Roman" w:eastAsia="Times New Roman" w:hAnsi="Times New Roman" w:cs="Times New Roman"/>
          <w:sz w:val="24"/>
          <w:szCs w:val="24"/>
        </w:rPr>
        <w:t>some</w:t>
      </w:r>
      <w:r w:rsidRPr="0041550F">
        <w:rPr>
          <w:rFonts w:ascii="Times New Roman" w:eastAsia="Times New Roman" w:hAnsi="Times New Roman" w:cs="Times New Roman"/>
          <w:sz w:val="24"/>
          <w:szCs w:val="24"/>
        </w:rPr>
        <w:t xml:space="preserve"> tasks used commonly in alcohol </w:t>
      </w:r>
      <w:r w:rsidR="00237E52" w:rsidRPr="0041550F">
        <w:rPr>
          <w:rFonts w:ascii="Times New Roman" w:eastAsia="Times New Roman" w:hAnsi="Times New Roman" w:cs="Times New Roman"/>
          <w:sz w:val="24"/>
          <w:szCs w:val="24"/>
        </w:rPr>
        <w:t xml:space="preserve">(and addiction) </w:t>
      </w:r>
      <w:r w:rsidRPr="0041550F">
        <w:rPr>
          <w:rFonts w:ascii="Times New Roman" w:eastAsia="Times New Roman" w:hAnsi="Times New Roman" w:cs="Times New Roman"/>
          <w:sz w:val="24"/>
          <w:szCs w:val="24"/>
        </w:rPr>
        <w:t xml:space="preserve">research fail to achieve acceptable levels of internal reliability </w:t>
      </w:r>
      <w:r w:rsidR="00027CF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{"citationItems":[{"id":"ITEM-1","itemData":{"DOI":"10.1016/j.drugalcdep.2011.08.023","ISSN":"03768716","PMID":"21955365","abstract":"Aims: There is growing interest in cognitive biases related to substance use, but evidence from the anxiety literature suggests that tasks commonly used to assess these may suffer from low internal reliability. We examined the internal reliability of the visual probe and modified Stroop tasks. Design: Secondary analysis of visual probe and modified Stroop task data collected across seven independent studies. Setting: Human laboratory study. Participants: Healthy volunteers (n=408 across seven independent studies) recruited from the general population on the basis of alcohol or tobacco use. Measurements: Visual probe and modified Stroop task measures of substance-related cognitive bias. Findings: Measures of cognitive bias for substance-related cues, as assayed by the visual probe and the modified Stroop tasks, may not be reliable. In particular, the visual probe task showed poor internal reliability, as did unblocked versions of the modified Stroop task. Conclusions: The modified Stroop task is preferable to the visual probe task as a measure of substance-related cognitive bias, on the basis of its psychometric properties. Studies using cognitive bias tasks should not assume they are reliable, and should routinely report reliability estimates where possible. © 2011.","author":[{"dropping-particle":"","family":"Ataya","given":"Alia F.","non-dropping-particle":"","parse-names":false,"suffix":""},{"dropping-particle":"","family":"Adams","given":"Sally","non-dropping-particle":"","parse-names":false,"suffix":""},{"dropping-particle":"","family":"Mullings","given":"Emma","non-dropping-particle":"","parse-names":false,"suffix":""},{"dropping-particle":"","family":"Cooper","given":"Robbie M.","non-dropping-particle":"","parse-names":false,"suffix":""},{"dropping-particle":"","family":"Attwood","given":"Angela S.","non-dropping-particle":"","parse-names":false,"suffix":""},{"dropping-particle":"","family":"Munafò","given":"Marcus R.","non-dropping-particle":"","parse-names":false,"suffix":""}],"container-title":"Drug and Alcohol Dependence","id":"ITEM-1","issue":"1-2","issued":{"date-parts":[["2012"]]},"page":"148-151","publisher":"Elsevier Ireland Ltd","title":"Internal reliability of measures of substance-related cognitive bias","type":"article-journal","volume":"121"},"uris":["http://www.mendeley.com/documents/?uuid=4f977697-4796-4f11-a5d0-d84ea570794d"]},{"id":"ITEM-2","itemData":{"DOI":"10.1016/j.drugalcdep.2012.02.009","ISSN":"03768716","PMID":"22386685","abstract":"A recent paper published in Drug and Alcohol Dependence (Ataya et al., 2012) is the first systematic attempt to establish the internal reliability of measures of substance-related attentional bias, and it makes an important and long overdue contribution to this topic. The authors reported that the reliability of attentional bias indices derived from the visual probe task was very poor, and while the attentional bias index from the Stroop was a little better, it fell some way short of being acceptable, as α &gt; 0.70 in only two of six studies in which the task was used. In this commentary, we speculate on some of the factors that might have contributed to the poor reliability of the tasks, and how task reliability might be improved in future studies. © 2012 Elsevier Ireland Ltd.","author":[{"dropping-particle":"","family":"Field","given":"Matt","non-dropping-particle":"","parse-names":false,"suffix":""},{"dropping-particle":"","family":"Christiansen","given":"Paul","non-dropping-particle":"","parse-names":false,"suffix":""}],"container-title":"Drug and Alcohol Dependence","id":"ITEM-2","issue":"3","issued":{"date-parts":[["2012"]]},"page":"189-190","publisher":"Elsevier Ireland Ltd","title":"Commentary on Ataya et al. (2012), 'Internal reliability of measures of substance-related cognitive bias'","type":"article-journal","volume":"124"},"uris":["http://www.mendeley.com/documents/?uuid=5bca9801-3cee-4e84-b176-96521b036011"]}],"mendeley":{"formattedCitation":"(54,55)","plainTextFormattedCitation":"(54,55)","previouslyFormattedCitation":"(54,55)"},"properties":{"noteIndex":0},"schema":"https://github.com/citation-style-language/schema/raw/master/csl-citation.json"}</w:instrText>
      </w:r>
      <w:r w:rsidR="00027CF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(54,55)</w:t>
      </w:r>
      <w:r w:rsidR="00027CF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for example, </w:t>
      </w:r>
      <w:proofErr w:type="spellStart"/>
      <w:r w:rsidRPr="0041550F">
        <w:rPr>
          <w:rFonts w:ascii="Times New Roman" w:eastAsia="Times New Roman" w:hAnsi="Times New Roman" w:cs="Times New Roman"/>
          <w:sz w:val="24"/>
          <w:szCs w:val="24"/>
        </w:rPr>
        <w:t>Ataya</w:t>
      </w:r>
      <w:proofErr w:type="spellEnd"/>
      <w:r w:rsidRPr="0041550F">
        <w:rPr>
          <w:rFonts w:ascii="Times New Roman" w:eastAsia="Times New Roman" w:hAnsi="Times New Roman" w:cs="Times New Roman"/>
          <w:sz w:val="24"/>
          <w:szCs w:val="24"/>
        </w:rPr>
        <w:t xml:space="preserve"> et al. </w:t>
      </w:r>
      <w:r w:rsidR="00027CF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{"citationItems":[{"id":"ITEM-1","itemData":{"DOI":"10.1016/j.drugalcdep.2011.08.023","ISSN":"03768716","PMID":"21955365","abstract":"Aims: There is growing interest in cognitive biases related to substance use, but evidence from the anxiety literature suggests that tasks commonly used to assess these may suffer from low internal reliability. We examined the internal reliability of the visual probe and modified Stroop tasks. Design: Secondary analysis of visual probe and modified Stroop task data collected across seven independent studies. Setting: Human laboratory study. Participants: Healthy volunteers (n=408 across seven independent studies) recruited from the general population on the basis of alcohol or tobacco use. Measurements: Visual probe and modified Stroop task measures of substance-related cognitive bias. Findings: Measures of cognitive bias for substance-related cues, as assayed by the visual probe and the modified Stroop tasks, may not be reliable. In particular, the visual probe task showed poor internal reliability, as did unblocked versions of the modified Stroop task. Conclusions: The modified Stroop task is preferable to the visual probe task as a measure of substance-related cognitive bias, on the basis of its psychometric properties. Studies using cognitive bias tasks should not assume they are reliable, and should routinely report reliability estimates where possible. © 2011.","author":[{"dropping-particle":"","family":"Ataya","given":"Alia F.","non-dropping-particle":"","parse-names":false,"suffix":""},{"dropping-particle":"","family":"Adams","given":"Sally","non-dropping-particle":"","parse-names":false,"suffix":""},{"dropping-particle":"","family":"Mullings","given":"Emma","non-dropping-particle":"","parse-names":false,"suffix":""},{"dropping-particle":"","family":"Cooper","given":"Robbie M.","non-dropping-particle":"","parse-names":false,"suffix":""},{"dropping-particle":"","family":"Attwood","given":"Angela S.","non-dropping-particle":"","parse-names":false,"suffix":""},{"dropping-particle":"","family":"Munafò","given":"Marcus R.","non-dropping-particle":"","parse-names":false,"suffix":""}],"container-title":"Drug and Alcohol Dependence","id":"ITEM-1","issue":"1-2","issued":{"date-parts":[["2012"]]},"page":"148-151","publisher":"Elsevier Ireland Ltd","title":"Internal reliability of measures of substance-related cognitive bias","type":"article-journal","volume":"121"},"uris":["http://www.mendeley.com/documents/?uuid=4f977697-4796-4f11-a5d0-d84ea570794d"]}],"mendeley":{"formattedCitation":"(54)","plainTextFormattedCitation":"(54)","previouslyFormattedCitation":"(54)"},"properties":{"noteIndex":0},"schema":"https://github.com/citation-style-language/schema/raw/master/csl-citation.json"}</w:instrText>
      </w:r>
      <w:r w:rsidR="00027CF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(54)</w:t>
      </w:r>
      <w:r w:rsidR="00027CF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report alarmingly low estimates for the VPT (</w:t>
      </w:r>
      <w:r w:rsidRPr="0041550F">
        <w:rPr>
          <w:rFonts w:ascii="Times New Roman" w:eastAsia="Times New Roman" w:hAnsi="Times New Roman" w:cs="Times New Roman"/>
          <w:i/>
          <w:sz w:val="24"/>
          <w:szCs w:val="24"/>
        </w:rPr>
        <w:t xml:space="preserve">a </w:t>
      </w:r>
      <w:r w:rsidRPr="0041550F">
        <w:rPr>
          <w:rFonts w:ascii="Times New Roman" w:eastAsia="Times New Roman" w:hAnsi="Times New Roman" w:cs="Times New Roman"/>
          <w:sz w:val="24"/>
          <w:szCs w:val="24"/>
        </w:rPr>
        <w:t xml:space="preserve">= .00-.50, mean = .18), and although the Stroop task outperformed this in </w:t>
      </w:r>
      <w:r w:rsidR="008222D5" w:rsidRPr="0041550F">
        <w:rPr>
          <w:rFonts w:ascii="Times New Roman" w:eastAsia="Times New Roman" w:hAnsi="Times New Roman" w:cs="Times New Roman"/>
          <w:sz w:val="24"/>
          <w:szCs w:val="24"/>
        </w:rPr>
        <w:t>a handful of</w:t>
      </w:r>
      <w:r w:rsidRPr="0041550F">
        <w:rPr>
          <w:rFonts w:ascii="Times New Roman" w:eastAsia="Times New Roman" w:hAnsi="Times New Roman" w:cs="Times New Roman"/>
          <w:i/>
          <w:sz w:val="24"/>
          <w:szCs w:val="24"/>
        </w:rPr>
        <w:t xml:space="preserve"> </w:t>
      </w:r>
      <w:r w:rsidRPr="0041550F">
        <w:rPr>
          <w:rFonts w:ascii="Times New Roman" w:eastAsia="Times New Roman" w:hAnsi="Times New Roman" w:cs="Times New Roman"/>
          <w:sz w:val="24"/>
          <w:szCs w:val="24"/>
        </w:rPr>
        <w:t>studies, there was marked variability (</w:t>
      </w:r>
      <w:r w:rsidRPr="0041550F">
        <w:rPr>
          <w:rFonts w:ascii="Times New Roman" w:eastAsia="Times New Roman" w:hAnsi="Times New Roman" w:cs="Times New Roman"/>
          <w:i/>
          <w:sz w:val="24"/>
          <w:szCs w:val="24"/>
        </w:rPr>
        <w:t xml:space="preserve">a </w:t>
      </w:r>
      <w:r w:rsidRPr="0041550F">
        <w:rPr>
          <w:rFonts w:ascii="Times New Roman" w:eastAsia="Times New Roman" w:hAnsi="Times New Roman" w:cs="Times New Roman"/>
          <w:sz w:val="24"/>
          <w:szCs w:val="24"/>
        </w:rPr>
        <w:t xml:space="preserve">= .00-.98, mean = .74). Others have confirmed these findings and suggest that such variability might be attributable to specific task features, namely differences in the stimuli used, procedural flexibility (e.g., randomised vs. blocked designs, number of stimuli), and serial versus multiple stimulus presentations </w:t>
      </w:r>
      <w:r w:rsidR="00F15735"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{"citationItems":[{"id":"ITEM-1","itemData":{"DOI":"10.1016/j.drugalcdep.2015.07.672","ISSN":"18790046","PMID":"26239377","abstract":"Background: In the current study, we investigated whether the internal reliability of the visual probe task measure of attentional bias for substance-related cues could be improved by incorporating eye-tracking methods and personalised stimuli. Method: Sixty social drinkers completed two visual probe tasks: one with a broad range of different alcohol pictures, the other containing only images of the participants' preferred drink. Attentional bias was inferred from manual reaction times to probes replacing the pictures, and from the duration of eye movement fixations towards the pictures (gaze dwell time). Results: Internal reliability was highest for personalised (versus general) alcohol stimuli, and for eye-tracking (versus manual reaction time) measures of attentional bias. The internal reliability of both reaction time (. α=. .73) and gaze dwell time measures (. α=. .76) of attentional bias for personalised alcohol stimuli was acceptable. Internal reliability of indices of attentional bias for general alcohol stimuli was inferior, although better for the gaze dwell time (. α=. .51) compared to the reaction time measure (. α=. .19). Attentional bias towards personalised stimuli was larger than bias to general stimuli, but only for the reaction time measure. There were no statistically significant associations between measures of attentional bias and alcohol consumption or craving. Conclusions: Adopting personalised stimuli and eye movement monitoring significantly improves the internal reliability of the alcohol-related visual probe task.","author":[{"dropping-particle":"","family":"Christiansen","given":"Paul","non-dropping-particle":"","parse-names":false,"suffix":""},{"dropping-particle":"","family":"Mansfield","given":"Rosie","non-dropping-particle":"","parse-names":false,"suffix":""},{"dropping-particle":"","family":"Duckworth","given":"Jay","non-dropping-particle":"","parse-names":false,"suffix":""},{"dropping-particle":"","family":"Field","given":"Matt","non-dropping-particle":"","parse-names":false,"suffix":""},{"dropping-particle":"","family":"Jones","given":"Andrew","non-dropping-particle":"","parse-names":false,"suffix":""}],"container-title":"Drug and Alcohol Dependence","id":"ITEM-1","issued":{"date-parts":[["2015"]]},"page":"170-174","publisher":"Elsevier Ireland Ltd","title":"Internal reliability of the alcohol-related visual probe task is increased by utilising personalised stimuli and eye-tracking","type":"article-journal","volume":"155"},"uris":["http://www.mendeley.com/documents/?uuid=0c19ff78-b233-42a8-ba76-d748b98595e4"]}],"mendeley":{"formattedCitation":"(56)","plainTextFormattedCitation":"(56)","previouslyFormattedCitation":"(56)"},"properties":{"noteIndex":0},"schema":"https://github.com/citation-style-language/schema/raw/master/csl-citation.json"}</w:instrText>
      </w:r>
      <w:r w:rsidR="00F15735"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(56)</w:t>
      </w:r>
      <w:r w:rsidR="00F15735"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4BCFDFE2" w14:textId="647D42AF" w:rsidR="00B95EA2" w:rsidRPr="0041550F" w:rsidRDefault="00C3572E">
      <w:pPr>
        <w:spacing w:after="0" w:line="480" w:lineRule="auto"/>
        <w:ind w:firstLine="720"/>
        <w:jc w:val="both"/>
        <w:rPr>
          <w:rFonts w:ascii="Times New Roman" w:eastAsia="Times New Roman" w:hAnsi="Times New Roman" w:cs="Times New Roman"/>
          <w:sz w:val="24"/>
          <w:szCs w:val="24"/>
        </w:rPr>
      </w:pPr>
      <w:bookmarkStart w:id="9" w:name="_heading=h.qsswfukhombx" w:colFirst="0" w:colLast="0"/>
      <w:bookmarkEnd w:id="9"/>
      <w:r w:rsidRPr="0041550F">
        <w:rPr>
          <w:rFonts w:ascii="Times New Roman" w:eastAsia="Times New Roman" w:hAnsi="Times New Roman" w:cs="Times New Roman"/>
          <w:sz w:val="24"/>
          <w:szCs w:val="24"/>
        </w:rPr>
        <w:t xml:space="preserve">Despite its integral role in effect size estimates and reproducibility </w:t>
      </w:r>
      <w:r w:rsidR="002918B1"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{"citationItems":[{"id":"ITEM-1","itemData":{"abstract":"The present article emphasizes that measurement issues must be explicitly considered even in studies that focus on substantive questions. First, dynamics associated with insuf- ficient attention being paid to score reliabilities in substantive studies are discussed. Next, reasons to adjust effect size indices for score unreliability are presented. Finally, some procedures for adjusting effect sizes for score reliability are briefly reviewed.","author":[{"dropping-particle":"","family":"Baugh","given":"Frank","non-dropping-particle":"","parse-names":false,"suffix":""}],"container-title":"Journal of Applied Psychology","id":"ITEM-1","issue":"2","issued":{"date-parts":[["2002"]]},"page":"254-263","title":"Correcting Effect Sizes for Score Reliability :","type":"article-journal","volume":"62"},"uris":["http://www.mendeley.com/documents/?uuid=102581cd-02a2-40e6-8da3-8c224066a1bd"]}],"mendeley":{"formattedCitation":"(57)","plainTextFormattedCitation":"(57)","previouslyFormattedCitation":"(57)"},"properties":{"noteIndex":0},"schema":"https://github.com/citation-style-language/schema/raw/master/csl-citation.json"}</w:instrText>
      </w:r>
      <w:r w:rsidR="002918B1"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(57)</w:t>
      </w:r>
      <w:r w:rsidR="002918B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r w:rsidR="00513851" w:rsidRPr="0041550F">
        <w:rPr>
          <w:rFonts w:ascii="Times New Roman" w:eastAsia="Times New Roman" w:hAnsi="Times New Roman" w:cs="Times New Roman"/>
          <w:sz w:val="24"/>
          <w:szCs w:val="24"/>
        </w:rPr>
        <w:t xml:space="preserve">reliability </w:t>
      </w:r>
      <w:r w:rsidR="00345CE9" w:rsidRPr="0041550F">
        <w:rPr>
          <w:rFonts w:ascii="Times New Roman" w:eastAsia="Times New Roman" w:hAnsi="Times New Roman" w:cs="Times New Roman"/>
          <w:sz w:val="24"/>
          <w:szCs w:val="24"/>
        </w:rPr>
        <w:t>was</w:t>
      </w:r>
      <w:r w:rsidR="00513851" w:rsidRPr="0041550F">
        <w:rPr>
          <w:rFonts w:ascii="Times New Roman" w:eastAsia="Times New Roman" w:hAnsi="Times New Roman" w:cs="Times New Roman"/>
          <w:sz w:val="24"/>
          <w:szCs w:val="24"/>
        </w:rPr>
        <w:t xml:space="preserve"> </w:t>
      </w:r>
      <w:r w:rsidR="00073EBB" w:rsidRPr="0041550F">
        <w:rPr>
          <w:rFonts w:ascii="Times New Roman" w:eastAsia="Times New Roman" w:hAnsi="Times New Roman" w:cs="Times New Roman"/>
          <w:sz w:val="24"/>
          <w:szCs w:val="24"/>
        </w:rPr>
        <w:t>assessed</w:t>
      </w:r>
      <w:r w:rsidR="00513851" w:rsidRPr="0041550F">
        <w:rPr>
          <w:rFonts w:ascii="Times New Roman" w:eastAsia="Times New Roman" w:hAnsi="Times New Roman" w:cs="Times New Roman"/>
          <w:sz w:val="24"/>
          <w:szCs w:val="24"/>
        </w:rPr>
        <w:t xml:space="preserve"> for</w:t>
      </w:r>
      <w:r w:rsidR="00073EBB" w:rsidRPr="0041550F">
        <w:rPr>
          <w:rFonts w:ascii="Times New Roman" w:eastAsia="Times New Roman" w:hAnsi="Times New Roman" w:cs="Times New Roman"/>
          <w:sz w:val="24"/>
          <w:szCs w:val="24"/>
        </w:rPr>
        <w:t xml:space="preserve"> only</w:t>
      </w:r>
      <w:r w:rsidR="00513851" w:rsidRPr="0041550F">
        <w:rPr>
          <w:rFonts w:ascii="Times New Roman" w:eastAsia="Times New Roman" w:hAnsi="Times New Roman" w:cs="Times New Roman"/>
          <w:sz w:val="24"/>
          <w:szCs w:val="24"/>
        </w:rPr>
        <w:t xml:space="preserve"> </w:t>
      </w:r>
      <w:r w:rsidR="0043708B" w:rsidRPr="0041550F">
        <w:rPr>
          <w:rFonts w:ascii="Times New Roman" w:eastAsia="Times New Roman" w:hAnsi="Times New Roman" w:cs="Times New Roman"/>
          <w:sz w:val="24"/>
          <w:szCs w:val="24"/>
        </w:rPr>
        <w:t>2</w:t>
      </w:r>
      <w:r w:rsidR="00513851" w:rsidRPr="0041550F">
        <w:rPr>
          <w:rFonts w:ascii="Times New Roman" w:eastAsia="Times New Roman" w:hAnsi="Times New Roman" w:cs="Times New Roman"/>
          <w:sz w:val="24"/>
          <w:szCs w:val="24"/>
        </w:rPr>
        <w:t>2</w:t>
      </w:r>
      <w:r w:rsidR="0043708B" w:rsidRPr="0041550F">
        <w:rPr>
          <w:rFonts w:ascii="Times New Roman" w:eastAsia="Times New Roman" w:hAnsi="Times New Roman" w:cs="Times New Roman"/>
          <w:sz w:val="24"/>
          <w:szCs w:val="24"/>
        </w:rPr>
        <w:t>.</w:t>
      </w:r>
      <w:r w:rsidR="00513851" w:rsidRPr="0041550F">
        <w:rPr>
          <w:rFonts w:ascii="Times New Roman" w:eastAsia="Times New Roman" w:hAnsi="Times New Roman" w:cs="Times New Roman"/>
          <w:sz w:val="24"/>
          <w:szCs w:val="24"/>
        </w:rPr>
        <w:t>06</w:t>
      </w:r>
      <w:r w:rsidRPr="0041550F">
        <w:rPr>
          <w:rFonts w:ascii="Times New Roman" w:eastAsia="Times New Roman" w:hAnsi="Times New Roman" w:cs="Times New Roman"/>
          <w:sz w:val="24"/>
          <w:szCs w:val="24"/>
        </w:rPr>
        <w:t xml:space="preserve">% </w:t>
      </w:r>
      <w:r w:rsidR="00B059B0" w:rsidRPr="0041550F">
        <w:rPr>
          <w:rFonts w:ascii="Times New Roman" w:eastAsia="Times New Roman" w:hAnsi="Times New Roman" w:cs="Times New Roman"/>
          <w:sz w:val="24"/>
          <w:szCs w:val="24"/>
        </w:rPr>
        <w:t xml:space="preserve">of </w:t>
      </w:r>
      <w:r w:rsidR="00D938DE" w:rsidRPr="0041550F">
        <w:rPr>
          <w:rFonts w:ascii="Times New Roman" w:eastAsia="Times New Roman" w:hAnsi="Times New Roman" w:cs="Times New Roman"/>
          <w:sz w:val="24"/>
          <w:szCs w:val="24"/>
        </w:rPr>
        <w:t xml:space="preserve">the reviewed </w:t>
      </w:r>
      <w:r w:rsidR="00D95EF3" w:rsidRPr="0041550F">
        <w:rPr>
          <w:rFonts w:ascii="Times New Roman" w:eastAsia="Times New Roman" w:hAnsi="Times New Roman" w:cs="Times New Roman"/>
          <w:sz w:val="24"/>
          <w:szCs w:val="24"/>
        </w:rPr>
        <w:t xml:space="preserve">attentional bias </w:t>
      </w:r>
      <w:r w:rsidR="00513851" w:rsidRPr="0041550F">
        <w:rPr>
          <w:rFonts w:ascii="Times New Roman" w:eastAsia="Times New Roman" w:hAnsi="Times New Roman" w:cs="Times New Roman"/>
          <w:sz w:val="24"/>
          <w:szCs w:val="24"/>
        </w:rPr>
        <w:t>tasks</w:t>
      </w:r>
      <w:r w:rsidRPr="0041550F">
        <w:rPr>
          <w:rFonts w:ascii="Times New Roman" w:eastAsia="Times New Roman" w:hAnsi="Times New Roman" w:cs="Times New Roman"/>
          <w:sz w:val="24"/>
          <w:szCs w:val="24"/>
        </w:rPr>
        <w:t xml:space="preserve"> – 1</w:t>
      </w:r>
      <w:r w:rsidR="00EC48BC" w:rsidRPr="0041550F">
        <w:rPr>
          <w:rFonts w:ascii="Times New Roman" w:eastAsia="Times New Roman" w:hAnsi="Times New Roman" w:cs="Times New Roman"/>
          <w:sz w:val="24"/>
          <w:szCs w:val="24"/>
        </w:rPr>
        <w:t>3</w:t>
      </w:r>
      <w:r w:rsidRPr="0041550F">
        <w:rPr>
          <w:rFonts w:ascii="Times New Roman" w:eastAsia="Times New Roman" w:hAnsi="Times New Roman" w:cs="Times New Roman"/>
          <w:sz w:val="24"/>
          <w:szCs w:val="24"/>
        </w:rPr>
        <w:t>.</w:t>
      </w:r>
      <w:r w:rsidR="00EC48BC" w:rsidRPr="0041550F">
        <w:rPr>
          <w:rFonts w:ascii="Times New Roman" w:eastAsia="Times New Roman" w:hAnsi="Times New Roman" w:cs="Times New Roman"/>
          <w:sz w:val="24"/>
          <w:szCs w:val="24"/>
        </w:rPr>
        <w:t>24</w:t>
      </w:r>
      <w:r w:rsidRPr="0041550F">
        <w:rPr>
          <w:rFonts w:ascii="Times New Roman" w:eastAsia="Times New Roman" w:hAnsi="Times New Roman" w:cs="Times New Roman"/>
          <w:sz w:val="24"/>
          <w:szCs w:val="24"/>
        </w:rPr>
        <w:t>% reported internal reliability, 10.</w:t>
      </w:r>
      <w:r w:rsidR="00EC48BC" w:rsidRPr="0041550F">
        <w:rPr>
          <w:rFonts w:ascii="Times New Roman" w:eastAsia="Times New Roman" w:hAnsi="Times New Roman" w:cs="Times New Roman"/>
          <w:sz w:val="24"/>
          <w:szCs w:val="24"/>
        </w:rPr>
        <w:t>29</w:t>
      </w:r>
      <w:r w:rsidRPr="0041550F">
        <w:rPr>
          <w:rFonts w:ascii="Times New Roman" w:eastAsia="Times New Roman" w:hAnsi="Times New Roman" w:cs="Times New Roman"/>
          <w:sz w:val="24"/>
          <w:szCs w:val="24"/>
        </w:rPr>
        <w:t xml:space="preserve">% split-half, and </w:t>
      </w:r>
      <w:r w:rsidR="00EC48BC" w:rsidRPr="0041550F">
        <w:rPr>
          <w:rFonts w:ascii="Times New Roman" w:eastAsia="Times New Roman" w:hAnsi="Times New Roman" w:cs="Times New Roman"/>
          <w:sz w:val="24"/>
          <w:szCs w:val="24"/>
        </w:rPr>
        <w:t>8</w:t>
      </w:r>
      <w:r w:rsidRPr="0041550F">
        <w:rPr>
          <w:rFonts w:ascii="Times New Roman" w:eastAsia="Times New Roman" w:hAnsi="Times New Roman" w:cs="Times New Roman"/>
          <w:sz w:val="24"/>
          <w:szCs w:val="24"/>
        </w:rPr>
        <w:t>.</w:t>
      </w:r>
      <w:r w:rsidR="0043708B" w:rsidRPr="0041550F">
        <w:rPr>
          <w:rFonts w:ascii="Times New Roman" w:eastAsia="Times New Roman" w:hAnsi="Times New Roman" w:cs="Times New Roman"/>
          <w:sz w:val="24"/>
          <w:szCs w:val="24"/>
        </w:rPr>
        <w:t>8</w:t>
      </w:r>
      <w:r w:rsidR="00EC48BC" w:rsidRPr="0041550F">
        <w:rPr>
          <w:rFonts w:ascii="Times New Roman" w:eastAsia="Times New Roman" w:hAnsi="Times New Roman" w:cs="Times New Roman"/>
          <w:sz w:val="24"/>
          <w:szCs w:val="24"/>
        </w:rPr>
        <w:t>2</w:t>
      </w:r>
      <w:r w:rsidRPr="0041550F">
        <w:rPr>
          <w:rFonts w:ascii="Times New Roman" w:eastAsia="Times New Roman" w:hAnsi="Times New Roman" w:cs="Times New Roman"/>
          <w:sz w:val="24"/>
          <w:szCs w:val="24"/>
        </w:rPr>
        <w:t xml:space="preserve">% test-retest (some report </w:t>
      </w:r>
      <w:r w:rsidR="00B31FDB" w:rsidRPr="0041550F">
        <w:rPr>
          <w:rFonts w:ascii="Times New Roman" w:eastAsia="Times New Roman" w:hAnsi="Times New Roman" w:cs="Times New Roman"/>
          <w:sz w:val="24"/>
          <w:szCs w:val="24"/>
        </w:rPr>
        <w:t>a combination</w:t>
      </w:r>
      <w:r w:rsidRPr="0041550F">
        <w:rPr>
          <w:rFonts w:ascii="Times New Roman" w:eastAsia="Times New Roman" w:hAnsi="Times New Roman" w:cs="Times New Roman"/>
          <w:sz w:val="24"/>
          <w:szCs w:val="24"/>
        </w:rPr>
        <w:t>).</w:t>
      </w:r>
      <w:r w:rsidR="007709DC"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Perhaps most strikingly,</w:t>
      </w:r>
      <w:r w:rsidR="00074374" w:rsidRPr="0041550F">
        <w:rPr>
          <w:rFonts w:ascii="Times New Roman" w:eastAsia="Times New Roman" w:hAnsi="Times New Roman" w:cs="Times New Roman"/>
          <w:sz w:val="24"/>
          <w:szCs w:val="24"/>
        </w:rPr>
        <w:t xml:space="preserve"> </w:t>
      </w:r>
      <w:r w:rsidR="00600067" w:rsidRPr="0041550F">
        <w:rPr>
          <w:rFonts w:ascii="Times New Roman" w:eastAsia="Times New Roman" w:hAnsi="Times New Roman" w:cs="Times New Roman"/>
          <w:sz w:val="24"/>
          <w:szCs w:val="24"/>
        </w:rPr>
        <w:t xml:space="preserve">out of </w:t>
      </w:r>
      <w:r w:rsidR="000D5BF5" w:rsidRPr="0041550F">
        <w:rPr>
          <w:rFonts w:ascii="Times New Roman" w:eastAsia="Times New Roman" w:hAnsi="Times New Roman" w:cs="Times New Roman"/>
          <w:sz w:val="24"/>
          <w:szCs w:val="24"/>
        </w:rPr>
        <w:t xml:space="preserve">the </w:t>
      </w:r>
      <w:r w:rsidR="00600067" w:rsidRPr="0041550F">
        <w:rPr>
          <w:rFonts w:ascii="Times New Roman" w:eastAsia="Times New Roman" w:hAnsi="Times New Roman" w:cs="Times New Roman"/>
          <w:sz w:val="24"/>
          <w:szCs w:val="24"/>
        </w:rPr>
        <w:t xml:space="preserve">68 tasks employed, 47.06% were the VPT (18.75% eye tracking) and </w:t>
      </w:r>
      <w:r w:rsidR="00563B0B" w:rsidRPr="0041550F">
        <w:rPr>
          <w:rFonts w:ascii="Times New Roman" w:eastAsia="Times New Roman" w:hAnsi="Times New Roman" w:cs="Times New Roman"/>
          <w:sz w:val="24"/>
          <w:szCs w:val="24"/>
        </w:rPr>
        <w:t xml:space="preserve">a further </w:t>
      </w:r>
      <w:r w:rsidR="00E139C2" w:rsidRPr="0041550F">
        <w:rPr>
          <w:rFonts w:ascii="Times New Roman" w:eastAsia="Times New Roman" w:hAnsi="Times New Roman" w:cs="Times New Roman"/>
          <w:sz w:val="24"/>
          <w:szCs w:val="24"/>
        </w:rPr>
        <w:t>14.71% the Addiction Stroop</w:t>
      </w:r>
      <w:r w:rsidR="00DA1505" w:rsidRPr="0041550F">
        <w:rPr>
          <w:rFonts w:ascii="Times New Roman" w:eastAsia="Times New Roman" w:hAnsi="Times New Roman" w:cs="Times New Roman"/>
          <w:sz w:val="24"/>
          <w:szCs w:val="24"/>
        </w:rPr>
        <w:t>, with only 4.41% reporting acceptable reliability</w:t>
      </w:r>
      <w:r w:rsidR="009B71DD" w:rsidRPr="0041550F">
        <w:rPr>
          <w:rFonts w:ascii="Times New Roman" w:eastAsia="Times New Roman" w:hAnsi="Times New Roman" w:cs="Times New Roman"/>
          <w:sz w:val="24"/>
          <w:szCs w:val="24"/>
        </w:rPr>
        <w:t xml:space="preserve"> explicitly</w:t>
      </w:r>
      <w:r w:rsidR="00E139C2" w:rsidRPr="0041550F">
        <w:rPr>
          <w:rFonts w:ascii="Times New Roman" w:eastAsia="Times New Roman" w:hAnsi="Times New Roman" w:cs="Times New Roman"/>
          <w:sz w:val="24"/>
          <w:szCs w:val="24"/>
        </w:rPr>
        <w:t>.</w:t>
      </w:r>
      <w:r w:rsidR="00DA1505"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The poor psychometric properties of </w:t>
      </w:r>
      <w:r w:rsidR="00DD0A3C" w:rsidRPr="0041550F">
        <w:rPr>
          <w:rFonts w:ascii="Times New Roman" w:eastAsia="Times New Roman" w:hAnsi="Times New Roman" w:cs="Times New Roman"/>
          <w:sz w:val="24"/>
          <w:szCs w:val="24"/>
        </w:rPr>
        <w:t>some</w:t>
      </w:r>
      <w:r w:rsidRPr="0041550F">
        <w:rPr>
          <w:rFonts w:ascii="Times New Roman" w:eastAsia="Times New Roman" w:hAnsi="Times New Roman" w:cs="Times New Roman"/>
          <w:sz w:val="24"/>
          <w:szCs w:val="24"/>
        </w:rPr>
        <w:t xml:space="preserve"> cognitive measures pose a serious issue for the interpretation of research findings and</w:t>
      </w:r>
      <w:r w:rsidR="009B71DD" w:rsidRPr="0041550F">
        <w:rPr>
          <w:rFonts w:ascii="Times New Roman" w:eastAsia="Times New Roman" w:hAnsi="Times New Roman" w:cs="Times New Roman"/>
          <w:sz w:val="24"/>
          <w:szCs w:val="24"/>
        </w:rPr>
        <w:t>, again,</w:t>
      </w:r>
      <w:r w:rsidRPr="0041550F">
        <w:rPr>
          <w:rFonts w:ascii="Times New Roman" w:eastAsia="Times New Roman" w:hAnsi="Times New Roman" w:cs="Times New Roman"/>
          <w:sz w:val="24"/>
          <w:szCs w:val="24"/>
        </w:rPr>
        <w:t xml:space="preserve"> may hamper scientific progress in this </w:t>
      </w:r>
      <w:r w:rsidRPr="0041550F">
        <w:rPr>
          <w:rFonts w:ascii="Times New Roman" w:eastAsia="Times New Roman" w:hAnsi="Times New Roman" w:cs="Times New Roman"/>
          <w:sz w:val="24"/>
          <w:szCs w:val="24"/>
        </w:rPr>
        <w:lastRenderedPageBreak/>
        <w:t>field (</w:t>
      </w:r>
      <w:r w:rsidR="002918B1" w:rsidRPr="0041550F">
        <w:rPr>
          <w:rFonts w:ascii="Times New Roman" w:eastAsia="Times New Roman" w:hAnsi="Times New Roman" w:cs="Times New Roman"/>
          <w:sz w:val="24"/>
          <w:szCs w:val="24"/>
        </w:rPr>
        <w:t xml:space="preserve">see </w:t>
      </w:r>
      <w:r w:rsidR="002918B1" w:rsidRPr="0041550F">
        <w:rPr>
          <w:rFonts w:ascii="Times New Roman" w:eastAsia="Times New Roman" w:hAnsi="Times New Roman" w:cs="Times New Roman"/>
          <w:sz w:val="24"/>
          <w:szCs w:val="24"/>
        </w:rPr>
        <w:fldChar w:fldCharType="begin" w:fldLock="1"/>
      </w:r>
      <w:r w:rsidR="00566F76" w:rsidRPr="0041550F">
        <w:rPr>
          <w:rFonts w:ascii="Times New Roman" w:eastAsia="Times New Roman" w:hAnsi="Times New Roman" w:cs="Times New Roman"/>
          <w:sz w:val="24"/>
          <w:szCs w:val="24"/>
        </w:rPr>
        <w:instrText>ADDIN CSL_CITATION {"citationItems":[{"id":"ITEM-1","itemData":{"DOI":"10.1016/j.addbeh.2019.106117","ISSN":"18736327","PMID":"31522132","abstract":"Cognitive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Behaviors","id":"ITEM-1","issue":"May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mendeley":{"formattedCitation":"(58)","manualFormatting":"58)","plainTextFormattedCitation":"(58)","previouslyFormattedCitation":"(58)"},"properties":{"noteIndex":0},"schema":"https://github.com/citation-style-language/schema/raw/master/csl-citation.json"}</w:instrText>
      </w:r>
      <w:r w:rsidR="002918B1"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58)</w:t>
      </w:r>
      <w:r w:rsidR="002918B1" w:rsidRPr="0041550F">
        <w:rPr>
          <w:rFonts w:ascii="Times New Roman" w:eastAsia="Times New Roman" w:hAnsi="Times New Roman" w:cs="Times New Roman"/>
          <w:sz w:val="24"/>
          <w:szCs w:val="24"/>
        </w:rPr>
        <w:fldChar w:fldCharType="end"/>
      </w:r>
      <w:r w:rsidR="0028487E" w:rsidRPr="0041550F">
        <w:rPr>
          <w:rFonts w:ascii="Times New Roman" w:eastAsia="Times New Roman" w:hAnsi="Times New Roman" w:cs="Times New Roman"/>
          <w:sz w:val="24"/>
          <w:szCs w:val="24"/>
        </w:rPr>
        <w:t>. W</w:t>
      </w:r>
      <w:r w:rsidR="0020794D" w:rsidRPr="0041550F">
        <w:rPr>
          <w:rFonts w:ascii="Times New Roman" w:eastAsia="Times New Roman" w:hAnsi="Times New Roman" w:cs="Times New Roman"/>
          <w:sz w:val="24"/>
          <w:szCs w:val="24"/>
        </w:rPr>
        <w:t xml:space="preserve">ithout investigating and reporting transparently the reliability of cognitive tasks, it is impossible to delineate </w:t>
      </w:r>
      <w:r w:rsidR="00251975" w:rsidRPr="0041550F">
        <w:rPr>
          <w:rFonts w:ascii="Times New Roman" w:eastAsia="Times New Roman" w:hAnsi="Times New Roman" w:cs="Times New Roman"/>
          <w:sz w:val="24"/>
          <w:szCs w:val="24"/>
        </w:rPr>
        <w:t>whether findings from this field are robust or a result of</w:t>
      </w:r>
      <w:r w:rsidR="0020794D" w:rsidRPr="0041550F">
        <w:rPr>
          <w:rFonts w:ascii="Times New Roman" w:eastAsia="Times New Roman" w:hAnsi="Times New Roman" w:cs="Times New Roman"/>
          <w:sz w:val="24"/>
          <w:szCs w:val="24"/>
        </w:rPr>
        <w:t xml:space="preserve"> measurement error</w:t>
      </w:r>
      <w:r w:rsidR="00251975" w:rsidRPr="0041550F">
        <w:rPr>
          <w:rFonts w:ascii="Times New Roman" w:eastAsia="Times New Roman" w:hAnsi="Times New Roman" w:cs="Times New Roman"/>
          <w:sz w:val="24"/>
          <w:szCs w:val="24"/>
        </w:rPr>
        <w:t xml:space="preserve"> </w:t>
      </w:r>
      <w:r w:rsidR="0058224F"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58224F"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58224F" w:rsidRPr="0041550F">
        <w:rPr>
          <w:rFonts w:ascii="Times New Roman" w:eastAsia="Times New Roman" w:hAnsi="Times New Roman" w:cs="Times New Roman"/>
          <w:sz w:val="24"/>
          <w:szCs w:val="24"/>
        </w:rPr>
        <w:fldChar w:fldCharType="end"/>
      </w:r>
      <w:r w:rsidR="0020794D" w:rsidRPr="0041550F">
        <w:rPr>
          <w:rFonts w:ascii="Times New Roman" w:eastAsia="Times New Roman" w:hAnsi="Times New Roman" w:cs="Times New Roman"/>
          <w:sz w:val="24"/>
          <w:szCs w:val="24"/>
        </w:rPr>
        <w:t>.</w:t>
      </w:r>
      <w:bookmarkStart w:id="10" w:name="_heading=h.da53oc7d7ecd" w:colFirst="0" w:colLast="0"/>
      <w:bookmarkEnd w:id="10"/>
    </w:p>
    <w:p w14:paraId="1F92C17B" w14:textId="77777777" w:rsidR="008222D5" w:rsidRPr="0041550F" w:rsidRDefault="008222D5">
      <w:pPr>
        <w:spacing w:after="0" w:line="480" w:lineRule="auto"/>
        <w:ind w:firstLine="720"/>
        <w:jc w:val="both"/>
        <w:rPr>
          <w:rFonts w:ascii="Times New Roman" w:eastAsia="Times New Roman" w:hAnsi="Times New Roman" w:cs="Times New Roman"/>
          <w:sz w:val="24"/>
          <w:szCs w:val="24"/>
        </w:rPr>
      </w:pPr>
    </w:p>
    <w:p w14:paraId="00000032" w14:textId="13854B18" w:rsidR="00CB2059" w:rsidRPr="0041550F" w:rsidRDefault="00CF6A97">
      <w:pPr>
        <w:spacing w:after="0" w:line="480" w:lineRule="auto"/>
      </w:pPr>
      <w:r w:rsidRPr="0041550F">
        <w:rPr>
          <w:rFonts w:ascii="Times New Roman" w:eastAsia="Times New Roman" w:hAnsi="Times New Roman" w:cs="Times New Roman"/>
          <w:b/>
          <w:i/>
          <w:sz w:val="24"/>
          <w:szCs w:val="24"/>
        </w:rPr>
        <w:t xml:space="preserve">VARIABILITY </w:t>
      </w:r>
      <w:r w:rsidR="00C3572E" w:rsidRPr="0041550F">
        <w:rPr>
          <w:rFonts w:ascii="Times New Roman" w:eastAsia="Times New Roman" w:hAnsi="Times New Roman" w:cs="Times New Roman"/>
          <w:b/>
          <w:i/>
          <w:sz w:val="24"/>
          <w:szCs w:val="24"/>
        </w:rPr>
        <w:t xml:space="preserve">IN EXPERIMENTAL DESIGN &amp; ANALYSIS </w:t>
      </w:r>
      <w:r w:rsidRPr="0041550F">
        <w:rPr>
          <w:rFonts w:ascii="Times New Roman" w:eastAsia="Times New Roman" w:hAnsi="Times New Roman" w:cs="Times New Roman"/>
          <w:b/>
          <w:i/>
          <w:sz w:val="24"/>
          <w:szCs w:val="24"/>
        </w:rPr>
        <w:t>DECISIONS</w:t>
      </w:r>
    </w:p>
    <w:p w14:paraId="00000033" w14:textId="1BF3E00B" w:rsidR="00CB2059" w:rsidRPr="0041550F" w:rsidRDefault="00C3572E">
      <w:pPr>
        <w:shd w:val="clear" w:color="auto" w:fill="FFFFFF"/>
        <w:spacing w:after="0" w:line="480" w:lineRule="auto"/>
        <w:jc w:val="both"/>
        <w:rPr>
          <w:rFonts w:ascii="Times New Roman" w:eastAsia="Times New Roman" w:hAnsi="Times New Roman" w:cs="Times New Roman"/>
          <w:sz w:val="24"/>
          <w:szCs w:val="24"/>
        </w:rPr>
      </w:pPr>
      <w:bookmarkStart w:id="11" w:name="_heading=h.aduylsq3sgj9" w:colFirst="0" w:colLast="0"/>
      <w:bookmarkEnd w:id="11"/>
      <w:r w:rsidRPr="0041550F">
        <w:rPr>
          <w:rFonts w:ascii="Times New Roman" w:eastAsia="Times New Roman" w:hAnsi="Times New Roman" w:cs="Times New Roman"/>
          <w:sz w:val="24"/>
          <w:szCs w:val="24"/>
        </w:rPr>
        <w:t xml:space="preserve">There is substantial variability </w:t>
      </w:r>
      <w:r w:rsidR="00B8236E" w:rsidRPr="0041550F">
        <w:rPr>
          <w:rFonts w:ascii="Times New Roman" w:eastAsia="Times New Roman" w:hAnsi="Times New Roman" w:cs="Times New Roman"/>
          <w:sz w:val="24"/>
          <w:szCs w:val="24"/>
        </w:rPr>
        <w:t xml:space="preserve">and opacity </w:t>
      </w:r>
      <w:r w:rsidRPr="0041550F">
        <w:rPr>
          <w:rFonts w:ascii="Times New Roman" w:eastAsia="Times New Roman" w:hAnsi="Times New Roman" w:cs="Times New Roman"/>
          <w:sz w:val="24"/>
          <w:szCs w:val="24"/>
        </w:rPr>
        <w:t>in the measures used to operationalise alcohol-related cognition, and many intricate design decisions that affect this further. The Addiction Stroop task, for example, can differ in the way it is administered (paper-pencil vs. computerised), the response type measured (key press vs. verbal), the number and type of stimuli presented, and the design (block vs. mixed).</w:t>
      </w:r>
      <w:r w:rsidR="006F7F77"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Unless reported </w:t>
      </w:r>
      <w:r w:rsidR="00FD3D45" w:rsidRPr="0041550F">
        <w:rPr>
          <w:rFonts w:ascii="Times New Roman" w:eastAsia="Times New Roman" w:hAnsi="Times New Roman" w:cs="Times New Roman"/>
          <w:sz w:val="24"/>
          <w:szCs w:val="24"/>
        </w:rPr>
        <w:t>transparently</w:t>
      </w:r>
      <w:r w:rsidRPr="0041550F">
        <w:rPr>
          <w:rFonts w:ascii="Times New Roman" w:eastAsia="Times New Roman" w:hAnsi="Times New Roman" w:cs="Times New Roman"/>
          <w:sz w:val="24"/>
          <w:szCs w:val="24"/>
        </w:rPr>
        <w:t xml:space="preserve">, such flexibility in methodological choice is likely to restrict the generalisability of findings across studies. Further, seemingly subtle design modifications can impact </w:t>
      </w:r>
      <w:r w:rsidR="009B71DD" w:rsidRPr="0041550F">
        <w:rPr>
          <w:rFonts w:ascii="Times New Roman" w:eastAsia="Times New Roman" w:hAnsi="Times New Roman" w:cs="Times New Roman"/>
          <w:sz w:val="24"/>
          <w:szCs w:val="24"/>
        </w:rPr>
        <w:t xml:space="preserve">upon </w:t>
      </w:r>
      <w:r w:rsidRPr="0041550F">
        <w:rPr>
          <w:rFonts w:ascii="Times New Roman" w:eastAsia="Times New Roman" w:hAnsi="Times New Roman" w:cs="Times New Roman"/>
          <w:sz w:val="24"/>
          <w:szCs w:val="24"/>
        </w:rPr>
        <w:t xml:space="preserve">the psychometric properties of </w:t>
      </w:r>
      <w:r w:rsidR="00852EAD"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 xml:space="preserve"> task </w:t>
      </w:r>
      <w:r w:rsidR="00355A58"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{"citationItems":[{"id":"ITEM-1","itemData":{"DOI":"10.3389/fpsyg.2017.01482","ISSN":"16641078","abstract":"Investigating individual differences in cognition requires addressing questions not often thought about in standard experimental designs, especially regarding the psychometric properties of the task. Using the AX-CPT cognitive control task as a case study example, we address four concerns that one may encounter when researching the topic of individual differences in cognition. First, we demonstrate the importance of variability in task scores, which in turn directly impacts reliability, particularly when comparing correlations in different populations. Second, we demonstrate the importance of variability and reliability for evaluating potential failures to replicate predicted correlations, even within the same population. Third, we demonstrate how researchers can turn to evaluating psychometric properties as a way of evaluating the feasibility of utilizing the task in new settings (e.g., online administration). Lastly, we show how the examination of psychometric properties can help researchers make informed decisions when designing a study, such as determining the appropriate number of trials for a task.","author":[{"dropping-particle":"","family":"Cooper","given":"Shelly R.","non-dropping-particle":"","parse-names":false,"suffix":""},{"dropping-particle":"","family":"Gonthier","given":"Corentin","non-dropping-particle":"","parse-names":false,"suffix":""},{"dropping-particle":"","family":"Barch","given":"Deanna M.","non-dropping-particle":"","parse-names":false,"suffix":""},{"dropping-particle":"","family":"Braver","given":"Todd S.","non-dropping-particle":"","parse-names":false,"suffix":""}],"container-title":"Frontiers in Psychology","id":"ITEM-1","issue":"SEP","issued":{"date-parts":[["2017"]]},"page":"1-16","title":"The role of psychometrics in individual differences research in cognition: A case study of the AX-CPT","type":"article-journal","volume":"8"},"uris":["http://www.mendeley.com/documents/?uuid=0c105f92-cf41-4fd0-bd85-d4dd4b7f4ded"]}],"mendeley":{"formattedCitation":"(59)","plainTextFormattedCitation":"(59)","previouslyFormattedCitation":"(59)"},"properties":{"noteIndex":0},"schema":"https://github.com/citation-style-language/schema/raw/master/csl-citation.json"}</w:instrText>
      </w:r>
      <w:r w:rsidR="00355A58"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(59)</w:t>
      </w:r>
      <w:r w:rsidR="00355A58" w:rsidRPr="0041550F">
        <w:rPr>
          <w:rFonts w:ascii="Times New Roman" w:eastAsia="Times New Roman" w:hAnsi="Times New Roman" w:cs="Times New Roman"/>
          <w:sz w:val="24"/>
          <w:szCs w:val="24"/>
        </w:rPr>
        <w:fldChar w:fldCharType="end"/>
      </w:r>
      <w:r w:rsidR="00050990" w:rsidRPr="0041550F">
        <w:rPr>
          <w:rFonts w:ascii="Times New Roman" w:eastAsia="Times New Roman" w:hAnsi="Times New Roman" w:cs="Times New Roman"/>
          <w:sz w:val="24"/>
          <w:szCs w:val="24"/>
        </w:rPr>
        <w:t xml:space="preserve"> and statistical power </w:t>
      </w:r>
      <w:r w:rsidR="00050990"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{"citationItems":[{"id":"ITEM-1","itemData":{"DOI":"10.1037/met0000337","ISSN":"1082989X","abstract":"When designing experimental studies with human participants, experimenters must decide how many trials each participant will complete, as well as how many participants to test. Most discussion of statistical power (the ability of a study design to detect an effect) has focused on sample size, and assumed sufficient trials. Here we explore the influence of both factors on statistical power, represented as a 2-dimensional plot on which iso-power contours can be visualized. We demonstrate the conditions under which the number of trials is particularly important, that is, when the within-participant variance is large relative to the between-participants variance. We then derive power contour plots using existing data sets for 8 experimental paradigms and methodologies (including reaction times, sensory thresholds, fMRI, MEG, and EEG), and provide example code to calculate estimates of the within- and betweenparticipants variance for each method. In all cases, the within-participant variance was larger than the between-participants variance, meaning that the number of trials has a meaningful influence on statistical power in commonly used paradigms. An online tool is provided (https://shiny.york.ac.uk/powercontours/) for generating power contours, from which the optimal combination of trials and participants can be calculated when designing future studies.","author":[{"dropping-particle":"","family":"Baker","given":"Daniel H.","non-dropping-particle":"","parse-names":false,"suffix":""},{"dropping-particle":"","family":"Vilidaite","given":"Greta","non-dropping-particle":"","parse-names":false,"suffix":""},{"dropping-particle":"","family":"Lygo","given":"Freya A.","non-dropping-particle":"","parse-names":false,"suffix":""},{"dropping-particle":"","family":"Smith","given":"Anika K.","non-dropping-particle":"","parse-names":false,"suffix":""},{"dropping-particle":"","family":"Flack","given":"Tessa R.","non-dropping-particle":"","parse-names":false,"suffix":""},{"dropping-particle":"","family":"Gouws","given":"André D.","non-dropping-particle":"","parse-names":false,"suffix":""},{"dropping-particle":"","family":"Andrews","given":"Timothy J.","non-dropping-particle":"","parse-names":false,"suffix":""}],"container-title":"Psychological Methods","id":"ITEM-1","issued":{"date-parts":[["2020"]]},"title":"Power Contours: Optimising Sample Size and Precision in Experimental Psychology and Human Neuroscience","type":"article-journal"},"uris":["http://www.mendeley.com/documents/?uuid=be802529-b3fe-4836-b415-8091184e251e"]}],"mendeley":{"formattedCitation":"(60)","plainTextFormattedCitation":"(60)","previouslyFormattedCitation":"(60)"},"properties":{"noteIndex":0},"schema":"https://github.com/citation-style-language/schema/raw/master/csl-citation.json"}</w:instrText>
      </w:r>
      <w:r w:rsidR="00050990"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(60)</w:t>
      </w:r>
      <w:r w:rsidR="00050990"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34" w14:textId="55D6532A" w:rsidR="00CB2059" w:rsidRPr="0041550F" w:rsidRDefault="00C3572E">
      <w:pPr>
        <w:spacing w:after="0" w:line="480" w:lineRule="auto"/>
        <w:ind w:firstLine="720"/>
        <w:jc w:val="both"/>
        <w:rPr>
          <w:rFonts w:ascii="Arial" w:eastAsia="Arial" w:hAnsi="Arial" w:cs="Arial"/>
          <w:b/>
          <w:sz w:val="17"/>
          <w:szCs w:val="17"/>
        </w:rPr>
      </w:pPr>
      <w:bookmarkStart w:id="12" w:name="_heading=h.noqa4y2zc215" w:colFirst="0" w:colLast="0"/>
      <w:bookmarkEnd w:id="12"/>
      <w:r w:rsidRPr="0041550F">
        <w:rPr>
          <w:rFonts w:ascii="Times New Roman" w:eastAsia="Times New Roman" w:hAnsi="Times New Roman" w:cs="Times New Roman"/>
          <w:sz w:val="24"/>
          <w:szCs w:val="24"/>
        </w:rPr>
        <w:t xml:space="preserve">Alongside heterogeneous stimuli presentation protocols, there is also evidence to suggest a lack of prescriptive analysis strategies across studies. Jones et al. </w:t>
      </w:r>
      <w:r w:rsidR="00020ED1"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Behaviors","id":"ITEM-1","issue":"8","issued":{"date-parts":[["2018"]]},"page":"922-932","title":"Failed Attempts to Improve the Reliability of the Alcohol Visual Probe Task Following Empirical Recommendations","type":"article-journal","volume":"32"},"uris":["http://www.mendeley.com/documents/?uuid=a035d482-cc55-4632-a4d4-6d99ecac2feb"]}],"mendeley":{"formattedCitation":"(61)","plainTextFormattedCitation":"(61)","previouslyFormattedCitation":"(61)"},"properties":{"noteIndex":0},"schema":"https://github.com/citation-style-language/schema/raw/master/csl-citation.json"}</w:instrText>
      </w:r>
      <w:r w:rsidR="00020ED1"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(61)</w:t>
      </w:r>
      <w:r w:rsidR="00020ED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noted </w:t>
      </w:r>
      <w:r w:rsidR="00852EAD" w:rsidRPr="0041550F">
        <w:rPr>
          <w:rFonts w:ascii="Times New Roman" w:eastAsia="Times New Roman" w:hAnsi="Times New Roman" w:cs="Times New Roman"/>
          <w:sz w:val="24"/>
          <w:szCs w:val="24"/>
        </w:rPr>
        <w:t>considerable</w:t>
      </w:r>
      <w:r w:rsidRPr="0041550F">
        <w:rPr>
          <w:rFonts w:ascii="Times New Roman" w:eastAsia="Times New Roman" w:hAnsi="Times New Roman" w:cs="Times New Roman"/>
          <w:sz w:val="24"/>
          <w:szCs w:val="24"/>
        </w:rPr>
        <w:t xml:space="preserve"> flexibility in the way that RT outliers were handled in the VPT. In addition, they demonstrated that analysing the same data using different cut-off values led to different estimates of internal consistency and test-retest reliability. Similarly, Jones et al. </w:t>
      </w:r>
      <w:r w:rsidR="00020ED1"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{"citationItems":[{"id":"ITEM-1","itemData":{"DOI":"https://doi.org/10.31234/osf.io/ws8xp","author":[{"dropping-particle":"","family":"Andrew Jones, Jay Duckworth","given":"Paul Christiansen","non-dropping-particle":"","parse-names":false,"suffix":""}],"id":"ITEM-1","issued":{"date-parts":[["2020"]]},"title":"May I have your attention, please? Methodological and analytical flexibility in the Addiction Stroop","type":"article"},"uris":["http://www.mendeley.com/documents/?uuid=3d7be032-10a2-40c1-b829-d2104a15c05f"]}],"mendeley":{"formattedCitation":"(62)","plainTextFormattedCitation":"(62)","previouslyFormattedCitation":"(62)"},"properties":{"noteIndex":0},"schema":"https://github.com/citation-style-language/schema/raw/master/csl-citation.json"}</w:instrText>
      </w:r>
      <w:r w:rsidR="00020ED1"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(62)</w:t>
      </w:r>
      <w:r w:rsidR="00020ED1"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conducted a systematic review of analysis decisions within alcohol and smoking Stroop studies</w:t>
      </w:r>
      <w:r w:rsidR="009B7837"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and estimated that over 7000 analysis pipelines could be attempted. </w:t>
      </w:r>
      <w:r w:rsidR="00047476" w:rsidRPr="0041550F">
        <w:rPr>
          <w:rFonts w:ascii="Times New Roman" w:eastAsia="Times New Roman" w:hAnsi="Times New Roman" w:cs="Times New Roman"/>
          <w:sz w:val="24"/>
          <w:szCs w:val="24"/>
        </w:rPr>
        <w:t xml:space="preserve">Although </w:t>
      </w:r>
      <w:r w:rsidRPr="0041550F">
        <w:rPr>
          <w:rFonts w:ascii="Times New Roman" w:eastAsia="Times New Roman" w:hAnsi="Times New Roman" w:cs="Times New Roman"/>
          <w:sz w:val="24"/>
          <w:szCs w:val="24"/>
        </w:rPr>
        <w:t xml:space="preserve">these issues </w:t>
      </w:r>
      <w:r w:rsidR="009B71DD" w:rsidRPr="0041550F">
        <w:rPr>
          <w:rFonts w:ascii="Times New Roman" w:eastAsia="Times New Roman" w:hAnsi="Times New Roman" w:cs="Times New Roman"/>
          <w:sz w:val="24"/>
          <w:szCs w:val="24"/>
        </w:rPr>
        <w:t>extend to</w:t>
      </w:r>
      <w:r w:rsidRPr="0041550F">
        <w:rPr>
          <w:rFonts w:ascii="Times New Roman" w:eastAsia="Times New Roman" w:hAnsi="Times New Roman" w:cs="Times New Roman"/>
          <w:sz w:val="24"/>
          <w:szCs w:val="24"/>
        </w:rPr>
        <w:t xml:space="preserve"> </w:t>
      </w:r>
      <w:r w:rsidR="00047476" w:rsidRPr="0041550F">
        <w:rPr>
          <w:rFonts w:ascii="Times New Roman" w:eastAsia="Times New Roman" w:hAnsi="Times New Roman" w:cs="Times New Roman"/>
          <w:sz w:val="24"/>
          <w:szCs w:val="24"/>
        </w:rPr>
        <w:t xml:space="preserve">the </w:t>
      </w:r>
      <w:r w:rsidR="009B71DD" w:rsidRPr="0041550F">
        <w:rPr>
          <w:rFonts w:ascii="Times New Roman" w:eastAsia="Times New Roman" w:hAnsi="Times New Roman" w:cs="Times New Roman"/>
          <w:sz w:val="24"/>
          <w:szCs w:val="24"/>
        </w:rPr>
        <w:t xml:space="preserve">paradigms and </w:t>
      </w:r>
      <w:r w:rsidR="0038499F" w:rsidRPr="0041550F">
        <w:rPr>
          <w:rFonts w:ascii="Times New Roman" w:eastAsia="Times New Roman" w:hAnsi="Times New Roman" w:cs="Times New Roman"/>
          <w:sz w:val="24"/>
          <w:szCs w:val="24"/>
        </w:rPr>
        <w:t xml:space="preserve">techniques </w:t>
      </w:r>
      <w:r w:rsidR="009B71DD" w:rsidRPr="0041550F">
        <w:rPr>
          <w:rFonts w:ascii="Times New Roman" w:eastAsia="Times New Roman" w:hAnsi="Times New Roman" w:cs="Times New Roman"/>
          <w:sz w:val="24"/>
          <w:szCs w:val="24"/>
        </w:rPr>
        <w:t xml:space="preserve">employed </w:t>
      </w:r>
      <w:r w:rsidR="00047476" w:rsidRPr="0041550F">
        <w:rPr>
          <w:rFonts w:ascii="Times New Roman" w:eastAsia="Times New Roman" w:hAnsi="Times New Roman" w:cs="Times New Roman"/>
          <w:sz w:val="24"/>
          <w:szCs w:val="24"/>
        </w:rPr>
        <w:t xml:space="preserve">in other research domains </w:t>
      </w:r>
      <w:r w:rsidRPr="0041550F">
        <w:rPr>
          <w:rFonts w:ascii="Times New Roman" w:eastAsia="Times New Roman" w:hAnsi="Times New Roman" w:cs="Times New Roman"/>
          <w:sz w:val="24"/>
          <w:szCs w:val="24"/>
        </w:rPr>
        <w:t xml:space="preserve">(e.g., fMRI; </w:t>
      </w:r>
      <w:r w:rsidR="0001024C" w:rsidRPr="0041550F">
        <w:rPr>
          <w:rFonts w:ascii="Times New Roman" w:eastAsia="Times New Roman" w:hAnsi="Times New Roman" w:cs="Times New Roman"/>
          <w:sz w:val="24"/>
          <w:szCs w:val="24"/>
        </w:rPr>
        <w:fldChar w:fldCharType="begin" w:fldLock="1"/>
      </w:r>
      <w:r w:rsidR="00941678" w:rsidRPr="0041550F">
        <w:rPr>
          <w:rFonts w:ascii="Times New Roman" w:eastAsia="Times New Roman" w:hAnsi="Times New Roman" w:cs="Times New Roman"/>
          <w:sz w:val="24"/>
          <w:szCs w:val="24"/>
        </w:rPr>
        <w:instrText>ADDIN CSL_CITATION {"citationItems":[{"id":"ITEM-1","itemData":{"DOI":"10.1038/s41586-020-2314-9","ISSN":"14764687","PMID":"32483374","abstract":"Data analysis workflows in many scientific domains have become increasingly complex and flexible. Here we assess the effect of this flexibility on the results of functional magnetic resonance imaging by asking 70 independent teams to analyse the same dataset, testing the same 9 ex-ante hypotheses1. The flexibility of analytical approaches is exemplified by the fact that no two teams chose identical workflows to analyse the data. This flexibility resulted in sizeable variation in the results of hypothesis tests, even for teams whose statistical maps were highly correlated at intermediate stages of the analysis pipeline. Variation in reported results was related to several aspects of analysis methodology. Notably, a meta-analytical approach that aggregated information across teams yielded a significant consensus in activated regions. Furthermore, prediction markets of researchers in the field revealed an overestimation of the likelihood of significant findings, even by researchers with direct knowledge of the dataset2–5. Our findings show that analytical flexibility can have substantial effects on scientific conclusions, and identify factors that may be related to variability in the analysis of functional magnetic resonance imaging. The results emphasize the importance of validating and sharing complex analysis workflows, and demonstrate the need for performing and reporting multiple analyses of the same data. Potential approaches that could be used to mitigate issues related to analytical variability are discussed.","author":[{"dropping-particle":"","family":"Botvinik-Nezer","given":"Rotem","non-dropping-particle":"","parse-names":false,"suffix":""},{"dropping-particle":"","family":"Holzmeister","given":"Felix","non-dropping-particle":"","parse-names":false,"suffix":""},{"dropping-particle":"","family":"Camerer","given":"Colin F.","non-dropping-particle":"","parse-names":false,"suffix":""},{"dropping-particle":"","family":"Dreber","given":"Anna","non-dropping-particle":"","parse-names":false,"suffix":""},{"dropping-particle":"","family":"Huber","given":"Juergen","non-dropping-particle":"","parse-names":false,"suffix":""},{"dropping-particle":"","family":"Johannesson","given":"Magnus","non-dropping-particle":"","parse-names":false,"suffix":""},{"dropping-particle":"","family":"Kirchler","given":"Michael","non-dropping-particle":"","parse-names":false,"suffix":""},{"dropping-particle":"","family":"Iwanir","given":"Roni","non-dropping-particle":"","parse-names":false,"suffix":""},{"dropping-particle":"","family":"Mumford","given":"Jeanette A.","non-dropping-particle":"","parse-names":false,"suffix":""},{"dropping-particle":"","family":"Adcock","given":"R. Alison","non-dropping-particle":"","parse-names":false,"suffix":""},{"dropping-particle":"","family":"Avesani","given":"Paolo","non-dropping-particle":"","parse-names":false,"suffix":""},{"dropping-particle":"","family":"Baczkowski","given":"Blazej M.","non-dropping-particle":"","parse-names":false,"suffix":""},{"dropping-particle":"","family":"Bajracharya","given":"Aahana","non-dropping-particle":"","parse-names":false,"suffix":""},{"dropping-particle":"","family":"Bakst","given":"Leah","non-dropping-particle":"","parse-names":false,"suffix":""},{"dropping-particle":"","family":"Ball","given":"Sheryl","non-dropping-particle":"","parse-names":false,"suffix":""},{"dropping-particle":"","family":"Barilari","given":"Marco","non-dropping-particle":"","parse-names":false,"suffix":""},{"dropping-particle":"","family":"Bault","given":"Nadège","non-dropping-particle":"","parse-names":false,"suffix":""},{"dropping-particle":"","family":"Beaton","given":"Derek","non-dropping-particle":"","parse-names":false,"suffix":""},{"dropping-particle":"","family":"Beitner","given":"Julia","non-dropping-particle":"","parse-names":false,"suffix":""},{"dropping-particle":"","family":"Benoit","given":"Roland G.","non-dropping-particle":"","parse-names":false,"suffix":""},{"dropping-particle":"","family":"Berkers","given":"Ruud M.W.J.","non-dropping-particle":"","parse-names":false,"suffix":""},{"dropping-particle":"","family":"Bhanji","given":"Jamil P.","non-dropping-particle":"","parse-names":false,"suffix":""},{"dropping-particle":"","family":"Biswal","given":"Bharat B.","non-dropping-particle":"","parse-names":false,"suffix":""},{"dropping-particle":"","family":"Bobadilla-Suarez","given":"Sebastian","non-dropping-particle":"","parse-names":false,"suffix":""},{"dropping-particle":"","family":"Bortolini","given":"Tiago","non-dropping-particle":"","parse-names":false,"suffix":""},{"dropping-particle":"","family":"Bottenhorn","given":"Katherine L.","non-dropping-particle":"","parse-names":false,"suffix":""},{"dropping-particle":"","family":"Bowring","given":"Alexander","non-dropping-particle":"","parse-names":false,"suffix":""},{"dropping-particle":"","family":"Braem","given":"Senne","non-dropping-particle":"","parse-names":false,"suffix":""},{"dropping-particle":"","family":"Brooks","given":"Hayley R.","non-dropping-particle":"","parse-names":false,"suffix":""},{"dropping-particle":"","family":"Brudner","given":"Emily G.","non-dropping-particle":"","parse-names":false,"suffix":""},{"dropping-particle":"","family":"Calderon","given":"Cristian B.","non-dropping-particle":"","parse-names":false,"suffix":""},{"dropping-particle":"","family":"Camilleri","given":"Julia A.","non-dropping-particle":"","parse-names":false,"suffix":""},{"dropping-particle":"","family":"Castrellon","given":"Jaime J.","non-dropping-particle":"","parse-names":false,"suffix":""},{"dropping-particle":"","family":"Cecchetti","given":"Luca","non-dropping-particle":"","parse-names":false,"suffix":""},{"dropping-particle":"","family":"Cieslik","given":"Edna C.","non-dropping-particle":"","parse-names":false,"suffix":""},{"dropping-particle":"","family":"Cole","given":"Zachary J.","non-dropping-particle":"","parse-names":false,"suffix":""},{"dropping-particle":"","family":"Collignon","given":"Olivier","non-dropping-particle":"","parse-names":false,"suffix":""},{"dropping-particle":"","family":"Cox","given":"Robert W.","non-dropping-particle":"","parse-names":false,"suffix":""},{"dropping-particle":"","family":"Cunningham","given":"William A.","non-dropping-particle":"","parse-names":false,"suffix":""},{"dropping-particle":"","family":"Czoschke","given":"Stefan","non-dropping-particle":"","parse-names":false,"suffix":""},{"dropping-particle":"","family":"Dadi","given":"Kamalaker","non-dropping-particle":"","parse-names":false,"suffix":""},{"dropping-particle":"","family":"Davis","given":"Charles P.","non-dropping-particle":"","parse-names":false,"suffix":""},{"dropping-particle":"De","family":"Luca","given":"Alberto","non-dropping-particle":"","parse-names":false,"suffix":""},{"dropping-particle":"","family":"Delgado","given":"Mauricio R.","non-dropping-particle":"","parse-names":false,"suffix":""},{"dropping-particle":"","family":"Demetriou","given":"Lysia","non-dropping-particle":"","parse-names":false,"suffix":""},{"dropping-particle":"","family":"Dennison","given":"Jeffrey B.","non-dropping-particle":"","parse-names":false,"suffix":""},{"dropping-particle":"","family":"Di","given":"Xin","non-dropping-particle":"","parse-names":false,"suffix":""},{"dropping-particle":"","family":"Dickie","given":"Erin W.","non-dropping-particle":"","parse-names":false,"suffix":""},{"dropping-particle":"","family":"Dobryakova","given":"Ekaterina","non-dropping-particle":"","parse-names":false,"suffix":""},{"dropping-particle":"","family":"Donnat","given":"Claire L.","non-dropping-particle":"","parse-names":false,"suffix":""},{"dropping-particle":"","family":"Dukart","given":"Juergen","non-dropping-particle":"","parse-names":false,"suffix":""},{"dropping-particle":"","family":"Duncan","given":"Niall W.","non-dropping-particle":"","parse-names":false,"suffix":""},{"dropping-particle":"","family":"Durnez","given":"Joke","non-dropping-particle":"","parse-names":false,"suffix":""},{"dropping-particle":"","family":"Eed","given":"Amr","non-dropping-particle":"","parse-names":false,"suffix":""},{"dropping-particle":"","family":"Eickhoff","given":"Simon B.","non-dropping-particle":"","parse-names":false,"suffix":""},{"dropping-particle":"","family":"Erhart","given":"Andrew","non-dropping-particle":"","parse-names":false,"suffix":""},{"dropping-particle":"","family":"Fontanesi","given":"Laura","non-dropping-particle":"","parse-names":false,"suffix":""},{"dropping-particle":"","family":"Fricke","given":"G. Matthew","non-dropping-particle":"","parse-names":false,"suffix":""},{"dropping-particle":"","family":"Fu","given":"Shiguang","non-dropping-particle":"","parse-names":false,"suffix":""},{"dropping-particle":"","family":"Galván","given":"Adriana","non-dropping-particle":"","parse-names":false,"suffix":""},{"dropping-particle":"","family":"Gau","given":"Remi","non-dropping-particle":"","parse-names":false,"suffix":""},{"dropping-particle":"","family":"Genon","given":"Sarah","non-dropping-particle":"","parse-names":false,"suffix":""},{"dropping-particle":"","family":"Glatard","given":"Tristan","non-dropping-particle":"","parse-names":false,"suffix":""},{"dropping-particle":"","family":"Glerean","given":"Enrico","non-dropping-particle":"","parse-names":false,"suffix":""},{"dropping-particle":"","family":"Goeman","given":"Jelle J.","non-dropping-particle":"","parse-names":false,"suffix":""},{"dropping-particle":"","family":"Golowin","given":"Sergej A.E.","non-dropping-particle":"","parse-names":false,"suffix":""},{"dropping-particle":"","family":"González-García","given":"Carlos","non-dropping-particle":"","parse-names":false,"suffix":""},{"dropping-particle":"","family":"Gorgolewski","given":"Krzysztof J.","non-dropping-particle":"","parse-names":false,"suffix":""},{"dropping-particle":"","family":"Grady","given":"Cheryl L.","non-dropping-particle":"","parse-names":false,"suffix":""},{"dropping-particle":"","family":"Green","given":"Mikella A.","non-dropping-particle":"","parse-names":false,"suffix":""},{"dropping-particle":"","family":"Guassi Moreira","given":"João F.","non-dropping-particle":"","parse-names":false,"suffix":""},{"dropping-particle":"","family":"Guest","given":"Olivia","non-dropping-particle":"","parse-names":false,"suffix":""},{"dropping-particle":"","family":"Hakimi","given":"Shabnam","non-dropping-particle":"","parse-names":false,"suffix":""},{"dropping-particle":"","family":"Hamilton","given":"J. Paul","non-dropping-particle":"","parse-names":false,"suffix":""},{"dropping-particle":"","family":"Hancock","given":"Roeland","non-dropping-particle":"","parse-names":false,"suffix":""},{"dropping-particle":"","family":"Handjaras","given":"Giacomo","non-dropping-particle":"","parse-names":false,"suffix":""},{"dropping-particle":"","family":"Harry","given":"Bronson B.","non-dropping-particle":"","parse-names":false,"suffix":""},{"dropping-particle":"","family":"Hawco","given":"Colin","non-dropping-particle":"","parse-names":false,"suffix":""},{"dropping-particle":"","family":"Herholz","given":"Peer","non-dropping-particle":"","parse-names":false,"suffix":""},{"dropping-particle":"","family":"Herman","given":"Gabrielle","non-dropping-particle":"","parse-names":false,"suffix":""},{"dropping-particle":"","family":"Heunis","given":"Stephan","non-dropping-particle":"","parse-names":false,"suffix":""},{"dropping-particle":"","family":"Hoffstaedter","given":"Felix","non-dropping-particle":"","parse-names":false,"suffix":""},{"dropping-particle":"","family":"Hogeveen","given":"Jeremy","non-dropping-particle":"","parse-names":false,"suffix":""},{"dropping-particle":"","family":"Holmes","given":"Susan","non-dropping-particle":"","parse-names":false,"suffix":""},{"dropping-particle":"","family":"Hu","given":"Chuan Peng","non-dropping-particle":"","parse-names":false,"suffix":""},{"dropping-particle":"","family":"Huettel","given":"Scott A.","non-dropping-particle":"","parse-names":false,"suffix":""},{"dropping-particle":"","family":"Hughes","given":"Matthew E.","non-dropping-particle":"","parse-names":false,"suffix":""},{"dropping-particle":"","family":"Iacovella","given":"Vittorio","non-dropping-particle":"","parse-names":false,"suffix":""},{"dropping-particle":"","family":"Iordan","given":"Alexandru D.","non-dropping-particle":"","parse-names":false,"suffix":""},{"dropping-particle":"","family":"Isager","given":"Peder M.","non-dropping-particle":"","parse-names":false,"suffix":""},{"dropping-particle":"","family":"Isik","given":"Ayse I.","non-dropping-particle":"","parse-names":false,"suffix":""},{"dropping-particle":"","family":"Jahn","given":"Andrew","non-dropping-particle":"","parse-names":false,"suffix":""},{"dropping-particle":"","family":"Johnson","given":"Matthew R.","non-dropping-particle":"","parse-names":false,"suffix":""},{"dropping-particle":"","family":"Johnstone","given":"Tom","non-dropping-particle":"","parse-names":false,"suffix":""},{"dropping-particle":"","family":"Joseph","given":"Michael J.E.","non-dropping-particle":"","parse-names":false,"suffix":""},{"dropping-particle":"","family":"Juliano","given":"Anthony C.","non-dropping-particle":"","parse-names":false,"suffix":""},{"dropping-particle":"","family":"Kable","given":"Joseph W.","non-dropping-particle":"","parse-names":false,"suffix":""},{"dropping-particle":"","family":"Kassinopoulos","given":"Michalis","non-dropping-particle":"","parse-names":false,"suffix":""},{"dropping-particle":"","family":"Koba","given":"Cemal","non-dropping-particle":"","parse-names":false,"suffix":""},{"dropping-particle":"","family":"Kong","given":"Xiang Zhen","non-dropping-particle":"","parse-names":false,"suffix":""},{"dropping-particle":"","family":"Koscik","given":"Timothy R.","non-dropping-particle":"","parse-names":false,"suffix":""},{"dropping-particle":"","family":"Kucukboyaci","given":"Nuri Erkut","non-dropping-particle":"","parse-names":false,"suffix":""},{"dropping-particle":"","family":"Kuhl","given":"Brice A.","non-dropping-particle":"","parse-names":false,"suffix":""},{"dropping-particle":"","family":"Kupek","given":"Sebastian","non-dropping-particle":"","parse-names":false,"suffix":""},{"dropping-particle":"","family":"Laird","given":"Angela R.","non-dropping-particle":"","parse-names":false,"suffix":""},{"dropping-particle":"","family":"Lamm","given":"Claus","non-dropping-particle":"","parse-names":false,"suffix":""},{"dropping-particle":"","family":"Langner","given":"Robert","non-dropping-particle":"","parse-names":false,"suffix":""},{"dropping-particle":"","family":"Lauharatanahirun","given":"Nina","non-dropping-particle":"","parse-names":false,"suffix":""},{"dropping-particle":"","family":"Lee","given":"Hongmi","non-dropping-particle":"","parse-names":false,"suffix":""},{"dropping-particle":"","family":"Lee","given":"Sangil","non-dropping-particle":"","parse-names":false,"suffix":""},{"dropping-particle":"","family":"Leemans","given":"Alexander","non-dropping-particle":"","parse-names":false,"suffix":""},{"dropping-particle":"","family":"Leo","given":"Andrea","non-dropping-particle":"","parse-names":false,"suffix":""},{"dropping-particle":"","family":"Lesage","given":"Elise","non-dropping-particle":"","parse-names":false,"suffix":""},{"dropping-particle":"","family":"Li","given":"Flora","non-dropping-particle":"","parse-names":false,"suffix":""},{"dropping-particle":"","family":"Li","given":"Monica Y.C.","non-dropping-particle":"","parse-names":false,"suffix":""},{"dropping-particle":"","family":"Lim","given":"Phui Cheng","non-dropping-particle":"","parse-names":false,"suffix":""},{"dropping-particle":"","family":"Lintz","given":"Evan N.","non-dropping-particle":"","parse-names":false,"suffix":""},{"dropping-particle":"","family":"Liphardt","given":"Schuyler W.","non-dropping-particle":"","parse-names":false,"suffix":""},{"dropping-particle":"","family":"Losecaat Vermeer","given":"Annabel B.","non-dropping-particle":"","parse-names":false,"suffix":""},{"dropping-particle":"","family":"Love","given":"Bradley C.","non-dropping-particle":"","parse-names":false,"suffix":""},{"dropping-particle":"","family":"Mack","given":"Michael L.","non-dropping-particle":"","parse-names":false,"suffix":""},{"dropping-particle":"","family":"Malpica","given":"Norberto","non-dropping-particle":"","parse-names":false,"suffix":""},{"dropping-particle":"","family":"Marins","given":"Theo","non-dropping-particle":"","parse-names":false,"suffix":""},{"dropping-particle":"","family":"Maumet","given":"Camille","non-dropping-particle":"","parse-names":false,"suffix":""},{"dropping-particle":"","family":"McDonald","given":"Kelsey","non-dropping-particle":"","parse-names":false,"suffix":""},{"dropping-particle":"","family":"McGuire","given":"Joseph T.","non-dropping-particle":"","parse-names":false,"suffix":""},{"dropping-particle":"","family":"Melero","given":"Helena","non-dropping-particle":"","parse-names":false,"suffix":""},{"dropping-particle":"","family":"Méndez Leal","given":"Adriana S.","non-dropping-particle":"","parse-names":false,"suffix":""},{"dropping-particle":"","family":"Meyer","given":"Benjamin","non-dropping-particle":"","parse-names":false,"suffix":""},{"dropping-particle":"","family":"Meyer","given":"Kristin N.","non-dropping-particle":"","parse-names":false,"suffix":""},{"dropping-particle":"","family":"Mihai","given":"Glad","non-dropping-particle":"","parse-names":false,"suffix":""},{"dropping-particle":"","family":"Mitsis","given":"Georgios D.","non-dropping-particle":"","parse-names":false,"suffix":""},{"dropping-particle":"","family":"Moll","given":"Jorge","non-dropping-particle":"","parse-names":false,"suffix":""},{"dropping-particle":"","family":"Nielson","given":"Dylan M.","non-dropping-particle":"","parse-names":false,"suffix":""},{"dropping-particle":"","family":"Nilsonne","given":"Gustav","non-dropping-particle":"","parse-names":false,"suffix":""},{"dropping-particle":"","family":"Notter","given":"Michael P.","non-dropping-particle":"","parse-names":false,"suffix":""},{"dropping-particle":"","family":"Olivetti","given":"Emanuele","non-dropping-particle":"","parse-names":false,"suffix":""},{"dropping-particle":"","family":"Onicas","given":"Adrian I.","non-dropping-particle":"","parse-names":false,"suffix":""},{"dropping-particle":"","family":"Papale","given":"Paolo","non-dropping-particle":"","parse-names":false,"suffix":""},{"dropping-particle":"","family":"Patil","given":"Kaustubh R.","non-dropping-particle":"","parse-names":false,"suffix":""},{"dropping-particle":"","family":"Peelle","given":"Jonathan E.","non-dropping-particle":"","parse-names":false,"suffix":""},{"dropping-particle":"","family":"Pérez","given":"Alexandre","non-dropping-particle":"","parse-names":false,"suffix":""},{"dropping-particle":"","family":"Pischedda","given":"Doris","non-dropping-particle":"","parse-names":false,"suffix":""},{"dropping-particle":"","family":"Poline","given":"Jean Baptiste","non-dropping-particle":"","parse-names":false,"suffix":""},{"dropping-particle":"","family":"Prystauka","given":"Yanina","non-dropping-particle":"","parse-names":false,"suffix":""},{"dropping-particle":"","family":"Ray","given":"Shruti","non-dropping-particle":"","parse-names":false,"suffix":""},{"dropping-particle":"","family":"Reuter-Lorenz","given":"Patricia A.","non-dropping-particle":"","parse-names":false,"suffix":""},{"dropping-particle":"","family":"Reynolds","given":"Richard C.","non-dropping-particle":"","parse-names":false,"suffix":""},{"dropping-particle":"","family":"Ricciardi","given":"Emiliano","non-dropping-particle":"","parse-names":false,"suffix":""},{"dropping-particle":"","family":"Rieck","given":"Jenny R.","non-dropping-particle":"","parse-names":false,"suffix":""},{"dropping-particle":"","family":"Rodriguez-Thompson","given":"Anais M.","non-dropping-particle":"","parse-names":false,"suffix":""},{"dropping-particle":"","family":"Romyn","given":"Anthony","non-dropping-particle":"","parse-names":false,"suffix":""},{"dropping-particle":"","family":"Salo","given":"Taylor","non-dropping-particle":"","parse-names":false,"suffix":""},{"dropping-particle":"","family":"Samanez-Larkin","given":"Gregory R.","non-dropping-particle":"","parse-names":false,"suffix":""},{"dropping-particle":"","family":"Sanz-Morales","given":"Emilio","non-dropping-particle":"","parse-names":false,"suffix":""},{"dropping-particle":"","family":"Schlichting","given":"Margaret L.","non-dropping-particle":"","parse-names":false,"suffix":""},{"dropping-particle":"","family":"Schultz","given":"Douglas H.","non-dropping-particle":"","parse-names":false,"suffix":""},{"dropping-particle":"","family":"Shen","given":"Qiang","non-dropping-particle":"","parse-names":false,"suffix":""},{"dropping-particle":"","family":"Sheridan","given":"Margaret A.","non-dropping-particle":"","parse-names":false,"suffix":""},{"dropping-particle":"","family":"Silvers","given":"Jennifer A.","non-dropping-particle":"","parse-names":false,"suffix":""},{"dropping-particle":"","family":"Skagerlund","given":"Kenny","non-dropping-particle":"","parse-names":false,"suffix":""},{"dropping-particle":"","family":"Smith","given":"Alec","non-dropping-particle":"","parse-names":false,"suffix":""},{"dropping-particle":"V.","family":"Smith","given":"David","non-dropping-particle":"","parse-names":false,"suffix":""},{"dropping-particle":"","family":"Sokol-Hessner","given":"Peter","non-dropping-particle":"","parse-names":false,"suffix":""},{"dropping-particle":"","family":"Steinkamp","given":"Simon R.","non-dropping-particle":"","parse-names":false,"suffix":""},{"dropping-particle":"","family":"Tashjian","given":"Sarah M.","non-dropping-particle":"","parse-names":false,"suffix":""},{"dropping-particle":"","family":"Thirion","given":"Bertrand","non-dropping-particle":"","parse-names":false,"suffix":""},{"dropping-particle":"","family":"Thorp","given":"John N.","non-dropping-particle":"","parse-names":false,"suffix":""},{"dropping-particle":"","family":"Tinghög","given":"Gustav","non-dropping-particle":"","parse-names":false,"suffix":""},{"dropping-particle":"","family":"Tisdall","given":"Loreen","non-dropping-particle":"","parse-names":false,"suffix":""},{"dropping-particle":"","family":"Tompson","given":"Steven H.","non-dropping-particle":"","parse-names":false,"suffix":""},{"dropping-particle":"","family":"Toro-Serey","given":"Claudio","non-dropping-particle":"","parse-names":false,"suffix":""},{"dropping-particle":"","family":"Torre Tresols","given":"Juan Jesus","non-dropping-particle":"","parse-names":false,"suffix":""},{"dropping-particle":"","family":"Tozzi","given":"Leonardo","non-dropping-particle":"","parse-names":false,"suffix":""},{"dropping-particle":"","family":"Truong","given":"Vuong","non-dropping-particle":"","parse-names":false,"suffix":""},{"dropping-particle":"","family":"Turella","given":"Luca","non-dropping-particle":"","parse-names":false,"suffix":""},{"dropping-particle":"","family":"‘t Veer","given":"Anna E.","non-dropping-particle":"van","parse-names":false,"suffix":""},{"dropping-particle":"","family":"Verguts","given":"Tom","non-dropping-particle":"","parse-names":false,"suffix":""},{"dropping-particle":"","family":"Vettel","given":"Jean M.","non-dropping-particle":"","parse-names":false,"suffix":""},{"dropping-particle":"","family":"Vijayarajah","given":"Sagana","non-dropping-particle":"","parse-names":false,"suffix":""},{"dropping-particle":"","family":"Vo","given":"Khoi","non-dropping-particle":"","parse-names":false,"suffix":""},{"dropping-particle":"","family":"Wall","given":"Matthew B.","non-dropping-particle":"","parse-names":false,"suffix":""},{"dropping-particle":"","family":"Weeda","given":"Wouter D.","non-dropping-particle":"","parse-names":false,"suffix":""},{"dropping-particle":"","family":"Weis","given":"Susanne","non-dropping-particle":"","parse-names":false,"suffix":""},{"dropping-particle":"","family":"White","given":"David J.","non-dropping-particle":"","parse-names":false,"suffix":""},{"dropping-particle":"","family":"Wisniewski","given":"David","non-dropping-particle":"","parse-names":false,"suffix":""},{"dropping-particle":"","family":"Xifra-Porxas","given":"Alba","non-dropping-particle":"","parse-names":false,"suffix":""},{"dropping-particle":"","family":"Yearling","given":"Emily A.","non-dropping-particle":"","parse-names":false,"suffix":""},{"dropping-particle":"","family":"Yoon","given":"Sangsuk","non-dropping-particle":"","parse-names":false,"suffix":""},{"dropping-particle":"","family":"Yuan","given":"Rui","non-dropping-particle":"","parse-names":false,"suffix":""},{"dropping-particle":"","family":"Yuen","given":"Kenneth S.L.","non-dropping-particle":"","parse-names":false,"suffix":""},{"dropping-particle":"","family":"Zhang","given":"Lei","non-dropping-particle":"","parse-names":false,"suffix":""},{"dropping-particle":"","family":"Zhang","given":"Xu","non-dropping-particle":"","parse-names":false,"suffix":""},{"dropping-particle":"","family":"Zosky","given":"Joshua E.","non-dropping-particle":"","parse-names":false,"suffix":""},{"dropping-particle":"","family":"Nichols","given":"Thomas E.","non-dropping-particle":"","parse-names":false,"suffix":""},{"dropping-particle":"","family":"Poldrack","given":"Russell A.","non-dropping-particle":"","parse-names":false,"suffix":""},{"dropping-particle":"","family":"Schonberg","given":"Tom","non-dropping-particle":"","parse-names":false,"suffix":""}],"container-title":"Nature","id":"ITEM-1","issue":"7810","issued":{"date-parts":[["2020"]]},"page":"84-88","title":"Variability in the analysis of a single neuroimaging dataset by many teams","type":"article-journal","volume":"582"},"uris":["http://www.mendeley.com/documents/?uuid=3b75d341-2a1b-46c9-9148-93ceaa9c1394"]}],"mendeley":{"formattedCitation":"(63)","manualFormatting":"63)","plainTextFormattedCitation":"(63)","previouslyFormattedCitation":"(63)"},"properties":{"noteIndex":0},"schema":"https://github.com/citation-style-language/schema/raw/master/csl-citation.json"}</w:instrText>
      </w:r>
      <w:r w:rsidR="0001024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63)</w:t>
      </w:r>
      <w:r w:rsidR="0001024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such flexibility is associated with </w:t>
      </w:r>
      <w:r w:rsidR="009B71DD" w:rsidRPr="0041550F">
        <w:rPr>
          <w:rFonts w:ascii="Times New Roman" w:eastAsia="Times New Roman" w:hAnsi="Times New Roman" w:cs="Times New Roman"/>
          <w:sz w:val="24"/>
          <w:szCs w:val="24"/>
        </w:rPr>
        <w:t xml:space="preserve">increased </w:t>
      </w:r>
      <w:r w:rsidRPr="0041550F">
        <w:rPr>
          <w:rFonts w:ascii="Times New Roman" w:eastAsia="Times New Roman" w:hAnsi="Times New Roman" w:cs="Times New Roman"/>
          <w:sz w:val="24"/>
          <w:szCs w:val="24"/>
        </w:rPr>
        <w:t xml:space="preserve">false-positive findings, particularly when paired with selective reporting and publication bias </w:t>
      </w:r>
      <w:r w:rsidR="002C0ADC"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{"citationItems":[{"id":"ITEM-1","itemData":{"DOI":"10.1177/0956797611417632","ISSN":"14679280","PMID":"22006061","abstract":"In this article, we accomplish two things. First, we show that despite empirical psychologists' nominal endorsement of a low rate of false-positive findings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 © The Author(s) 2011.","author":[{"dropping-particle":"","family":"Simmons","given":"Joseph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Science","id":"ITEM-1","issue":"11","issued":{"date-parts":[["2011"]]},"page":"1359-1366","title":"False-positive psychology: Undisclosed flexibility in data collection and analysis allows presenting anything as significant","type":"article-journal","volume":"22"},"uris":["http://www.mendeley.com/documents/?uuid=0cbd7689-347c-4860-a9cc-710927792680"]},{"id":"ITEM-2","itemData":{"DOI":"10.1371/journal.pmed.0050201","ISSN":"15491277","PMID":"18844432","abstract":"The current system of publication in biomedical research provides a distorted view of the reality of scientific data that are generated in the laboratory and clinic. This system can be studied by applying principles from the field of economics. The \"winner's curse,\" a more general statement of publication bias, suggests that the small proportion of results chosen for publication are unrepresentative of scientists' repeated samplings of the real world. The self-correcting mechanism in science is retarded by the extreme imbalance between the abundance of supply (the output of basic science laboratories and clinical investigations) and the increasingly limited venues for publication (journals with sufficiently high impact). This system would be expected intrinsically to lead to the misallocation of resources. The scarcity of available outlets is artificial, based on the costs of printing in an electronic age and a belief that selectivity is equivalent to quality. Science is subject to great uncertainty: we cannot be confident now which efforts will ultimately yield worthwhile achievements. However, the current system abdicates to a small number of intermediates an authoritative prescience to anticipate a highly unpredictable future. In considering society's expectations and our own goals as scientists, we believe that there is a moral imperative to reconsider how scientific data are judged and disseminated.","author":[{"dropping-particle":"","family":"Young","given":"Neal S.","non-dropping-particle":"","parse-names":false,"suffix":""},{"dropping-particle":"","family":"Ioannidis","given":"John P.A.","non-dropping-particle":"","parse-names":false,"suffix":""},{"dropping-particle":"","family":"Al-Ubaydli","given":"Omar","non-dropping-particle":"","parse-names":false,"suffix":""}],"container-title":"PLoS Medicine","id":"ITEM-2","issue":"10","issued":{"date-parts":[["2008"]]},"page":"1418-1422","title":"Why current publication practices may distort science","type":"article-journal","volume":"5"},"uris":["http://www.mendeley.com/documents/?uuid=1ca36cce-fdfe-4b50-b601-e143c79dbeff"]}],"mendeley":{"formattedCitation":"(64,65)","plainTextFormattedCitation":"(64,65)","previouslyFormattedCitation":"(64,65)"},"properties":{"noteIndex":0},"schema":"https://github.com/citation-style-language/schema/raw/master/csl-citation.json"}</w:instrText>
      </w:r>
      <w:r w:rsidR="002C0AD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(64,65)</w:t>
      </w:r>
      <w:r w:rsidR="002C0AD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Indeed, Jones et al. </w:t>
      </w:r>
      <w:r w:rsidR="002C0ADC" w:rsidRPr="0041550F">
        <w:rPr>
          <w:rFonts w:ascii="Times New Roman" w:eastAsia="Times New Roman" w:hAnsi="Times New Roman" w:cs="Times New Roman"/>
          <w:sz w:val="24"/>
          <w:szCs w:val="24"/>
        </w:rPr>
        <w:fldChar w:fldCharType="begin" w:fldLock="1"/>
      </w:r>
      <w:r w:rsidR="002F2A78" w:rsidRPr="0041550F">
        <w:rPr>
          <w:rFonts w:ascii="Times New Roman" w:eastAsia="Times New Roman" w:hAnsi="Times New Roman" w:cs="Times New Roman"/>
          <w:sz w:val="24"/>
          <w:szCs w:val="24"/>
        </w:rPr>
        <w:instrText>ADDIN CSL_CITATION {"citationItems":[{"id":"ITEM-1","itemData":{"DOI":"https://doi.org/10.31234/osf.io/ws8xp","author":[{"dropping-particle":"","family":"Andrew Jones, Jay Duckworth","given":"Paul Christiansen","non-dropping-particle":"","parse-names":false,"suffix":""}],"id":"ITEM-1","issued":{"date-parts":[["2020"]]},"title":"May I have your attention, please? Methodological and analytical flexibility in the Addiction Stroop","type":"article"},"uris":["http://www.mendeley.com/documents/?uuid=3d7be032-10a2-40c1-b829-d2104a15c05f"]}],"mendeley":{"formattedCitation":"(62)","plainTextFormattedCitation":"(62)","previouslyFormattedCitation":"(62)"},"properties":{"noteIndex":0},"schema":"https://github.com/citation-style-language/schema/raw/master/csl-citation.json"}</w:instrText>
      </w:r>
      <w:r w:rsidR="002C0ADC" w:rsidRPr="0041550F">
        <w:rPr>
          <w:rFonts w:ascii="Times New Roman" w:eastAsia="Times New Roman" w:hAnsi="Times New Roman" w:cs="Times New Roman"/>
          <w:sz w:val="24"/>
          <w:szCs w:val="24"/>
        </w:rPr>
        <w:fldChar w:fldCharType="separate"/>
      </w:r>
      <w:r w:rsidR="00050990" w:rsidRPr="0041550F">
        <w:rPr>
          <w:rFonts w:ascii="Times New Roman" w:eastAsia="Times New Roman" w:hAnsi="Times New Roman" w:cs="Times New Roman"/>
          <w:noProof/>
          <w:sz w:val="24"/>
          <w:szCs w:val="24"/>
        </w:rPr>
        <w:t>(62)</w:t>
      </w:r>
      <w:r w:rsidR="002C0ADC"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found that key aspects of design and analysis decisions were not </w:t>
      </w:r>
      <w:r w:rsidR="00D33CC6" w:rsidRPr="0041550F">
        <w:rPr>
          <w:rFonts w:ascii="Times New Roman" w:eastAsia="Times New Roman" w:hAnsi="Times New Roman" w:cs="Times New Roman"/>
          <w:sz w:val="24"/>
          <w:szCs w:val="24"/>
        </w:rPr>
        <w:t>disclosed</w:t>
      </w:r>
      <w:r w:rsidRPr="0041550F">
        <w:rPr>
          <w:rFonts w:ascii="Times New Roman" w:eastAsia="Times New Roman" w:hAnsi="Times New Roman" w:cs="Times New Roman"/>
          <w:sz w:val="24"/>
          <w:szCs w:val="24"/>
        </w:rPr>
        <w:t xml:space="preserve"> when employing the </w:t>
      </w:r>
      <w:r w:rsidR="00822840" w:rsidRPr="0041550F">
        <w:rPr>
          <w:rFonts w:ascii="Times New Roman" w:eastAsia="Times New Roman" w:hAnsi="Times New Roman" w:cs="Times New Roman"/>
          <w:sz w:val="24"/>
          <w:szCs w:val="24"/>
        </w:rPr>
        <w:t xml:space="preserve">Addiction </w:t>
      </w:r>
      <w:r w:rsidRPr="0041550F">
        <w:rPr>
          <w:rFonts w:ascii="Times New Roman" w:eastAsia="Times New Roman" w:hAnsi="Times New Roman" w:cs="Times New Roman"/>
          <w:sz w:val="24"/>
          <w:szCs w:val="24"/>
        </w:rPr>
        <w:lastRenderedPageBreak/>
        <w:t xml:space="preserve">Stroop task, and our review of the alcohol-attentional bias literature indicates that </w:t>
      </w:r>
      <w:r w:rsidR="00811A78" w:rsidRPr="0041550F">
        <w:rPr>
          <w:rFonts w:ascii="Times New Roman" w:eastAsia="Times New Roman" w:hAnsi="Times New Roman" w:cs="Times New Roman"/>
          <w:sz w:val="24"/>
          <w:szCs w:val="24"/>
        </w:rPr>
        <w:t>only one study (1.56%)</w:t>
      </w:r>
      <w:r w:rsidRPr="0041550F">
        <w:rPr>
          <w:rFonts w:ascii="Times New Roman" w:eastAsia="Times New Roman" w:hAnsi="Times New Roman" w:cs="Times New Roman"/>
          <w:sz w:val="24"/>
          <w:szCs w:val="24"/>
        </w:rPr>
        <w:t xml:space="preserve"> report</w:t>
      </w:r>
      <w:r w:rsidR="00811A78" w:rsidRPr="0041550F">
        <w:rPr>
          <w:rFonts w:ascii="Times New Roman" w:eastAsia="Times New Roman" w:hAnsi="Times New Roman" w:cs="Times New Roman"/>
          <w:sz w:val="24"/>
          <w:szCs w:val="24"/>
        </w:rPr>
        <w:t>ed</w:t>
      </w:r>
      <w:r w:rsidRPr="0041550F">
        <w:rPr>
          <w:rFonts w:ascii="Times New Roman" w:eastAsia="Times New Roman" w:hAnsi="Times New Roman" w:cs="Times New Roman"/>
          <w:sz w:val="24"/>
          <w:szCs w:val="24"/>
        </w:rPr>
        <w:t xml:space="preserve"> design and analysis decisions </w:t>
      </w:r>
      <w:r w:rsidR="00311263" w:rsidRPr="0041550F">
        <w:rPr>
          <w:rFonts w:ascii="Times New Roman" w:eastAsia="Times New Roman" w:hAnsi="Times New Roman" w:cs="Times New Roman"/>
          <w:sz w:val="24"/>
          <w:szCs w:val="24"/>
        </w:rPr>
        <w:t>a priori</w:t>
      </w:r>
      <w:r w:rsidRPr="0041550F">
        <w:rPr>
          <w:rFonts w:ascii="Times New Roman" w:eastAsia="Times New Roman" w:hAnsi="Times New Roman" w:cs="Times New Roman"/>
          <w:sz w:val="24"/>
          <w:szCs w:val="24"/>
        </w:rPr>
        <w:t xml:space="preserve"> through study preregistration. </w:t>
      </w:r>
    </w:p>
    <w:p w14:paraId="209B222A" w14:textId="77777777" w:rsidR="007148C7" w:rsidRPr="0041550F" w:rsidRDefault="007148C7">
      <w:pPr>
        <w:spacing w:after="0" w:line="480" w:lineRule="auto"/>
        <w:rPr>
          <w:rFonts w:ascii="Times New Roman" w:eastAsia="Times New Roman" w:hAnsi="Times New Roman" w:cs="Times New Roman"/>
          <w:b/>
          <w:sz w:val="24"/>
          <w:szCs w:val="24"/>
        </w:rPr>
      </w:pPr>
    </w:p>
    <w:p w14:paraId="00000036" w14:textId="45B3DFBD" w:rsidR="00CB2059" w:rsidRPr="0041550F" w:rsidRDefault="00C3572E">
      <w:pPr>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RAISING THE BAR: RECOMMENDATIONS FOR RESEARCHERS</w:t>
      </w:r>
    </w:p>
    <w:p w14:paraId="470F6EC7" w14:textId="39A2E997" w:rsidR="00AE1654" w:rsidRPr="0041550F" w:rsidRDefault="00C3572E" w:rsidP="00AE1654">
      <w:pPr>
        <w:spacing w:after="0" w:line="480" w:lineRule="auto"/>
        <w:jc w:val="both"/>
        <w:rPr>
          <w:rFonts w:ascii="Times New Roman" w:eastAsia="Times New Roman" w:hAnsi="Times New Roman" w:cs="Times New Roman"/>
          <w:sz w:val="24"/>
          <w:szCs w:val="24"/>
        </w:rPr>
      </w:pPr>
      <w:bookmarkStart w:id="13" w:name="_heading=h.pdq262xz4mh8" w:colFirst="0" w:colLast="0"/>
      <w:bookmarkEnd w:id="13"/>
      <w:r w:rsidRPr="0041550F">
        <w:rPr>
          <w:rFonts w:ascii="Times New Roman" w:eastAsia="Times New Roman" w:hAnsi="Times New Roman" w:cs="Times New Roman"/>
          <w:sz w:val="24"/>
          <w:szCs w:val="24"/>
        </w:rPr>
        <w:t xml:space="preserve">We have identified numerous shortcomings in the methods employed commonly within </w:t>
      </w:r>
      <w:r w:rsidR="00AE1654" w:rsidRPr="0041550F">
        <w:rPr>
          <w:rFonts w:ascii="Times New Roman" w:eastAsia="Times New Roman" w:hAnsi="Times New Roman" w:cs="Times New Roman"/>
          <w:sz w:val="24"/>
          <w:szCs w:val="24"/>
        </w:rPr>
        <w:t>studies</w:t>
      </w:r>
      <w:r w:rsidR="00C01A08" w:rsidRPr="0041550F">
        <w:rPr>
          <w:rFonts w:ascii="Times New Roman" w:eastAsia="Times New Roman" w:hAnsi="Times New Roman" w:cs="Times New Roman"/>
          <w:sz w:val="24"/>
          <w:szCs w:val="24"/>
        </w:rPr>
        <w:t xml:space="preserve"> of not only </w:t>
      </w:r>
      <w:r w:rsidR="00AE1654" w:rsidRPr="0041550F">
        <w:rPr>
          <w:rFonts w:ascii="Times New Roman" w:eastAsia="Times New Roman" w:hAnsi="Times New Roman" w:cs="Times New Roman"/>
          <w:sz w:val="24"/>
          <w:szCs w:val="24"/>
        </w:rPr>
        <w:t>alcohol-related attentional bias</w:t>
      </w:r>
      <w:r w:rsidR="00C01A08" w:rsidRPr="0041550F">
        <w:rPr>
          <w:rFonts w:ascii="Times New Roman" w:eastAsia="Times New Roman" w:hAnsi="Times New Roman" w:cs="Times New Roman"/>
          <w:sz w:val="24"/>
          <w:szCs w:val="24"/>
        </w:rPr>
        <w:t>,</w:t>
      </w:r>
      <w:r w:rsidR="00AE1654" w:rsidRPr="0041550F">
        <w:rPr>
          <w:rFonts w:ascii="Times New Roman" w:eastAsia="Times New Roman" w:hAnsi="Times New Roman" w:cs="Times New Roman"/>
          <w:sz w:val="24"/>
          <w:szCs w:val="24"/>
        </w:rPr>
        <w:t xml:space="preserve"> but</w:t>
      </w:r>
      <w:r w:rsidR="00D37FDD" w:rsidRPr="0041550F">
        <w:rPr>
          <w:rFonts w:ascii="Times New Roman" w:eastAsia="Times New Roman" w:hAnsi="Times New Roman" w:cs="Times New Roman"/>
          <w:sz w:val="24"/>
          <w:szCs w:val="24"/>
        </w:rPr>
        <w:t xml:space="preserve"> cognitive</w:t>
      </w:r>
      <w:r w:rsidR="00AE1654" w:rsidRPr="0041550F">
        <w:rPr>
          <w:rFonts w:ascii="Times New Roman" w:eastAsia="Times New Roman" w:hAnsi="Times New Roman" w:cs="Times New Roman"/>
          <w:sz w:val="24"/>
          <w:szCs w:val="24"/>
        </w:rPr>
        <w:t xml:space="preserve"> alcohol research more generally. In pursuit of enhancing methodological rigour in this field, we now propose several easy-to-implement practical recommendation</w:t>
      </w:r>
      <w:r w:rsidR="0052623B" w:rsidRPr="0041550F">
        <w:rPr>
          <w:rFonts w:ascii="Times New Roman" w:eastAsia="Times New Roman" w:hAnsi="Times New Roman" w:cs="Times New Roman"/>
          <w:sz w:val="24"/>
          <w:szCs w:val="24"/>
        </w:rPr>
        <w:t xml:space="preserve">s. </w:t>
      </w:r>
      <w:r w:rsidR="00233B4A" w:rsidRPr="0041550F">
        <w:rPr>
          <w:rFonts w:ascii="Times New Roman" w:eastAsia="Times New Roman" w:hAnsi="Times New Roman" w:cs="Times New Roman"/>
          <w:sz w:val="24"/>
          <w:szCs w:val="24"/>
        </w:rPr>
        <w:t xml:space="preserve">Table </w:t>
      </w:r>
      <w:r w:rsidR="00A443DA" w:rsidRPr="0041550F">
        <w:rPr>
          <w:rFonts w:ascii="Times New Roman" w:eastAsia="Times New Roman" w:hAnsi="Times New Roman" w:cs="Times New Roman"/>
          <w:sz w:val="24"/>
          <w:szCs w:val="24"/>
        </w:rPr>
        <w:t>1</w:t>
      </w:r>
      <w:r w:rsidR="00233B4A" w:rsidRPr="0041550F">
        <w:rPr>
          <w:rFonts w:ascii="Times New Roman" w:eastAsia="Times New Roman" w:hAnsi="Times New Roman" w:cs="Times New Roman"/>
          <w:sz w:val="24"/>
          <w:szCs w:val="24"/>
        </w:rPr>
        <w:t xml:space="preserve"> </w:t>
      </w:r>
      <w:r w:rsidR="0052623B" w:rsidRPr="0041550F">
        <w:rPr>
          <w:rFonts w:ascii="Times New Roman" w:eastAsia="Times New Roman" w:hAnsi="Times New Roman" w:cs="Times New Roman"/>
          <w:sz w:val="24"/>
          <w:szCs w:val="24"/>
        </w:rPr>
        <w:t xml:space="preserve">provides </w:t>
      </w:r>
      <w:r w:rsidR="00233B4A" w:rsidRPr="0041550F">
        <w:rPr>
          <w:rFonts w:ascii="Times New Roman" w:eastAsia="Times New Roman" w:hAnsi="Times New Roman" w:cs="Times New Roman"/>
          <w:sz w:val="24"/>
          <w:szCs w:val="24"/>
        </w:rPr>
        <w:t>a summary</w:t>
      </w:r>
      <w:r w:rsidR="0052623B" w:rsidRPr="0041550F">
        <w:rPr>
          <w:rFonts w:ascii="Times New Roman" w:eastAsia="Times New Roman" w:hAnsi="Times New Roman" w:cs="Times New Roman"/>
          <w:sz w:val="24"/>
          <w:szCs w:val="24"/>
        </w:rPr>
        <w:t>.</w:t>
      </w:r>
    </w:p>
    <w:p w14:paraId="0F28BFB2" w14:textId="77777777" w:rsidR="00FE2045" w:rsidRPr="0041550F" w:rsidRDefault="00FE2045" w:rsidP="00AE1654">
      <w:pPr>
        <w:spacing w:after="0" w:line="480" w:lineRule="auto"/>
        <w:jc w:val="both"/>
        <w:rPr>
          <w:rFonts w:ascii="Times New Roman" w:eastAsia="Times New Roman" w:hAnsi="Times New Roman" w:cs="Times New Roman"/>
          <w:sz w:val="24"/>
          <w:szCs w:val="24"/>
        </w:rPr>
      </w:pPr>
    </w:p>
    <w:p w14:paraId="454CC7D8" w14:textId="3C2B0BCE" w:rsidR="00FE2045" w:rsidRPr="0041550F" w:rsidRDefault="00FE2045" w:rsidP="00FE2045">
      <w:pPr>
        <w:spacing w:after="0" w:line="480" w:lineRule="auto"/>
        <w:jc w:val="center"/>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[TABLE </w:t>
      </w:r>
      <w:r w:rsidR="006B4FF4" w:rsidRPr="0041550F">
        <w:rPr>
          <w:rFonts w:ascii="Times New Roman" w:eastAsia="Times New Roman" w:hAnsi="Times New Roman" w:cs="Times New Roman"/>
          <w:sz w:val="24"/>
          <w:szCs w:val="24"/>
        </w:rPr>
        <w:t>1</w:t>
      </w:r>
      <w:r w:rsidRPr="0041550F">
        <w:rPr>
          <w:rFonts w:ascii="Times New Roman" w:eastAsia="Times New Roman" w:hAnsi="Times New Roman" w:cs="Times New Roman"/>
          <w:sz w:val="24"/>
          <w:szCs w:val="24"/>
        </w:rPr>
        <w:t xml:space="preserve"> HERE]</w:t>
      </w:r>
    </w:p>
    <w:p w14:paraId="38392743" w14:textId="77777777" w:rsidR="00C90917" w:rsidRPr="0041550F" w:rsidRDefault="00C90917" w:rsidP="00154E4C">
      <w:pPr>
        <w:spacing w:after="0" w:line="480" w:lineRule="auto"/>
        <w:ind w:firstLine="720"/>
        <w:jc w:val="both"/>
        <w:rPr>
          <w:rFonts w:ascii="Times New Roman" w:eastAsia="Times New Roman" w:hAnsi="Times New Roman" w:cs="Times New Roman"/>
          <w:sz w:val="24"/>
          <w:szCs w:val="24"/>
        </w:rPr>
      </w:pPr>
      <w:bookmarkStart w:id="14" w:name="_heading=h.7slpc0iwpm12" w:colFirst="0" w:colLast="0"/>
      <w:bookmarkEnd w:id="14"/>
    </w:p>
    <w:p w14:paraId="66EB931F" w14:textId="2C1982C5" w:rsidR="00150C2C" w:rsidRPr="0041550F" w:rsidRDefault="00C3572E" w:rsidP="00154E4C">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First, we </w:t>
      </w:r>
      <w:r w:rsidR="009E0890" w:rsidRPr="0041550F">
        <w:rPr>
          <w:rFonts w:ascii="Times New Roman" w:eastAsia="Times New Roman" w:hAnsi="Times New Roman" w:cs="Times New Roman"/>
          <w:sz w:val="24"/>
          <w:szCs w:val="24"/>
        </w:rPr>
        <w:t xml:space="preserve">recommend the use of </w:t>
      </w:r>
      <w:r w:rsidR="008222D5" w:rsidRPr="0041550F">
        <w:rPr>
          <w:rFonts w:ascii="Times New Roman" w:eastAsia="Times New Roman" w:hAnsi="Times New Roman" w:cs="Times New Roman"/>
          <w:sz w:val="24"/>
          <w:szCs w:val="24"/>
        </w:rPr>
        <w:t>appropriately</w:t>
      </w:r>
      <w:r w:rsidR="007D7A25" w:rsidRPr="0041550F">
        <w:rPr>
          <w:rFonts w:ascii="Times New Roman" w:eastAsia="Times New Roman" w:hAnsi="Times New Roman" w:cs="Times New Roman"/>
          <w:sz w:val="24"/>
          <w:szCs w:val="24"/>
        </w:rPr>
        <w:t xml:space="preserve"> matched</w:t>
      </w:r>
      <w:r w:rsidR="009E0890" w:rsidRPr="0041550F">
        <w:rPr>
          <w:rFonts w:ascii="Times New Roman" w:eastAsia="Times New Roman" w:hAnsi="Times New Roman" w:cs="Times New Roman"/>
          <w:sz w:val="24"/>
          <w:szCs w:val="24"/>
        </w:rPr>
        <w:t xml:space="preserve"> </w:t>
      </w:r>
      <w:r w:rsidR="00404793" w:rsidRPr="0041550F">
        <w:rPr>
          <w:rFonts w:ascii="Times New Roman" w:eastAsia="Times New Roman" w:hAnsi="Times New Roman" w:cs="Times New Roman"/>
          <w:sz w:val="24"/>
          <w:szCs w:val="24"/>
        </w:rPr>
        <w:t xml:space="preserve">and validated </w:t>
      </w:r>
      <w:r w:rsidR="009E0890" w:rsidRPr="0041550F">
        <w:rPr>
          <w:rFonts w:ascii="Times New Roman" w:eastAsia="Times New Roman" w:hAnsi="Times New Roman" w:cs="Times New Roman"/>
          <w:sz w:val="24"/>
          <w:szCs w:val="24"/>
        </w:rPr>
        <w:t xml:space="preserve">experimental stimuli </w:t>
      </w:r>
      <w:r w:rsidR="00DF2568" w:rsidRPr="0041550F">
        <w:rPr>
          <w:rFonts w:ascii="Times New Roman" w:eastAsia="Times New Roman" w:hAnsi="Times New Roman" w:cs="Times New Roman"/>
          <w:sz w:val="24"/>
          <w:szCs w:val="24"/>
        </w:rPr>
        <w:t>to assess alcohol-related cognitions</w:t>
      </w:r>
      <w:r w:rsidR="00722F00" w:rsidRPr="0041550F">
        <w:rPr>
          <w:rFonts w:ascii="Times New Roman" w:eastAsia="Times New Roman" w:hAnsi="Times New Roman" w:cs="Times New Roman"/>
          <w:sz w:val="24"/>
          <w:szCs w:val="24"/>
        </w:rPr>
        <w:t xml:space="preserve">. </w:t>
      </w:r>
      <w:r w:rsidR="00047476" w:rsidRPr="0041550F">
        <w:rPr>
          <w:rFonts w:ascii="Times New Roman" w:eastAsia="Times New Roman" w:hAnsi="Times New Roman" w:cs="Times New Roman"/>
          <w:color w:val="000000" w:themeColor="text1"/>
          <w:sz w:val="24"/>
          <w:szCs w:val="24"/>
        </w:rPr>
        <w:t xml:space="preserve">Control stimuli must </w:t>
      </w:r>
      <w:r w:rsidR="002050FE" w:rsidRPr="0041550F">
        <w:rPr>
          <w:rFonts w:ascii="Times New Roman" w:eastAsia="Times New Roman" w:hAnsi="Times New Roman" w:cs="Times New Roman"/>
          <w:color w:val="000000" w:themeColor="text1"/>
          <w:sz w:val="24"/>
          <w:szCs w:val="24"/>
        </w:rPr>
        <w:t xml:space="preserve">be able to </w:t>
      </w:r>
      <w:r w:rsidR="00047476" w:rsidRPr="0041550F">
        <w:rPr>
          <w:rFonts w:ascii="Times New Roman" w:eastAsia="Times New Roman" w:hAnsi="Times New Roman" w:cs="Times New Roman"/>
          <w:color w:val="000000" w:themeColor="text1"/>
          <w:sz w:val="24"/>
          <w:szCs w:val="24"/>
        </w:rPr>
        <w:t xml:space="preserve">isolate the specific cognitive mechanism(s) under investigation; if </w:t>
      </w:r>
      <w:r w:rsidR="00F92C3E" w:rsidRPr="0041550F">
        <w:rPr>
          <w:rFonts w:ascii="Times New Roman" w:eastAsia="Times New Roman" w:hAnsi="Times New Roman" w:cs="Times New Roman"/>
          <w:color w:val="000000" w:themeColor="text1"/>
          <w:sz w:val="24"/>
          <w:szCs w:val="24"/>
        </w:rPr>
        <w:t xml:space="preserve">the aim is to </w:t>
      </w:r>
      <w:r w:rsidR="00047476" w:rsidRPr="0041550F">
        <w:rPr>
          <w:rFonts w:ascii="Times New Roman" w:eastAsia="Times New Roman" w:hAnsi="Times New Roman" w:cs="Times New Roman"/>
          <w:color w:val="000000" w:themeColor="text1"/>
          <w:sz w:val="24"/>
          <w:szCs w:val="24"/>
        </w:rPr>
        <w:t xml:space="preserve">capture </w:t>
      </w:r>
      <w:r w:rsidR="005A755D" w:rsidRPr="0041550F">
        <w:rPr>
          <w:rFonts w:ascii="Times New Roman" w:eastAsia="Times New Roman" w:hAnsi="Times New Roman" w:cs="Times New Roman"/>
          <w:color w:val="000000" w:themeColor="text1"/>
          <w:sz w:val="24"/>
          <w:szCs w:val="24"/>
        </w:rPr>
        <w:t xml:space="preserve">individual differences in </w:t>
      </w:r>
      <w:r w:rsidR="00E01FC4" w:rsidRPr="0041550F">
        <w:rPr>
          <w:rFonts w:ascii="Times New Roman" w:eastAsia="Times New Roman" w:hAnsi="Times New Roman" w:cs="Times New Roman"/>
          <w:color w:val="000000" w:themeColor="text1"/>
          <w:sz w:val="24"/>
          <w:szCs w:val="24"/>
        </w:rPr>
        <w:t>alcohol</w:t>
      </w:r>
      <w:r w:rsidR="00F92C3E" w:rsidRPr="0041550F">
        <w:rPr>
          <w:rFonts w:ascii="Times New Roman" w:eastAsia="Times New Roman" w:hAnsi="Times New Roman" w:cs="Times New Roman"/>
          <w:color w:val="000000" w:themeColor="text1"/>
          <w:sz w:val="24"/>
          <w:szCs w:val="24"/>
        </w:rPr>
        <w:t>-</w:t>
      </w:r>
      <w:r w:rsidR="00F92C3E" w:rsidRPr="0041550F">
        <w:rPr>
          <w:rFonts w:ascii="Times New Roman" w:eastAsia="Times New Roman" w:hAnsi="Times New Roman" w:cs="Times New Roman"/>
          <w:i/>
          <w:iCs/>
          <w:color w:val="000000" w:themeColor="text1"/>
          <w:sz w:val="24"/>
          <w:szCs w:val="24"/>
        </w:rPr>
        <w:t>specific</w:t>
      </w:r>
      <w:r w:rsidR="00F92C3E" w:rsidRPr="0041550F">
        <w:rPr>
          <w:rFonts w:ascii="Times New Roman" w:eastAsia="Times New Roman" w:hAnsi="Times New Roman" w:cs="Times New Roman"/>
          <w:color w:val="000000" w:themeColor="text1"/>
          <w:sz w:val="24"/>
          <w:szCs w:val="24"/>
        </w:rPr>
        <w:t xml:space="preserve"> cognitions</w:t>
      </w:r>
      <w:r w:rsidR="00DD73C9" w:rsidRPr="0041550F">
        <w:rPr>
          <w:rFonts w:ascii="Times New Roman" w:eastAsia="Times New Roman" w:hAnsi="Times New Roman" w:cs="Times New Roman"/>
          <w:color w:val="000000" w:themeColor="text1"/>
          <w:sz w:val="24"/>
          <w:szCs w:val="24"/>
        </w:rPr>
        <w:t>,</w:t>
      </w:r>
      <w:r w:rsidR="00E01FC4" w:rsidRPr="0041550F">
        <w:rPr>
          <w:rFonts w:ascii="Times New Roman" w:eastAsia="Times New Roman" w:hAnsi="Times New Roman" w:cs="Times New Roman"/>
          <w:color w:val="000000" w:themeColor="text1"/>
          <w:sz w:val="24"/>
          <w:szCs w:val="24"/>
        </w:rPr>
        <w:t xml:space="preserve"> </w:t>
      </w:r>
      <w:r w:rsidR="00E443E3" w:rsidRPr="0041550F">
        <w:rPr>
          <w:rFonts w:ascii="Times New Roman" w:eastAsia="Times New Roman" w:hAnsi="Times New Roman" w:cs="Times New Roman"/>
          <w:sz w:val="24"/>
          <w:szCs w:val="24"/>
        </w:rPr>
        <w:t>we recommend that</w:t>
      </w:r>
      <w:r w:rsidR="00F92C3E" w:rsidRPr="0041550F">
        <w:rPr>
          <w:rFonts w:ascii="Times New Roman" w:eastAsia="Times New Roman" w:hAnsi="Times New Roman" w:cs="Times New Roman"/>
          <w:sz w:val="24"/>
          <w:szCs w:val="24"/>
        </w:rPr>
        <w:t xml:space="preserve"> </w:t>
      </w:r>
      <w:r w:rsidR="00F92C3E" w:rsidRPr="0041550F">
        <w:rPr>
          <w:rFonts w:ascii="Times New Roman" w:eastAsia="Times New Roman" w:hAnsi="Times New Roman" w:cs="Times New Roman"/>
          <w:color w:val="000000" w:themeColor="text1"/>
          <w:sz w:val="24"/>
          <w:szCs w:val="24"/>
        </w:rPr>
        <w:t xml:space="preserve">researchers </w:t>
      </w:r>
      <w:r w:rsidR="005A755D" w:rsidRPr="0041550F">
        <w:rPr>
          <w:rFonts w:ascii="Times New Roman" w:eastAsia="Times New Roman" w:hAnsi="Times New Roman" w:cs="Times New Roman"/>
          <w:color w:val="000000" w:themeColor="text1"/>
          <w:sz w:val="24"/>
          <w:szCs w:val="24"/>
        </w:rPr>
        <w:t xml:space="preserve">employ matched </w:t>
      </w:r>
      <w:r w:rsidR="00F42C7D" w:rsidRPr="0041550F">
        <w:rPr>
          <w:rFonts w:ascii="Times New Roman" w:eastAsia="Times New Roman" w:hAnsi="Times New Roman" w:cs="Times New Roman"/>
          <w:color w:val="000000" w:themeColor="text1"/>
          <w:sz w:val="24"/>
          <w:szCs w:val="24"/>
        </w:rPr>
        <w:t>alcohol-related</w:t>
      </w:r>
      <w:r w:rsidR="00F92C3E" w:rsidRPr="0041550F">
        <w:rPr>
          <w:rFonts w:ascii="Times New Roman" w:eastAsia="Times New Roman" w:hAnsi="Times New Roman" w:cs="Times New Roman"/>
          <w:color w:val="000000" w:themeColor="text1"/>
          <w:sz w:val="24"/>
          <w:szCs w:val="24"/>
        </w:rPr>
        <w:t xml:space="preserve"> </w:t>
      </w:r>
      <w:r w:rsidR="00BA011F" w:rsidRPr="0041550F">
        <w:rPr>
          <w:rFonts w:ascii="Times New Roman" w:eastAsia="Times New Roman" w:hAnsi="Times New Roman" w:cs="Times New Roman"/>
          <w:color w:val="000000" w:themeColor="text1"/>
          <w:sz w:val="24"/>
          <w:szCs w:val="24"/>
        </w:rPr>
        <w:t xml:space="preserve">and </w:t>
      </w:r>
      <w:r w:rsidR="00BA011F" w:rsidRPr="0041550F">
        <w:rPr>
          <w:rFonts w:ascii="Times New Roman" w:eastAsia="Times New Roman" w:hAnsi="Times New Roman" w:cs="Times New Roman"/>
          <w:i/>
          <w:iCs/>
          <w:color w:val="000000" w:themeColor="text1"/>
          <w:sz w:val="24"/>
          <w:szCs w:val="24"/>
        </w:rPr>
        <w:t>appetitive</w:t>
      </w:r>
      <w:r w:rsidR="00F92C3E" w:rsidRPr="0041550F">
        <w:rPr>
          <w:rFonts w:ascii="Times New Roman" w:eastAsia="Times New Roman" w:hAnsi="Times New Roman" w:cs="Times New Roman"/>
          <w:color w:val="000000" w:themeColor="text1"/>
          <w:sz w:val="24"/>
          <w:szCs w:val="24"/>
        </w:rPr>
        <w:t xml:space="preserve"> alcohol</w:t>
      </w:r>
      <w:r w:rsidR="00F42C7D" w:rsidRPr="0041550F">
        <w:rPr>
          <w:rFonts w:ascii="Times New Roman" w:eastAsia="Times New Roman" w:hAnsi="Times New Roman" w:cs="Times New Roman"/>
          <w:color w:val="000000" w:themeColor="text1"/>
          <w:sz w:val="24"/>
          <w:szCs w:val="24"/>
        </w:rPr>
        <w:t>-unrelated</w:t>
      </w:r>
      <w:r w:rsidR="00F92C3E" w:rsidRPr="0041550F">
        <w:rPr>
          <w:rFonts w:ascii="Times New Roman" w:eastAsia="Times New Roman" w:hAnsi="Times New Roman" w:cs="Times New Roman"/>
          <w:color w:val="000000" w:themeColor="text1"/>
          <w:sz w:val="24"/>
          <w:szCs w:val="24"/>
        </w:rPr>
        <w:t xml:space="preserve"> stimuli (e.g., soft drinks)</w:t>
      </w:r>
      <w:r w:rsidR="005A755D" w:rsidRPr="0041550F">
        <w:rPr>
          <w:rFonts w:ascii="Times New Roman" w:eastAsia="Times New Roman" w:hAnsi="Times New Roman" w:cs="Times New Roman"/>
          <w:color w:val="000000" w:themeColor="text1"/>
          <w:sz w:val="24"/>
          <w:szCs w:val="24"/>
        </w:rPr>
        <w:t>.</w:t>
      </w:r>
      <w:r w:rsidR="00722F00" w:rsidRPr="0041550F">
        <w:rPr>
          <w:rFonts w:ascii="Times New Roman" w:eastAsia="Times New Roman" w:hAnsi="Times New Roman" w:cs="Times New Roman"/>
          <w:color w:val="000000" w:themeColor="text1"/>
          <w:sz w:val="24"/>
          <w:szCs w:val="24"/>
        </w:rPr>
        <w:t xml:space="preserve"> </w:t>
      </w:r>
      <w:r w:rsidR="00F40EE0" w:rsidRPr="0041550F">
        <w:rPr>
          <w:rFonts w:ascii="Times New Roman" w:eastAsia="Times New Roman" w:hAnsi="Times New Roman" w:cs="Times New Roman"/>
          <w:color w:val="000000" w:themeColor="text1"/>
          <w:sz w:val="24"/>
          <w:szCs w:val="24"/>
        </w:rPr>
        <w:t xml:space="preserve">In situations where attentional bias is believed to be unspecific to alcohol, </w:t>
      </w:r>
      <w:r w:rsidR="00D819AA" w:rsidRPr="0041550F">
        <w:rPr>
          <w:rFonts w:ascii="Times New Roman" w:eastAsia="Times New Roman" w:hAnsi="Times New Roman" w:cs="Times New Roman"/>
          <w:color w:val="000000" w:themeColor="text1"/>
          <w:sz w:val="24"/>
          <w:szCs w:val="24"/>
        </w:rPr>
        <w:t xml:space="preserve">it might be more </w:t>
      </w:r>
      <w:r w:rsidR="00240D83" w:rsidRPr="0041550F">
        <w:rPr>
          <w:rFonts w:ascii="Times New Roman" w:eastAsia="Times New Roman" w:hAnsi="Times New Roman" w:cs="Times New Roman"/>
          <w:color w:val="000000" w:themeColor="text1"/>
          <w:sz w:val="24"/>
          <w:szCs w:val="24"/>
        </w:rPr>
        <w:t>suitable</w:t>
      </w:r>
      <w:r w:rsidR="00D819AA" w:rsidRPr="0041550F">
        <w:rPr>
          <w:rFonts w:ascii="Times New Roman" w:eastAsia="Times New Roman" w:hAnsi="Times New Roman" w:cs="Times New Roman"/>
          <w:color w:val="000000" w:themeColor="text1"/>
          <w:sz w:val="24"/>
          <w:szCs w:val="24"/>
        </w:rPr>
        <w:t xml:space="preserve"> to employ both appetitive </w:t>
      </w:r>
      <w:r w:rsidR="00D819AA" w:rsidRPr="0041550F">
        <w:rPr>
          <w:rFonts w:ascii="Times New Roman" w:eastAsia="Times New Roman" w:hAnsi="Times New Roman" w:cs="Times New Roman"/>
          <w:i/>
          <w:iCs/>
          <w:color w:val="000000" w:themeColor="text1"/>
          <w:sz w:val="24"/>
          <w:szCs w:val="24"/>
        </w:rPr>
        <w:t>and</w:t>
      </w:r>
      <w:r w:rsidR="00D819AA" w:rsidRPr="0041550F">
        <w:rPr>
          <w:rFonts w:ascii="Times New Roman" w:eastAsia="Times New Roman" w:hAnsi="Times New Roman" w:cs="Times New Roman"/>
          <w:color w:val="000000" w:themeColor="text1"/>
          <w:sz w:val="24"/>
          <w:szCs w:val="24"/>
        </w:rPr>
        <w:t xml:space="preserve"> non-appetitive control stimuli</w:t>
      </w:r>
      <w:r w:rsidR="00CD3ABB" w:rsidRPr="0041550F">
        <w:rPr>
          <w:rFonts w:ascii="Times New Roman" w:eastAsia="Times New Roman" w:hAnsi="Times New Roman" w:cs="Times New Roman"/>
          <w:color w:val="000000" w:themeColor="text1"/>
          <w:sz w:val="24"/>
          <w:szCs w:val="24"/>
        </w:rPr>
        <w:t xml:space="preserve"> (see 40). </w:t>
      </w:r>
      <w:r w:rsidR="00722F00" w:rsidRPr="0041550F">
        <w:rPr>
          <w:rFonts w:ascii="Times New Roman" w:eastAsia="Times New Roman" w:hAnsi="Times New Roman" w:cs="Times New Roman"/>
          <w:sz w:val="24"/>
          <w:szCs w:val="24"/>
        </w:rPr>
        <w:t>In either case, there needs to be a clear rationale behind stimulus selection.</w:t>
      </w:r>
      <w:r w:rsidR="00022875" w:rsidRPr="0041550F">
        <w:rPr>
          <w:rFonts w:ascii="Times New Roman" w:eastAsia="Times New Roman" w:hAnsi="Times New Roman" w:cs="Times New Roman"/>
          <w:color w:val="000000" w:themeColor="text1"/>
          <w:sz w:val="24"/>
          <w:szCs w:val="24"/>
        </w:rPr>
        <w:t xml:space="preserve"> </w:t>
      </w:r>
      <w:r w:rsidR="005A755D" w:rsidRPr="0041550F">
        <w:rPr>
          <w:rFonts w:ascii="Times New Roman" w:eastAsia="Times New Roman" w:hAnsi="Times New Roman" w:cs="Times New Roman"/>
          <w:sz w:val="24"/>
          <w:szCs w:val="24"/>
        </w:rPr>
        <w:t>Fu</w:t>
      </w:r>
      <w:r w:rsidR="00F637A6" w:rsidRPr="0041550F">
        <w:rPr>
          <w:rFonts w:ascii="Times New Roman" w:eastAsia="Times New Roman" w:hAnsi="Times New Roman" w:cs="Times New Roman"/>
          <w:sz w:val="24"/>
          <w:szCs w:val="24"/>
        </w:rPr>
        <w:t xml:space="preserve">rthermore, </w:t>
      </w:r>
      <w:r w:rsidR="00F32C86" w:rsidRPr="0041550F">
        <w:rPr>
          <w:rFonts w:ascii="Times New Roman" w:eastAsia="Times New Roman" w:hAnsi="Times New Roman" w:cs="Times New Roman"/>
          <w:sz w:val="24"/>
          <w:szCs w:val="24"/>
        </w:rPr>
        <w:t>researchers should report stimulus validation procedures</w:t>
      </w:r>
      <w:r w:rsidR="00047476" w:rsidRPr="0041550F">
        <w:rPr>
          <w:rFonts w:ascii="Times New Roman" w:eastAsia="Times New Roman" w:hAnsi="Times New Roman" w:cs="Times New Roman"/>
          <w:sz w:val="24"/>
          <w:szCs w:val="24"/>
        </w:rPr>
        <w:t xml:space="preserve"> routinely</w:t>
      </w:r>
      <w:r w:rsidR="00F32C86" w:rsidRPr="0041550F">
        <w:rPr>
          <w:rFonts w:ascii="Times New Roman" w:eastAsia="Times New Roman" w:hAnsi="Times New Roman" w:cs="Times New Roman"/>
          <w:sz w:val="24"/>
          <w:szCs w:val="24"/>
        </w:rPr>
        <w:t xml:space="preserve">. </w:t>
      </w:r>
      <w:r w:rsidR="00F92C3E" w:rsidRPr="0041550F">
        <w:rPr>
          <w:rFonts w:ascii="Times New Roman" w:eastAsia="Times New Roman" w:hAnsi="Times New Roman" w:cs="Times New Roman"/>
          <w:sz w:val="24"/>
          <w:szCs w:val="24"/>
        </w:rPr>
        <w:t xml:space="preserve">Where possible, researchers </w:t>
      </w:r>
      <w:r w:rsidR="00F6242C" w:rsidRPr="0041550F">
        <w:rPr>
          <w:rFonts w:ascii="Times New Roman" w:eastAsia="Times New Roman" w:hAnsi="Times New Roman" w:cs="Times New Roman"/>
          <w:sz w:val="24"/>
          <w:szCs w:val="24"/>
        </w:rPr>
        <w:t>can</w:t>
      </w:r>
      <w:r w:rsidR="00F92C3E" w:rsidRPr="0041550F">
        <w:rPr>
          <w:rFonts w:ascii="Times New Roman" w:eastAsia="Times New Roman" w:hAnsi="Times New Roman" w:cs="Times New Roman"/>
          <w:sz w:val="24"/>
          <w:szCs w:val="24"/>
        </w:rPr>
        <w:t xml:space="preserve"> make use of existing </w:t>
      </w:r>
      <w:r w:rsidR="00F6242C" w:rsidRPr="0041550F">
        <w:rPr>
          <w:rFonts w:ascii="Times New Roman" w:eastAsia="Times New Roman" w:hAnsi="Times New Roman" w:cs="Times New Roman"/>
          <w:sz w:val="24"/>
          <w:szCs w:val="24"/>
        </w:rPr>
        <w:t xml:space="preserve">validated </w:t>
      </w:r>
      <w:r w:rsidR="00F92C3E" w:rsidRPr="0041550F">
        <w:rPr>
          <w:rFonts w:ascii="Times New Roman" w:eastAsia="Times New Roman" w:hAnsi="Times New Roman" w:cs="Times New Roman"/>
          <w:sz w:val="24"/>
          <w:szCs w:val="24"/>
        </w:rPr>
        <w:t xml:space="preserve">stimulus sets </w:t>
      </w:r>
      <w:r w:rsidR="006E0583" w:rsidRPr="0041550F">
        <w:rPr>
          <w:rFonts w:ascii="Times New Roman" w:eastAsia="Times New Roman" w:hAnsi="Times New Roman" w:cs="Times New Roman"/>
          <w:sz w:val="24"/>
          <w:szCs w:val="24"/>
        </w:rPr>
        <w:fldChar w:fldCharType="begin" w:fldLock="1"/>
      </w:r>
      <w:r w:rsidR="0018211A"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Paradigms","type":"article-journal","volume":"39"},"uris":["http://www.mendeley.com/documents/?uuid=31c6dbce-a6c2-4641-b657-5ed11bb47c0f"]},{"id":"ITEM-2","itemData":{"DOI":"10.1111/acer.14214","ISSN":"15300277","PMID":"31595975","abstract":"Background: The study of alcohol use frequency utilizes alcohol-related cue imagery. Although a number of alcohol-image databases currently exist, they have several limitations: Many are not publicly available, some use stock images or clip art rather than real photographs, several eliminate any photographs displaying brand information, and predominantly they contain relatively few images. The aim of this project was to develop a large, open-access database of alcohol-related cue images, containing photographs with and without brand information, taken in real-world environments, with images in a variety of orientations and dimensions. Methods: The study collected 1,650 images voluntarily from the larger community, to capture photographs with a wide range of content, environments, and relation to alcohol. All images were then rated on scales of valence, arousal, and relation to alcohol by 1,008 Amazon Mechanical Turk workers, using classical emotion validation methods based on the International Affective Picture System (IAPS). Survey respondents were screened with the Alcohol Use Disorders Identification Test (AUDIT), and Cronbach’s alpha scores were calculated to determine the interrater reliability of scores across the whole sample, and within low-risk, moderate-risk, and high-risk drinkers for each rating domain. Univariate ANOVAs were run to determine differences in ratings across drinking groups. Results: All Cronbach’s alpha scores indicated high interrater reliability within the whole sample, and across drinking severity groups. Tukey’s HSD post hoc results indicated greater arousal and affect in response to image viewing in moderate- and high-risk drinkers, and higher relation-to-alcohol ratings in low-risk drinkers. All images had categorization tags assigned by members of the study team. Conclusions: The established imagery set includes 1,650 alcohol-related images, rated on scales of valence, arousal, and relation to alcohol, and categorized by type of alcohol depicted. The imagery database will be available for open-access download and use through Google Photos.","author":[{"dropping-particle":"","family":"Peterson","given":"Hope","non-dropping-particle":"","parse-names":false,"suffix":""},{"dropping-particle":"","family":"Simpson","given":"Sean L.","non-dropping-particle":"","parse-names":false,"suffix":""},{"dropping-particle":"","family":"Laurienti","given":"Paul J.","non-dropping-particle":"","parse-names":false,"suffix":""}],"container-title":"Alcoholism: Clinical and Experimental Research","id":"ITEM-2","issue":"12","issued":{"date-parts":[["2019"]]},"page":"2559-2567","title":"Wake Forest Alcohol Imagery Set: Development and Validation of a Large Standardized Alcohol Imagery Dataset","type":"article-journal","volume":"43"},"uris":["http://www.mendeley.com/documents/?uuid=b25468bb-be3d-43bd-acde-44708284fc74"]},{"id":"ITEM-3","itemData":{"DOI":"10.1111/ajpy.12272","ISSN":"17429536","abstract":"Objective: Research on implicit biases toward alcoholic stimuli require validated picture sets that (a) contain a wide range of alcoholic and non-alcoholic beverages recognised by the sample population, (b) control for featural differences that do not pertain to the beverage itself, and (c) elicit a desired effect upon viewing, with alcoholic beverages resulting in an increased urge to drink in heavy drinkers. To validate the Australian Beverage Picture Set (OzBPS); a stimulus set to be used in alcohol-related cognitive bias research in Australian populations. Method: A range of alcoholic and non-alcoholic beverages were photographed under controlled conditions in both active (opening, serving, drinking and pouring) and passive contexts (beverage, beverage with empty glass, beverage with full glass). Following that, 98 undergraduates completed an identification and ratings task (measuring valence, arousal, urge to drink and familiarity). Finally, participants completed a questionnaire indexing alcohol consumption. Results: After eliminating beverages that were not easily identified as alcoholic or non-alcoholic, the analysis validated the picture set, revealing a linear relationship between habitual heavy drinking and an increased urge to drink in response to alcoholic beverages. Furthermore, we included a novel pouring context, which was found to elicit a stronger urge to drink compared to other drinking contexts. Conclusions: The OzBPS is a valid image set that will facilitate future research into cognitive correlates of drinking behaviour.","author":[{"dropping-particle":"","family":"Onie","given":"Sandersan","non-dropping-particle":"","parse-names":false,"suffix":""},{"dropping-particle":"","family":"Gong","given":"Sharon","non-dropping-particle":"","parse-names":false,"suffix":""},{"dropping-particle":"","family":"Manwaring","given":"Elizabeth","non-dropping-particle":"","parse-names":false,"suffix":""},{"dropping-particle":"","family":"Grageda","given":"Dayanna","non-dropping-particle":"","parse-names":false,"suffix":""},{"dropping-particle":"","family":"Webb","given":"Kyra","non-dropping-particle":"","parse-names":false,"suffix":""},{"dropping-particle":"","family":"Yuen","given":"Wing See","non-dropping-particle":"","parse-names":false,"suffix":""},{"dropping-particle":"","family":"Most","given":"Steven B.","non-dropping-particle":"","parse-names":false,"suffix":""}],"container-title":"Australian Journal of Psychology","id":"ITEM-3","issue":"2","issued":{"date-parts":[["2020"]]},"page":"223-232","title":"Validation of the Australian beverage picture set: A controlled picture set for cognitive bias measurement and modification paradigms","type":"article-journal","volume":"72"},"uris":["http://www.mendeley.com/documents/?uuid=d5708fda-e13e-4f32-bc76-20a45866eb23"]},{"id":"ITEM-4","itemData":{"DOI":"10.1016/j.drugalcdep.2017.11.022","ISSN":"18790046","PMID":"29402678","abstract":"Background: The available picture sets in alcohol research are scarce and display a number of limitations, including poor picture quality, limited number of stimuli and absence of non-alcohol and/or real-life images. In the present study, we developed the Galician Beverage Picture Set (GBPS), a database of high-quality alcohol and non-alcohol pictures embedded in real-life scenarios. Methods: A total of 201 college students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 xml:space="preserve">59% females) were assessed by the Alcohol Use Disorders Identification Test,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 xml:space="preserve">54% being characterized as no/low drinkers (N/LDs) and </w:instrText>
      </w:r>
      <w:r w:rsidR="0018211A" w:rsidRPr="0041550F">
        <w:rPr>
          <w:rFonts w:ascii="Cambria Math" w:eastAsia="Times New Roman" w:hAnsi="Cambria Math" w:cs="Cambria Math"/>
          <w:sz w:val="24"/>
          <w:szCs w:val="24"/>
        </w:rPr>
        <w:instrText>∼</w:instrText>
      </w:r>
      <w:r w:rsidR="0018211A" w:rsidRPr="0041550F">
        <w:rPr>
          <w:rFonts w:ascii="Times New Roman" w:eastAsia="Times New Roman" w:hAnsi="Times New Roman" w:cs="Times New Roman"/>
          <w:sz w:val="24"/>
          <w:szCs w:val="24"/>
        </w:rPr>
        <w:instrText>46% as risky drinkers (RDs). The GBPS included six types of beverages: beer, wine, liquor (alcoholic drinks); water, juice, milk (non-alcoholic drinks). Additionally, two subcategories were considered: orientation (landscape, portrait) and number of people (0, 1, ≥2 people). Participants rated the images for valence, arousal and visual complexity. Objective measures of brightness and color and recognition rates were also assessed. Internal consistency was estimated using Cronbach's alpha coefficient. Results: There was a high degree of internal consistency within each category (alcoholic and non-alcoholic drinks) for valence, arousal and visual complexity scores. A mixed-model ANOVA revealed that RDs rated alcohol pictures as more pleasant and arousing than N/LDs. Conversely, N/LDs displayed greater valence and arousal ratings than RDs for non-alcohol pictures. Conclusions: The GBPS provides normative data on affective (valence/arousal), perceptual (visual complexity) and physical (brightness/color) values for a large number of images that may be useful for alcohol-related research. Differences in subjective assessments between N/LDs and RDs support the picture set's suitability for studies in young drinkers.","author":[{"dropping-particle":"","family":"López-Caneda","given":"E.","non-dropping-particle":"","parse-names":false,"suffix":""},{"dropping-particle":"","family":"Carbia","given":"C.","non-dropping-particle":"","parse-names":false,"suffix":""}],"container-title":"Drug and Alcohol Dependence","id":"ITEM-4","issue":"September 2017","issued":{"date-parts":[["2018"]]},"page":"42-47","publisher":"Elsevier","title":"The Galician Beverage Picture Set (GBPS): A standardized database of alcohol and non-alcohol images","type":"article-journal","volume":"184"},"uris":["http://www.mendeley.com/documents/?uuid=abebe159-bc77-4717-9461-b5df6f99d96e"]},{"id":"ITEM-5","itemData":{"DOI":"10.1080/00952990.2016.1253093","ISSN":"10979891","PMID":"27893279","abstract":"Background: Photographic stimuli are commonly used to assess cue reactivity in the research and treatment of alcohol use disorder. The stimuli used are often non-standardized, not properly validated, and poorly controlled. There are no previously published, validated, American-relevant sets of alcohol images created in a standardized fashion. Objectives: We aimed to: 1) make available a standardized, matched set of photographic alcohol and non-alcohol beverage stimuli, 2) establish face validity, the extent to which the stimuli are subjectively viewed as what they are purported to be, and 3) establish construct validity, the degree to which a test measures what it claims to be measuring. Methods: We produced a standardized set of 36 images consisting of American alcohol and non-alcohol beverages matched for basic color, form, and complexity. A total of 178 participants (95 male, 82 female, 1 genderqueer) rated each image for appetitiveness. An arrow-probe task, in which matched pairs were categorized after being presented for 200 ms, assessed face validity. Criteria for construct validity were met if variation in AUDIT scores were associated with variation in performance on tasks during alcohol image presentation. Results: Overall, images were categorized with &gt;90% accuracy. Participants’ AUDIT scores correlated significantly with alcohol “want” and “like” ratings [r(176) = 0.27, p = &lt;0.001; r(176) = 0.36, p = &lt;0.001] and arrow-probe latency [r(176) = −0.22, p = 0.004], but not with non-alcohol outcomes. Furthermore, appetitive ratings and arrow-probe latency for alcohol, but not non-alcohol, differed significantly for heavy versus light drinkers. Conclusion: Our image set provides valid and reliable alcohol stimuli for both explicit and implicit tests of cue reactivity. The use of standardized, validated, reliable image sets may improve consistency across research and treatment paradigms.","author":[{"dropping-particle":"","family":"Stauffer","given":"Christopher S.","non-dropping-particle":"","parse-names":false,"suffix":""},{"dropping-particle":"","family":"Dobberteen","given":"Lily","non-dropping-particle":"","parse-names":false,"suffix":""},{"dropping-particle":"","family":"Woolley","given":"Joshua D.","non-dropping-particle":"","parse-names":false,"suffix":""}],"container-title":"American Journal of Drug and Alcohol Abuse","id":"ITEM-5","issue":"6","issued":{"date-parts":[["2017"]]},"page":"647-655","publisher":"Taylor &amp; Francis","title":"American Alcohol Photo Stimuli (AAPS): A standardized set of alcohol and matched non-alcohol images","type":"article-journal","volume":"43"},"uris":["http://www.mendeley.com/documents/?uuid=b266d90a-ca2e-41f5-b5a1-de64c3f2a767"]}],"mendeley":{"formattedCitation":"(44,66–69)","plainTextFormattedCitation":"(44,66–69)","previouslyFormattedCitation":"(44,66–69)"},"properties":{"noteIndex":0},"schema":"https://github.com/citation-style-language/schema/raw/master/csl-citation.json"}</w:instrText>
      </w:r>
      <w:r w:rsidR="006E0583" w:rsidRPr="0041550F">
        <w:rPr>
          <w:rFonts w:ascii="Times New Roman" w:eastAsia="Times New Roman" w:hAnsi="Times New Roman" w:cs="Times New Roman"/>
          <w:sz w:val="24"/>
          <w:szCs w:val="24"/>
        </w:rPr>
        <w:fldChar w:fldCharType="separate"/>
      </w:r>
      <w:r w:rsidR="0018211A" w:rsidRPr="0041550F">
        <w:rPr>
          <w:rFonts w:ascii="Times New Roman" w:eastAsia="Times New Roman" w:hAnsi="Times New Roman" w:cs="Times New Roman"/>
          <w:noProof/>
          <w:sz w:val="24"/>
          <w:szCs w:val="24"/>
        </w:rPr>
        <w:t>(44,66–69)</w:t>
      </w:r>
      <w:r w:rsidR="006E0583" w:rsidRPr="0041550F">
        <w:rPr>
          <w:rFonts w:ascii="Times New Roman" w:eastAsia="Times New Roman" w:hAnsi="Times New Roman" w:cs="Times New Roman"/>
          <w:sz w:val="24"/>
          <w:szCs w:val="24"/>
        </w:rPr>
        <w:fldChar w:fldCharType="end"/>
      </w:r>
      <w:r w:rsidR="00DA4C57" w:rsidRPr="0041550F">
        <w:rPr>
          <w:rFonts w:ascii="Times New Roman" w:eastAsia="Times New Roman" w:hAnsi="Times New Roman" w:cs="Times New Roman"/>
          <w:sz w:val="24"/>
          <w:szCs w:val="24"/>
        </w:rPr>
        <w:t xml:space="preserve"> </w:t>
      </w:r>
      <w:r w:rsidR="00DA4C57" w:rsidRPr="0041550F">
        <w:rPr>
          <w:rFonts w:ascii="Times New Roman" w:eastAsia="Times New Roman" w:hAnsi="Times New Roman" w:cs="Times New Roman"/>
          <w:color w:val="000000" w:themeColor="text1"/>
          <w:sz w:val="24"/>
          <w:szCs w:val="24"/>
        </w:rPr>
        <w:t xml:space="preserve">and in situations </w:t>
      </w:r>
      <w:r w:rsidR="007F6A7B" w:rsidRPr="0041550F">
        <w:rPr>
          <w:rFonts w:ascii="Times New Roman" w:eastAsia="Times New Roman" w:hAnsi="Times New Roman" w:cs="Times New Roman"/>
          <w:sz w:val="24"/>
          <w:szCs w:val="24"/>
        </w:rPr>
        <w:t xml:space="preserve">where this is inappropriate (e.g., cultural differences in drinking preferences, brand familiarity), </w:t>
      </w:r>
      <w:r w:rsidR="00257FEE" w:rsidRPr="0041550F">
        <w:rPr>
          <w:rFonts w:ascii="Times New Roman" w:eastAsia="Times New Roman" w:hAnsi="Times New Roman" w:cs="Times New Roman"/>
          <w:sz w:val="24"/>
          <w:szCs w:val="24"/>
        </w:rPr>
        <w:t xml:space="preserve">available guidelines (see </w:t>
      </w:r>
      <w:r w:rsidR="005F6CB3" w:rsidRPr="0041550F">
        <w:rPr>
          <w:rFonts w:ascii="Times New Roman" w:eastAsia="Times New Roman" w:hAnsi="Times New Roman" w:cs="Times New Roman"/>
          <w:sz w:val="24"/>
          <w:szCs w:val="24"/>
        </w:rPr>
        <w:fldChar w:fldCharType="begin" w:fldLock="1"/>
      </w:r>
      <w:r w:rsidR="001F295D" w:rsidRPr="0041550F">
        <w:rPr>
          <w:rFonts w:ascii="Times New Roman" w:eastAsia="Times New Roman" w:hAnsi="Times New Roman" w:cs="Times New Roman"/>
          <w:sz w:val="24"/>
          <w:szCs w:val="24"/>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manualFormatting":"44)","plainTextFormattedCitation":"(44)","previouslyFormattedCitation":"(44)"},"properties":{"noteIndex":0},"schema":"https://github.com/citation-style-language/schema/raw/master/csl-citation.json"}</w:instrText>
      </w:r>
      <w:r w:rsidR="005F6CB3"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44)</w:t>
      </w:r>
      <w:r w:rsidR="005F6CB3" w:rsidRPr="0041550F">
        <w:rPr>
          <w:rFonts w:ascii="Times New Roman" w:eastAsia="Times New Roman" w:hAnsi="Times New Roman" w:cs="Times New Roman"/>
          <w:sz w:val="24"/>
          <w:szCs w:val="24"/>
        </w:rPr>
        <w:fldChar w:fldCharType="end"/>
      </w:r>
      <w:r w:rsidR="007F6A7B" w:rsidRPr="0041550F">
        <w:rPr>
          <w:rFonts w:ascii="Times New Roman" w:eastAsia="Times New Roman" w:hAnsi="Times New Roman" w:cs="Times New Roman"/>
          <w:sz w:val="24"/>
          <w:szCs w:val="24"/>
        </w:rPr>
        <w:t xml:space="preserve"> should </w:t>
      </w:r>
      <w:r w:rsidR="002819E8" w:rsidRPr="0041550F">
        <w:rPr>
          <w:rFonts w:ascii="Times New Roman" w:eastAsia="Times New Roman" w:hAnsi="Times New Roman" w:cs="Times New Roman"/>
          <w:sz w:val="24"/>
          <w:szCs w:val="24"/>
        </w:rPr>
        <w:t xml:space="preserve">be </w:t>
      </w:r>
      <w:r w:rsidR="00150C2C" w:rsidRPr="0041550F">
        <w:rPr>
          <w:rFonts w:ascii="Times New Roman" w:eastAsia="Times New Roman" w:hAnsi="Times New Roman" w:cs="Times New Roman"/>
          <w:sz w:val="24"/>
          <w:szCs w:val="24"/>
        </w:rPr>
        <w:t>utilise</w:t>
      </w:r>
      <w:r w:rsidR="00257FEE" w:rsidRPr="0041550F">
        <w:rPr>
          <w:rFonts w:ascii="Times New Roman" w:eastAsia="Times New Roman" w:hAnsi="Times New Roman" w:cs="Times New Roman"/>
          <w:sz w:val="24"/>
          <w:szCs w:val="24"/>
        </w:rPr>
        <w:t>d</w:t>
      </w:r>
      <w:r w:rsidR="00150C2C" w:rsidRPr="0041550F">
        <w:rPr>
          <w:rFonts w:ascii="Times New Roman" w:eastAsia="Times New Roman" w:hAnsi="Times New Roman" w:cs="Times New Roman"/>
          <w:sz w:val="24"/>
          <w:szCs w:val="24"/>
        </w:rPr>
        <w:t xml:space="preserve"> </w:t>
      </w:r>
      <w:r w:rsidR="00257FEE" w:rsidRPr="0041550F">
        <w:rPr>
          <w:rFonts w:ascii="Times New Roman" w:eastAsia="Times New Roman" w:hAnsi="Times New Roman" w:cs="Times New Roman"/>
          <w:sz w:val="24"/>
          <w:szCs w:val="24"/>
        </w:rPr>
        <w:t>to</w:t>
      </w:r>
      <w:r w:rsidR="00150C2C" w:rsidRPr="0041550F">
        <w:rPr>
          <w:rFonts w:ascii="Times New Roman" w:eastAsia="Times New Roman" w:hAnsi="Times New Roman" w:cs="Times New Roman"/>
          <w:sz w:val="24"/>
          <w:szCs w:val="24"/>
        </w:rPr>
        <w:t xml:space="preserve"> develo</w:t>
      </w:r>
      <w:r w:rsidR="00257FEE" w:rsidRPr="0041550F">
        <w:rPr>
          <w:rFonts w:ascii="Times New Roman" w:eastAsia="Times New Roman" w:hAnsi="Times New Roman" w:cs="Times New Roman"/>
          <w:sz w:val="24"/>
          <w:szCs w:val="24"/>
        </w:rPr>
        <w:t>p</w:t>
      </w:r>
      <w:r w:rsidR="00150C2C" w:rsidRPr="0041550F">
        <w:rPr>
          <w:rFonts w:ascii="Times New Roman" w:eastAsia="Times New Roman" w:hAnsi="Times New Roman" w:cs="Times New Roman"/>
          <w:sz w:val="24"/>
          <w:szCs w:val="24"/>
        </w:rPr>
        <w:t xml:space="preserve"> new sets. </w:t>
      </w:r>
    </w:p>
    <w:p w14:paraId="33152FC2" w14:textId="41FECBBC" w:rsidR="007C1BD0" w:rsidRPr="0041550F" w:rsidRDefault="00EA0652" w:rsidP="00020D2F">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Second, we </w:t>
      </w:r>
      <w:r w:rsidR="00DE0CEF" w:rsidRPr="0041550F">
        <w:rPr>
          <w:rFonts w:ascii="Times New Roman" w:eastAsia="Times New Roman" w:hAnsi="Times New Roman" w:cs="Times New Roman"/>
          <w:sz w:val="24"/>
          <w:szCs w:val="24"/>
        </w:rPr>
        <w:t>recapitulate</w:t>
      </w:r>
      <w:r w:rsidRPr="0041550F">
        <w:rPr>
          <w:rFonts w:ascii="Times New Roman" w:eastAsia="Times New Roman" w:hAnsi="Times New Roman" w:cs="Times New Roman"/>
          <w:sz w:val="24"/>
          <w:szCs w:val="24"/>
        </w:rPr>
        <w:t xml:space="preserve"> calls for </w:t>
      </w:r>
      <w:r w:rsidR="00D33AE9" w:rsidRPr="0041550F">
        <w:rPr>
          <w:rFonts w:ascii="Times New Roman" w:eastAsia="Times New Roman" w:hAnsi="Times New Roman" w:cs="Times New Roman"/>
          <w:sz w:val="24"/>
          <w:szCs w:val="24"/>
        </w:rPr>
        <w:t xml:space="preserve">a </w:t>
      </w:r>
      <w:r w:rsidRPr="0041550F">
        <w:rPr>
          <w:rFonts w:ascii="Times New Roman" w:eastAsia="Times New Roman" w:hAnsi="Times New Roman" w:cs="Times New Roman"/>
          <w:sz w:val="24"/>
          <w:szCs w:val="24"/>
        </w:rPr>
        <w:t>standard practice of reporting the reliability</w:t>
      </w:r>
      <w:r w:rsidR="00944549" w:rsidRPr="0041550F">
        <w:rPr>
          <w:rFonts w:ascii="Times New Roman" w:eastAsia="Times New Roman" w:hAnsi="Times New Roman" w:cs="Times New Roman"/>
          <w:sz w:val="24"/>
          <w:szCs w:val="24"/>
        </w:rPr>
        <w:t xml:space="preserve"> (and validity)</w:t>
      </w:r>
      <w:r w:rsidRPr="0041550F">
        <w:rPr>
          <w:rFonts w:ascii="Times New Roman" w:eastAsia="Times New Roman" w:hAnsi="Times New Roman" w:cs="Times New Roman"/>
          <w:sz w:val="24"/>
          <w:szCs w:val="24"/>
        </w:rPr>
        <w:t xml:space="preserve"> of cognitive tasks </w:t>
      </w:r>
      <w:r w:rsidR="00881CF0"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881CF0"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881CF0" w:rsidRPr="0041550F">
        <w:rPr>
          <w:rFonts w:ascii="Times New Roman" w:eastAsia="Times New Roman" w:hAnsi="Times New Roman" w:cs="Times New Roman"/>
          <w:sz w:val="24"/>
          <w:szCs w:val="24"/>
        </w:rPr>
        <w:fldChar w:fldCharType="end"/>
      </w:r>
      <w:r w:rsidR="00881CF0"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within alcohol research.</w:t>
      </w:r>
      <w:r w:rsidR="008B1461" w:rsidRPr="0041550F">
        <w:rPr>
          <w:rFonts w:ascii="Times New Roman" w:eastAsia="Times New Roman" w:hAnsi="Times New Roman" w:cs="Times New Roman"/>
          <w:sz w:val="24"/>
          <w:szCs w:val="24"/>
        </w:rPr>
        <w:t xml:space="preserve"> This is </w:t>
      </w:r>
      <w:r w:rsidR="00DE0CEF" w:rsidRPr="0041550F">
        <w:rPr>
          <w:rFonts w:ascii="Times New Roman" w:eastAsia="Times New Roman" w:hAnsi="Times New Roman" w:cs="Times New Roman"/>
          <w:sz w:val="24"/>
          <w:szCs w:val="24"/>
        </w:rPr>
        <w:t>essential</w:t>
      </w:r>
      <w:r w:rsidR="008B1461"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 xml:space="preserve">given that </w:t>
      </w:r>
      <w:r w:rsidR="000614A3" w:rsidRPr="0041550F">
        <w:rPr>
          <w:rFonts w:ascii="Times New Roman" w:eastAsia="Times New Roman" w:hAnsi="Times New Roman" w:cs="Times New Roman"/>
          <w:sz w:val="24"/>
          <w:szCs w:val="24"/>
        </w:rPr>
        <w:t xml:space="preserve">reliability </w:t>
      </w:r>
      <w:r w:rsidR="000614A3" w:rsidRPr="0041550F">
        <w:rPr>
          <w:rFonts w:ascii="Times New Roman" w:eastAsia="Times New Roman" w:hAnsi="Times New Roman" w:cs="Times New Roman"/>
          <w:sz w:val="24"/>
          <w:szCs w:val="24"/>
        </w:rPr>
        <w:lastRenderedPageBreak/>
        <w:t xml:space="preserve">estimates differ </w:t>
      </w:r>
      <w:r w:rsidR="00DE0CEF" w:rsidRPr="0041550F">
        <w:rPr>
          <w:rFonts w:ascii="Times New Roman" w:eastAsia="Times New Roman" w:hAnsi="Times New Roman" w:cs="Times New Roman"/>
          <w:sz w:val="24"/>
          <w:szCs w:val="24"/>
        </w:rPr>
        <w:t xml:space="preserve">between </w:t>
      </w:r>
      <w:r w:rsidR="000614A3" w:rsidRPr="0041550F">
        <w:rPr>
          <w:rFonts w:ascii="Times New Roman" w:eastAsia="Times New Roman" w:hAnsi="Times New Roman" w:cs="Times New Roman"/>
          <w:sz w:val="24"/>
          <w:szCs w:val="24"/>
        </w:rPr>
        <w:t>sample</w:t>
      </w:r>
      <w:r w:rsidR="00DE0CEF" w:rsidRPr="0041550F">
        <w:rPr>
          <w:rFonts w:ascii="Times New Roman" w:eastAsia="Times New Roman" w:hAnsi="Times New Roman" w:cs="Times New Roman"/>
          <w:sz w:val="24"/>
          <w:szCs w:val="24"/>
        </w:rPr>
        <w:t>s</w:t>
      </w:r>
      <w:r w:rsidR="000614A3"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experimental</w:t>
      </w:r>
      <w:r w:rsidR="000614A3" w:rsidRPr="0041550F">
        <w:rPr>
          <w:rFonts w:ascii="Times New Roman" w:eastAsia="Times New Roman" w:hAnsi="Times New Roman" w:cs="Times New Roman"/>
          <w:sz w:val="24"/>
          <w:szCs w:val="24"/>
        </w:rPr>
        <w:t xml:space="preserve"> task parameters and measures</w:t>
      </w:r>
      <w:r w:rsidR="008B1461" w:rsidRPr="0041550F">
        <w:rPr>
          <w:rFonts w:ascii="Times New Roman" w:eastAsia="Times New Roman" w:hAnsi="Times New Roman" w:cs="Times New Roman"/>
          <w:sz w:val="24"/>
          <w:szCs w:val="24"/>
        </w:rPr>
        <w:t>.</w:t>
      </w:r>
      <w:r w:rsidR="000560FD" w:rsidRPr="0041550F">
        <w:rPr>
          <w:rFonts w:ascii="Times New Roman" w:eastAsia="Times New Roman" w:hAnsi="Times New Roman" w:cs="Times New Roman"/>
          <w:sz w:val="24"/>
          <w:szCs w:val="24"/>
        </w:rPr>
        <w:t xml:space="preserve"> A helpful guide is provided by </w:t>
      </w:r>
      <w:r w:rsidR="00992119" w:rsidRPr="0041550F">
        <w:rPr>
          <w:rFonts w:ascii="Times New Roman" w:eastAsia="Times New Roman" w:hAnsi="Times New Roman" w:cs="Times New Roman"/>
          <w:sz w:val="24"/>
          <w:szCs w:val="24"/>
        </w:rPr>
        <w:t xml:space="preserve">Parsons et al. </w:t>
      </w:r>
      <w:r w:rsidR="00A377B4" w:rsidRPr="0041550F">
        <w:rPr>
          <w:rFonts w:ascii="Times New Roman" w:eastAsia="Times New Roman" w:hAnsi="Times New Roman" w:cs="Times New Roman"/>
          <w:sz w:val="24"/>
          <w:szCs w:val="24"/>
        </w:rPr>
        <w:fldChar w:fldCharType="begin" w:fldLock="1"/>
      </w:r>
      <w:r w:rsidR="0072560E" w:rsidRPr="0041550F">
        <w:rPr>
          <w:rFonts w:ascii="Times New Roman" w:eastAsia="Times New Roman" w:hAnsi="Times New Roman" w:cs="Times New Roman"/>
          <w:sz w:val="24"/>
          <w:szCs w:val="24"/>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mendeley":{"formattedCitation":"(16)","plainTextFormattedCitation":"(16)","previouslyFormattedCitation":"(16)"},"properties":{"noteIndex":0},"schema":"https://github.com/citation-style-language/schema/raw/master/csl-citation.json"}</w:instrText>
      </w:r>
      <w:r w:rsidR="00A377B4" w:rsidRPr="0041550F">
        <w:rPr>
          <w:rFonts w:ascii="Times New Roman" w:eastAsia="Times New Roman" w:hAnsi="Times New Roman" w:cs="Times New Roman"/>
          <w:sz w:val="24"/>
          <w:szCs w:val="24"/>
        </w:rPr>
        <w:fldChar w:fldCharType="separate"/>
      </w:r>
      <w:r w:rsidR="0072560E" w:rsidRPr="0041550F">
        <w:rPr>
          <w:rFonts w:ascii="Times New Roman" w:eastAsia="Times New Roman" w:hAnsi="Times New Roman" w:cs="Times New Roman"/>
          <w:noProof/>
          <w:sz w:val="24"/>
          <w:szCs w:val="24"/>
        </w:rPr>
        <w:t>(16)</w:t>
      </w:r>
      <w:r w:rsidR="00A377B4" w:rsidRPr="0041550F">
        <w:rPr>
          <w:rFonts w:ascii="Times New Roman" w:eastAsia="Times New Roman" w:hAnsi="Times New Roman" w:cs="Times New Roman"/>
          <w:sz w:val="24"/>
          <w:szCs w:val="24"/>
        </w:rPr>
        <w:fldChar w:fldCharType="end"/>
      </w:r>
      <w:r w:rsidR="000560FD" w:rsidRPr="0041550F">
        <w:rPr>
          <w:rFonts w:ascii="Times New Roman" w:eastAsia="Times New Roman" w:hAnsi="Times New Roman" w:cs="Times New Roman"/>
          <w:sz w:val="24"/>
          <w:szCs w:val="24"/>
        </w:rPr>
        <w:t xml:space="preserve"> who suggest that permutation split-half reliability should be estimated for individual trial-level data</w:t>
      </w:r>
      <w:r w:rsidR="00A955E5" w:rsidRPr="0041550F">
        <w:rPr>
          <w:rFonts w:ascii="Times New Roman" w:eastAsia="Times New Roman" w:hAnsi="Times New Roman" w:cs="Times New Roman"/>
          <w:sz w:val="24"/>
          <w:szCs w:val="24"/>
        </w:rPr>
        <w:t xml:space="preserve"> and test-retest reliability </w:t>
      </w:r>
      <w:r w:rsidR="00B24D60" w:rsidRPr="0041550F">
        <w:rPr>
          <w:rFonts w:ascii="Times New Roman" w:eastAsia="Times New Roman" w:hAnsi="Times New Roman" w:cs="Times New Roman"/>
          <w:sz w:val="24"/>
          <w:szCs w:val="24"/>
        </w:rPr>
        <w:t>when</w:t>
      </w:r>
      <w:r w:rsidR="00A955E5" w:rsidRPr="0041550F">
        <w:rPr>
          <w:rFonts w:ascii="Times New Roman" w:eastAsia="Times New Roman" w:hAnsi="Times New Roman" w:cs="Times New Roman"/>
          <w:sz w:val="24"/>
          <w:szCs w:val="24"/>
        </w:rPr>
        <w:t xml:space="preserve"> assessing trait constructs</w:t>
      </w:r>
      <w:r w:rsidR="000560FD" w:rsidRPr="0041550F">
        <w:rPr>
          <w:rFonts w:ascii="Times New Roman" w:eastAsia="Times New Roman" w:hAnsi="Times New Roman" w:cs="Times New Roman"/>
          <w:sz w:val="24"/>
          <w:szCs w:val="24"/>
        </w:rPr>
        <w:t>.</w:t>
      </w:r>
      <w:r w:rsidR="0011119B" w:rsidRPr="0041550F">
        <w:rPr>
          <w:rFonts w:ascii="Times New Roman" w:eastAsia="Times New Roman" w:hAnsi="Times New Roman" w:cs="Times New Roman"/>
          <w:sz w:val="24"/>
          <w:szCs w:val="24"/>
        </w:rPr>
        <w:t xml:space="preserve"> W</w:t>
      </w:r>
      <w:r w:rsidR="00A042F4" w:rsidRPr="0041550F">
        <w:rPr>
          <w:rFonts w:ascii="Times New Roman" w:eastAsia="Times New Roman" w:hAnsi="Times New Roman" w:cs="Times New Roman"/>
          <w:sz w:val="24"/>
          <w:szCs w:val="24"/>
        </w:rPr>
        <w:t xml:space="preserve">e </w:t>
      </w:r>
      <w:r w:rsidR="0011119B" w:rsidRPr="0041550F">
        <w:rPr>
          <w:rFonts w:ascii="Times New Roman" w:eastAsia="Times New Roman" w:hAnsi="Times New Roman" w:cs="Times New Roman"/>
          <w:sz w:val="24"/>
          <w:szCs w:val="24"/>
        </w:rPr>
        <w:t>encourage a focus on improving the reliability of certain experimental paradigms, such as the</w:t>
      </w:r>
      <w:r w:rsidR="00C73271" w:rsidRPr="0041550F">
        <w:rPr>
          <w:rFonts w:ascii="Times New Roman" w:eastAsia="Times New Roman" w:hAnsi="Times New Roman" w:cs="Times New Roman"/>
          <w:sz w:val="24"/>
          <w:szCs w:val="24"/>
        </w:rPr>
        <w:t xml:space="preserve"> VPT and</w:t>
      </w:r>
      <w:r w:rsidR="0011119B" w:rsidRPr="0041550F">
        <w:rPr>
          <w:rFonts w:ascii="Times New Roman" w:eastAsia="Times New Roman" w:hAnsi="Times New Roman" w:cs="Times New Roman"/>
          <w:sz w:val="24"/>
          <w:szCs w:val="24"/>
        </w:rPr>
        <w:t xml:space="preserve"> Addiction Stroop task</w:t>
      </w:r>
      <w:r w:rsidR="00DC2508" w:rsidRPr="0041550F">
        <w:rPr>
          <w:rFonts w:ascii="Times New Roman" w:eastAsia="Times New Roman" w:hAnsi="Times New Roman" w:cs="Times New Roman"/>
          <w:sz w:val="24"/>
          <w:szCs w:val="24"/>
        </w:rPr>
        <w:t xml:space="preserve"> </w:t>
      </w:r>
      <w:r w:rsidR="00DC2508" w:rsidRPr="0041550F">
        <w:rPr>
          <w:rFonts w:ascii="Times New Roman" w:eastAsia="Times New Roman" w:hAnsi="Times New Roman" w:cs="Times New Roman"/>
          <w:sz w:val="24"/>
          <w:szCs w:val="24"/>
        </w:rPr>
        <w:fldChar w:fldCharType="begin" w:fldLock="1"/>
      </w:r>
      <w:r w:rsidR="0018211A" w:rsidRPr="0041550F">
        <w:rPr>
          <w:rFonts w:ascii="Times New Roman" w:eastAsia="Times New Roman" w:hAnsi="Times New Roman" w:cs="Times New Roman"/>
          <w:sz w:val="24"/>
          <w:szCs w:val="24"/>
        </w:rPr>
        <w:instrText>ADDIN CSL_CITATION {"citationItems":[{"id":"ITEM-1","itemData":{"DOI":"10.1016/j.drugalcdep.2015.07.672","ISSN":"18790046","PMID":"26239377","abstract":"Background: In the current study, we investigated whether the internal reliability of the visual probe task measure of attentional bias for substance-related cues could be improved by incorporating eye-tracking methods and personalised stimuli. Method: Sixty social drinkers completed two visual probe tasks: one with a broad range of different alcohol pictures, the other containing only images of the participants' preferred drink. Attentional bias was inferred from manual reaction times to probes replacing the pictures, and from the duration of eye movement fixations towards the pictures (gaze dwell time). Results: Internal reliability was highest for personalised (versus general) alcohol stimuli, and for eye-tracking (versus manual reaction time) measures of attentional bias. The internal reliability of both reaction time (. α=. .73) and gaze dwell time measures (. α=. .76) of attentional bias for personalised alcohol stimuli was acceptable. Internal reliability of indices of attentional bias for general alcohol stimuli was inferior, although better for the gaze dwell time (. α=. .51) compared to the reaction time measure (. α=. .19). Attentional bias towards personalised stimuli was larger than bias to general stimuli, but only for the reaction time measure. There were no statistically significant associations between measures of attentional bias and alcohol consumption or craving. Conclusions: Adopting personalised stimuli and eye movement monitoring significantly improves the internal reliability of the alcohol-related visual probe task.","author":[{"dropping-particle":"","family":"Christiansen","given":"Paul","non-dropping-particle":"","parse-names":false,"suffix":""},{"dropping-particle":"","family":"Mansfield","given":"Rosie","non-dropping-particle":"","parse-names":false,"suffix":""},{"dropping-particle":"","family":"Duckworth","given":"Jay","non-dropping-particle":"","parse-names":false,"suffix":""},{"dropping-particle":"","family":"Field","given":"Matt","non-dropping-particle":"","parse-names":false,"suffix":""},{"dropping-particle":"","family":"Jones","given":"Andrew","non-dropping-particle":"","parse-names":false,"suffix":""}],"container-title":"Drug and Alcohol Dependence","id":"ITEM-1","issued":{"date-parts":[["2015"]]},"page":"170-174","publisher":"Elsevier Ireland Ltd","title":"Internal reliability of the alcohol-related visual probe task is increased by utilising personalised stimuli and eye-tracking","type":"article-journal","volume":"155"},"uris":["http://www.mendeley.com/documents/?uuid=0c19ff78-b233-42a8-ba76-d748b98595e4"]},{"id":"ITEM-2","itemData":{"DOI":"10.1016/j.brat.2021.103805","ISSN":"1873622X","abstract":"Cognitive models contend that attentional bias to negative information contributes to elevated anxiety vulnerability and dysfunction. The most common approach for assessing such bias is the attentional probe task. In this task, participants are presented with stimulus pairs, usually comprising a negative and benign member. A single visual probe subsequently appears in the locus where either stimulus was displayed, and remains on-screen until the participant identifies it. Attentional distribution is inferred from relative speed to identify probes in the location of each stimulus. Recently, investigators have raised concerns about the psychometric reliability of this attentional probe task as a measure of attentional bias, and have called for the development of new tasks with the capacity to more reliably assess variation in biased attentional responding to target stimuli. In response to this call, we report the development of a new dual probe attentional assessment approach, in which two probes are briefly presented on each trial, and attentional distribution is inferred from relative accuracy to identify probes appearing in each screen location. Across four studies, we show that this dual probe approach demonstrates much higher psychometric reliability than the single probe task, and can sensitively detect anxiety-linked attentional bias to negative information.","author":[{"dropping-particle":"","family":"Grafton","given":"Ben","non-dropping-particle":"","parse-names":false,"suffix":""},{"dropping-particle":"","family":"Teng","given":"Stephanie","non-dropping-particle":"","parse-names":false,"suffix":""},{"dropping-particle":"","family":"MacLeod","given":"Colin","non-dropping-particle":"","parse-names":false,"suffix":""}],"container-title":"Behaviour Research and Therapy","id":"ITEM-2","issue":"January","issued":{"date-parts":[["2021"]]},"page":"103805","publisher":"Elsevier Ltd","title":"Two probes and better than one: Development of a psychometrically reliable variant of the attentional probe task","type":"article-journal","volume":"138"},"uris":["http://www.mendeley.com/documents/?uuid=2e2abe06-405c-495e-8064-d30dd1c6f450"]}],"mendeley":{"formattedCitation":"(56,70)","plainTextFormattedCitation":"(56,70)","previouslyFormattedCitation":"(56,70)"},"properties":{"noteIndex":0},"schema":"https://github.com/citation-style-language/schema/raw/master/csl-citation.json"}</w:instrText>
      </w:r>
      <w:r w:rsidR="00DC2508" w:rsidRPr="0041550F">
        <w:rPr>
          <w:rFonts w:ascii="Times New Roman" w:eastAsia="Times New Roman" w:hAnsi="Times New Roman" w:cs="Times New Roman"/>
          <w:sz w:val="24"/>
          <w:szCs w:val="24"/>
        </w:rPr>
        <w:fldChar w:fldCharType="separate"/>
      </w:r>
      <w:r w:rsidR="0018211A" w:rsidRPr="0041550F">
        <w:rPr>
          <w:rFonts w:ascii="Times New Roman" w:eastAsia="Times New Roman" w:hAnsi="Times New Roman" w:cs="Times New Roman"/>
          <w:noProof/>
          <w:sz w:val="24"/>
          <w:szCs w:val="24"/>
        </w:rPr>
        <w:t>(56,70)</w:t>
      </w:r>
      <w:r w:rsidR="00DC2508" w:rsidRPr="0041550F">
        <w:rPr>
          <w:rFonts w:ascii="Times New Roman" w:eastAsia="Times New Roman" w:hAnsi="Times New Roman" w:cs="Times New Roman"/>
          <w:sz w:val="24"/>
          <w:szCs w:val="24"/>
        </w:rPr>
        <w:fldChar w:fldCharType="end"/>
      </w:r>
      <w:r w:rsidR="0011119B" w:rsidRPr="0041550F">
        <w:rPr>
          <w:rFonts w:ascii="Times New Roman" w:eastAsia="Times New Roman" w:hAnsi="Times New Roman" w:cs="Times New Roman"/>
          <w:sz w:val="24"/>
          <w:szCs w:val="24"/>
        </w:rPr>
        <w:t xml:space="preserve">, </w:t>
      </w:r>
      <w:r w:rsidR="00DE0CEF" w:rsidRPr="0041550F">
        <w:rPr>
          <w:rFonts w:ascii="Times New Roman" w:eastAsia="Times New Roman" w:hAnsi="Times New Roman" w:cs="Times New Roman"/>
          <w:sz w:val="24"/>
          <w:szCs w:val="24"/>
        </w:rPr>
        <w:t>with a view to</w:t>
      </w:r>
      <w:r w:rsidR="00DC2508" w:rsidRPr="0041550F">
        <w:rPr>
          <w:rFonts w:ascii="Times New Roman" w:eastAsia="Times New Roman" w:hAnsi="Times New Roman" w:cs="Times New Roman"/>
          <w:sz w:val="24"/>
          <w:szCs w:val="24"/>
        </w:rPr>
        <w:t xml:space="preserve"> developing consensus guides outlining optimal task parameters (e.g., </w:t>
      </w:r>
      <w:r w:rsidR="00DC2508" w:rsidRPr="0041550F">
        <w:rPr>
          <w:rFonts w:ascii="Times New Roman" w:eastAsia="Times New Roman" w:hAnsi="Times New Roman" w:cs="Times New Roman"/>
          <w:sz w:val="24"/>
          <w:szCs w:val="24"/>
        </w:rPr>
        <w:fldChar w:fldCharType="begin" w:fldLock="1"/>
      </w:r>
      <w:r w:rsidR="00DA7504" w:rsidRPr="0041550F">
        <w:rPr>
          <w:rFonts w:ascii="Times New Roman" w:eastAsia="Times New Roman" w:hAnsi="Times New Roman" w:cs="Times New Roman"/>
          <w:sz w:val="24"/>
          <w:szCs w:val="24"/>
        </w:rPr>
        <w:instrText>ADDIN CSL_CITATION {"citationItems":[{"id":"ITEM-1","itemData":{"DOI":"10.7554/eLife.46323","ISSN":"2050084X","PMID":"31033438","abstract":"Response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Nico","non-dropping-particle":"","parse-names":false,"suffix":""}],"container-title":"eLife","id":"ITEM-1","issued":{"date-parts":[["2019"]]},"page":"1-26","title":"A consensus guide to capturing the ability to inhibit actions and impulsive behaviors in the stop-signal task","type":"article-journal","volume":"8"},"uris":["http://www.mendeley.com/documents/?uuid=e999e310-876b-4205-86ae-252c2b7bc17c"]}],"mendeley":{"formattedCitation":"(18)","manualFormatting":"18)","plainTextFormattedCitation":"(18)","previouslyFormattedCitation":"(18)"},"properties":{"noteIndex":0},"schema":"https://github.com/citation-style-language/schema/raw/master/csl-citation.json"}</w:instrText>
      </w:r>
      <w:r w:rsidR="00DC2508" w:rsidRPr="0041550F">
        <w:rPr>
          <w:rFonts w:ascii="Times New Roman" w:eastAsia="Times New Roman" w:hAnsi="Times New Roman" w:cs="Times New Roman"/>
          <w:sz w:val="24"/>
          <w:szCs w:val="24"/>
        </w:rPr>
        <w:fldChar w:fldCharType="separate"/>
      </w:r>
      <w:r w:rsidR="00DC2508" w:rsidRPr="0041550F">
        <w:rPr>
          <w:rFonts w:ascii="Times New Roman" w:eastAsia="Times New Roman" w:hAnsi="Times New Roman" w:cs="Times New Roman"/>
          <w:noProof/>
          <w:sz w:val="24"/>
          <w:szCs w:val="24"/>
        </w:rPr>
        <w:t>18)</w:t>
      </w:r>
      <w:r w:rsidR="00DC2508" w:rsidRPr="0041550F">
        <w:rPr>
          <w:rFonts w:ascii="Times New Roman" w:eastAsia="Times New Roman" w:hAnsi="Times New Roman" w:cs="Times New Roman"/>
          <w:sz w:val="24"/>
          <w:szCs w:val="24"/>
        </w:rPr>
        <w:fldChar w:fldCharType="end"/>
      </w:r>
      <w:r w:rsidR="00DC2508" w:rsidRPr="0041550F">
        <w:rPr>
          <w:rFonts w:ascii="Times New Roman" w:eastAsia="Times New Roman" w:hAnsi="Times New Roman" w:cs="Times New Roman"/>
          <w:sz w:val="24"/>
          <w:szCs w:val="24"/>
        </w:rPr>
        <w:t>.</w:t>
      </w:r>
      <w:r w:rsidR="00895A1F" w:rsidRPr="0041550F">
        <w:rPr>
          <w:rFonts w:ascii="Times New Roman" w:eastAsia="Times New Roman" w:hAnsi="Times New Roman" w:cs="Times New Roman"/>
          <w:sz w:val="24"/>
          <w:szCs w:val="24"/>
        </w:rPr>
        <w:t xml:space="preserve"> </w:t>
      </w:r>
      <w:r w:rsidR="00F0307D" w:rsidRPr="0041550F">
        <w:rPr>
          <w:rFonts w:ascii="Times New Roman" w:eastAsia="Times New Roman" w:hAnsi="Times New Roman" w:cs="Times New Roman"/>
          <w:sz w:val="24"/>
          <w:szCs w:val="24"/>
        </w:rPr>
        <w:t>It is notable, however, that one study</w:t>
      </w:r>
      <w:r w:rsidR="00D11BB3" w:rsidRPr="0041550F">
        <w:rPr>
          <w:rFonts w:ascii="Times New Roman" w:eastAsia="Times New Roman" w:hAnsi="Times New Roman" w:cs="Times New Roman"/>
          <w:sz w:val="24"/>
          <w:szCs w:val="24"/>
        </w:rPr>
        <w:t xml:space="preserve"> reports failed attempts to improve both the test-retest and internal reliability of the VPT based upon </w:t>
      </w:r>
      <w:r w:rsidR="00C62700" w:rsidRPr="0041550F">
        <w:rPr>
          <w:rFonts w:ascii="Times New Roman" w:eastAsia="Times New Roman" w:hAnsi="Times New Roman" w:cs="Times New Roman"/>
          <w:sz w:val="24"/>
          <w:szCs w:val="24"/>
        </w:rPr>
        <w:t>empirical recommendations</w:t>
      </w:r>
      <w:r w:rsidR="00F0307D" w:rsidRPr="0041550F">
        <w:rPr>
          <w:rFonts w:ascii="Times New Roman" w:eastAsia="Times New Roman" w:hAnsi="Times New Roman" w:cs="Times New Roman"/>
          <w:sz w:val="24"/>
          <w:szCs w:val="24"/>
        </w:rPr>
        <w:t xml:space="preserve"> </w:t>
      </w:r>
      <w:r w:rsidR="00742F44" w:rsidRPr="0041550F">
        <w:rPr>
          <w:rFonts w:ascii="Times New Roman" w:eastAsia="Times New Roman" w:hAnsi="Times New Roman" w:cs="Times New Roman"/>
          <w:sz w:val="24"/>
          <w:szCs w:val="24"/>
        </w:rPr>
        <w:fldChar w:fldCharType="begin" w:fldLock="1"/>
      </w:r>
      <w:r w:rsidR="003D7CAA" w:rsidRPr="0041550F">
        <w:rPr>
          <w:rFonts w:ascii="Times New Roman" w:eastAsia="Times New Roman" w:hAnsi="Times New Roman" w:cs="Times New Roman"/>
          <w:sz w:val="24"/>
          <w:szCs w:val="24"/>
        </w:rPr>
        <w:instrText>ADDIN CSL_CITATION {"citationItems":[{"id":"ITEM-1","itemData":{"DOI":"10.1037/adb0000414","ISSN":"19391501","PMID":"30475013","abstract":"The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Behaviors","id":"ITEM-1","issue":"8","issued":{"date-parts":[["2018"]]},"page":"922-932","title":"Failed Attempts to Improve the Reliability of the Alcohol Visual Probe Task Following Empirical Recommendations","type":"article-journal","volume":"32"},"uris":["http://www.mendeley.com/documents/?uuid=a035d482-cc55-4632-a4d4-6d99ecac2feb"]}],"mendeley":{"formattedCitation":"(61)","plainTextFormattedCitation":"(61)","previouslyFormattedCitation":"(61)"},"properties":{"noteIndex":0},"schema":"https://github.com/citation-style-language/schema/raw/master/csl-citation.json"}</w:instrText>
      </w:r>
      <w:r w:rsidR="00742F44" w:rsidRPr="0041550F">
        <w:rPr>
          <w:rFonts w:ascii="Times New Roman" w:eastAsia="Times New Roman" w:hAnsi="Times New Roman" w:cs="Times New Roman"/>
          <w:sz w:val="24"/>
          <w:szCs w:val="24"/>
        </w:rPr>
        <w:fldChar w:fldCharType="separate"/>
      </w:r>
      <w:r w:rsidR="00742F44" w:rsidRPr="0041550F">
        <w:rPr>
          <w:rFonts w:ascii="Times New Roman" w:eastAsia="Times New Roman" w:hAnsi="Times New Roman" w:cs="Times New Roman"/>
          <w:noProof/>
          <w:sz w:val="24"/>
          <w:szCs w:val="24"/>
        </w:rPr>
        <w:t>(61)</w:t>
      </w:r>
      <w:r w:rsidR="00742F44" w:rsidRPr="0041550F">
        <w:rPr>
          <w:rFonts w:ascii="Times New Roman" w:eastAsia="Times New Roman" w:hAnsi="Times New Roman" w:cs="Times New Roman"/>
          <w:sz w:val="24"/>
          <w:szCs w:val="24"/>
        </w:rPr>
        <w:fldChar w:fldCharType="end"/>
      </w:r>
      <w:r w:rsidR="00204BF8" w:rsidRPr="0041550F">
        <w:rPr>
          <w:rFonts w:ascii="Times New Roman" w:eastAsia="Times New Roman" w:hAnsi="Times New Roman" w:cs="Times New Roman"/>
          <w:sz w:val="24"/>
          <w:szCs w:val="24"/>
        </w:rPr>
        <w:t xml:space="preserve">. </w:t>
      </w:r>
      <w:r w:rsidR="00633942" w:rsidRPr="0041550F">
        <w:rPr>
          <w:rFonts w:ascii="Times New Roman" w:eastAsia="Times New Roman" w:hAnsi="Times New Roman" w:cs="Times New Roman"/>
          <w:sz w:val="24"/>
          <w:szCs w:val="24"/>
        </w:rPr>
        <w:t xml:space="preserve">If a task consistently demonstrates </w:t>
      </w:r>
      <w:r w:rsidR="007704F7" w:rsidRPr="0041550F">
        <w:rPr>
          <w:rFonts w:ascii="Times New Roman" w:eastAsia="Times New Roman" w:hAnsi="Times New Roman" w:cs="Times New Roman"/>
          <w:sz w:val="24"/>
          <w:szCs w:val="24"/>
        </w:rPr>
        <w:t xml:space="preserve">sub-optimal psychometric properties, </w:t>
      </w:r>
      <w:r w:rsidR="00783A6E" w:rsidRPr="0041550F">
        <w:rPr>
          <w:rFonts w:ascii="Times New Roman" w:eastAsia="Times New Roman" w:hAnsi="Times New Roman" w:cs="Times New Roman"/>
          <w:sz w:val="24"/>
          <w:szCs w:val="24"/>
        </w:rPr>
        <w:t xml:space="preserve">then </w:t>
      </w:r>
      <w:r w:rsidR="00C3605D" w:rsidRPr="0041550F">
        <w:rPr>
          <w:rFonts w:ascii="Times New Roman" w:eastAsia="Times New Roman" w:hAnsi="Times New Roman" w:cs="Times New Roman"/>
          <w:sz w:val="24"/>
          <w:szCs w:val="24"/>
        </w:rPr>
        <w:t xml:space="preserve">it should be </w:t>
      </w:r>
      <w:r w:rsidR="003D7CAA" w:rsidRPr="0041550F">
        <w:rPr>
          <w:rFonts w:ascii="Times New Roman" w:eastAsia="Times New Roman" w:hAnsi="Times New Roman" w:cs="Times New Roman"/>
          <w:sz w:val="24"/>
          <w:szCs w:val="24"/>
        </w:rPr>
        <w:t>abandoned in favour of alternative reliable tasks (e.g., visual search and free-viewing tasks;</w:t>
      </w:r>
      <w:r w:rsidR="009E10FE" w:rsidRPr="0041550F">
        <w:rPr>
          <w:rFonts w:ascii="Times New Roman" w:eastAsia="Times New Roman" w:hAnsi="Times New Roman" w:cs="Times New Roman"/>
          <w:sz w:val="24"/>
          <w:szCs w:val="24"/>
        </w:rPr>
        <w:t xml:space="preserve"> </w:t>
      </w:r>
      <w:r w:rsidR="009E10FE" w:rsidRPr="0041550F">
        <w:rPr>
          <w:rFonts w:ascii="Times New Roman" w:eastAsia="Times New Roman" w:hAnsi="Times New Roman" w:cs="Times New Roman"/>
          <w:sz w:val="24"/>
          <w:szCs w:val="24"/>
        </w:rPr>
        <w:fldChar w:fldCharType="begin" w:fldLock="1"/>
      </w:r>
      <w:r w:rsidR="00BC1D2C" w:rsidRPr="0041550F">
        <w:rPr>
          <w:rFonts w:ascii="Times New Roman" w:eastAsia="Times New Roman" w:hAnsi="Times New Roman" w:cs="Times New Roman"/>
          <w:sz w:val="24"/>
          <w:szCs w:val="24"/>
        </w:rPr>
        <w:instrText>ADDIN CSL_CITATION {"citationItems":[{"id":"ITEM-1","itemData":{"DOI":"10.1111/add.14997","ISSN":"13600443","PMID":"32003522","abstract":"Background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-1","issue":"9","issued":{"date-parts":[["2020"]]},"page":"1650-1659","title":"Where's the wine? Heavy social drinkers show attentional bias towards alcohol in a visual conjunction search task","type":"article-journal","volume":"115"},"uris":["http://www.mendeley.com/documents/?uuid=4fa937ec-accb-4cd3-b341-eee2302def59"]},{"id":"ITEM-2","itemData":{"DOI":"10.3389/fpsyg.2021.630461","author":[{"dropping-particle":"","family":"Heitmann","given":"Janika","non-dropping-particle":"","parse-names":false,"suffix":""},{"dropping-particle":"","family":"Jonker","given":"Nienke C","non-dropping-particle":"","parse-names":false,"suffix":""},{"dropping-particle":"De","family":"Jong","given":"Peter J","non-dropping-particle":"","parse-names":false,"suffix":""},{"dropping-particle":"","family":"Gladwin","given":"Thomas Edward","non-dropping-particle":"","parse-names":false,"suffix":""}],"container-title":"Frontiers in Psychology","id":"ITEM-2","issue":"February","issued":{"date-parts":[["2021"]]},"page":"1-11","title":"A Promising Candidate to Reliably Index Attentional Bias Toward Alcohol Cues – An Adapted Odd-One-Out Visual Search Task","type":"article-journal","volume":"12"},"uris":["http://www.mendeley.com/documents/?uuid=31b9d48a-aae7-4901-b89d-f4cca1371f20"]},{"id":"ITEM-3","itemData":{"DOI":"10.1016/j.addbeh.2019.106117","ISSN":"18736327","PMID":"31522132","abstract":"Cognitive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Behaviors","id":"ITEM-3","issue":"May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mendeley":{"formattedCitation":"(42,58,71)","plainTextFormattedCitation":"(42,58,71)","previouslyFormattedCitation":"(42,58,71)"},"properties":{"noteIndex":0},"schema":"https://github.com/citation-style-language/schema/raw/master/csl-citation.json"}</w:instrText>
      </w:r>
      <w:r w:rsidR="009E10FE" w:rsidRPr="0041550F">
        <w:rPr>
          <w:rFonts w:ascii="Times New Roman" w:eastAsia="Times New Roman" w:hAnsi="Times New Roman" w:cs="Times New Roman"/>
          <w:sz w:val="24"/>
          <w:szCs w:val="24"/>
        </w:rPr>
        <w:fldChar w:fldCharType="separate"/>
      </w:r>
      <w:r w:rsidR="00DD59D7" w:rsidRPr="0041550F">
        <w:rPr>
          <w:rFonts w:ascii="Times New Roman" w:eastAsia="Times New Roman" w:hAnsi="Times New Roman" w:cs="Times New Roman"/>
          <w:noProof/>
          <w:sz w:val="24"/>
          <w:szCs w:val="24"/>
        </w:rPr>
        <w:t>42,58,71)</w:t>
      </w:r>
      <w:r w:rsidR="009E10FE" w:rsidRPr="0041550F">
        <w:rPr>
          <w:rFonts w:ascii="Times New Roman" w:eastAsia="Times New Roman" w:hAnsi="Times New Roman" w:cs="Times New Roman"/>
          <w:sz w:val="24"/>
          <w:szCs w:val="24"/>
        </w:rPr>
        <w:fldChar w:fldCharType="end"/>
      </w:r>
      <w:r w:rsidR="00783A6E" w:rsidRPr="0041550F">
        <w:rPr>
          <w:rFonts w:ascii="Times New Roman" w:eastAsia="Times New Roman" w:hAnsi="Times New Roman" w:cs="Times New Roman"/>
          <w:sz w:val="24"/>
          <w:szCs w:val="24"/>
        </w:rPr>
        <w:t xml:space="preserve">. </w:t>
      </w:r>
      <w:r w:rsidR="00D539C8" w:rsidRPr="0041550F">
        <w:rPr>
          <w:rFonts w:ascii="Times New Roman" w:eastAsia="Times New Roman" w:hAnsi="Times New Roman" w:cs="Times New Roman"/>
          <w:sz w:val="24"/>
          <w:szCs w:val="24"/>
        </w:rPr>
        <w:t>Furthermore j</w:t>
      </w:r>
      <w:r w:rsidR="0053112F" w:rsidRPr="0041550F">
        <w:rPr>
          <w:rFonts w:ascii="Times New Roman" w:eastAsia="Times New Roman" w:hAnsi="Times New Roman" w:cs="Times New Roman"/>
          <w:sz w:val="24"/>
          <w:szCs w:val="24"/>
        </w:rPr>
        <w:t xml:space="preserve">ust because a cognitive task is </w:t>
      </w:r>
      <w:r w:rsidR="0063665B" w:rsidRPr="0041550F">
        <w:rPr>
          <w:rFonts w:ascii="Times New Roman" w:eastAsia="Times New Roman" w:hAnsi="Times New Roman" w:cs="Times New Roman"/>
          <w:sz w:val="24"/>
          <w:szCs w:val="24"/>
        </w:rPr>
        <w:t>reliable does</w:t>
      </w:r>
      <w:r w:rsidR="0053112F" w:rsidRPr="0041550F">
        <w:rPr>
          <w:rFonts w:ascii="Times New Roman" w:eastAsia="Times New Roman" w:hAnsi="Times New Roman" w:cs="Times New Roman"/>
          <w:sz w:val="24"/>
          <w:szCs w:val="24"/>
        </w:rPr>
        <w:t xml:space="preserve"> not necessarily mean that it is a valid measure of </w:t>
      </w:r>
      <w:r w:rsidR="009A4074" w:rsidRPr="0041550F">
        <w:rPr>
          <w:rFonts w:ascii="Times New Roman" w:eastAsia="Times New Roman" w:hAnsi="Times New Roman" w:cs="Times New Roman"/>
          <w:sz w:val="24"/>
          <w:szCs w:val="24"/>
        </w:rPr>
        <w:t xml:space="preserve">the </w:t>
      </w:r>
      <w:r w:rsidR="005C4B0A" w:rsidRPr="0041550F">
        <w:rPr>
          <w:rFonts w:ascii="Times New Roman" w:eastAsia="Times New Roman" w:hAnsi="Times New Roman" w:cs="Times New Roman"/>
          <w:sz w:val="24"/>
          <w:szCs w:val="24"/>
        </w:rPr>
        <w:t>construct under investigation</w:t>
      </w:r>
      <w:r w:rsidR="0053112F" w:rsidRPr="0041550F">
        <w:rPr>
          <w:rFonts w:ascii="Times New Roman" w:eastAsia="Times New Roman" w:hAnsi="Times New Roman" w:cs="Times New Roman"/>
          <w:sz w:val="24"/>
          <w:szCs w:val="24"/>
        </w:rPr>
        <w:t xml:space="preserve">; </w:t>
      </w:r>
      <w:r w:rsidR="00241B30" w:rsidRPr="0041550F">
        <w:rPr>
          <w:rFonts w:ascii="Times New Roman" w:eastAsia="Times New Roman" w:hAnsi="Times New Roman" w:cs="Times New Roman"/>
          <w:sz w:val="24"/>
          <w:szCs w:val="24"/>
        </w:rPr>
        <w:t xml:space="preserve">some tasks will be better at providing mechanistic insights into the </w:t>
      </w:r>
      <w:r w:rsidR="009A4074" w:rsidRPr="0041550F">
        <w:rPr>
          <w:rFonts w:ascii="Times New Roman" w:eastAsia="Times New Roman" w:hAnsi="Times New Roman" w:cs="Times New Roman"/>
          <w:sz w:val="24"/>
          <w:szCs w:val="24"/>
        </w:rPr>
        <w:t xml:space="preserve">cognitive </w:t>
      </w:r>
      <w:r w:rsidR="00241B30" w:rsidRPr="0041550F">
        <w:rPr>
          <w:rFonts w:ascii="Times New Roman" w:eastAsia="Times New Roman" w:hAnsi="Times New Roman" w:cs="Times New Roman"/>
          <w:sz w:val="24"/>
          <w:szCs w:val="24"/>
        </w:rPr>
        <w:t xml:space="preserve">processes that drive alcohol </w:t>
      </w:r>
      <w:r w:rsidR="006E0A46" w:rsidRPr="0041550F">
        <w:rPr>
          <w:rFonts w:ascii="Times New Roman" w:eastAsia="Times New Roman" w:hAnsi="Times New Roman" w:cs="Times New Roman"/>
          <w:sz w:val="24"/>
          <w:szCs w:val="24"/>
        </w:rPr>
        <w:t>(mis)</w:t>
      </w:r>
      <w:r w:rsidR="00241B30" w:rsidRPr="0041550F">
        <w:rPr>
          <w:rFonts w:ascii="Times New Roman" w:eastAsia="Times New Roman" w:hAnsi="Times New Roman" w:cs="Times New Roman"/>
          <w:sz w:val="24"/>
          <w:szCs w:val="24"/>
        </w:rPr>
        <w:t>use</w:t>
      </w:r>
      <w:r w:rsidR="009A4074" w:rsidRPr="0041550F">
        <w:rPr>
          <w:rFonts w:ascii="Times New Roman" w:eastAsia="Times New Roman" w:hAnsi="Times New Roman" w:cs="Times New Roman"/>
          <w:sz w:val="24"/>
          <w:szCs w:val="24"/>
        </w:rPr>
        <w:t>,</w:t>
      </w:r>
      <w:r w:rsidR="005C4B0A" w:rsidRPr="0041550F">
        <w:rPr>
          <w:rFonts w:ascii="Times New Roman" w:eastAsia="Times New Roman" w:hAnsi="Times New Roman" w:cs="Times New Roman"/>
          <w:sz w:val="24"/>
          <w:szCs w:val="24"/>
        </w:rPr>
        <w:t xml:space="preserve"> and it is these tasks that we </w:t>
      </w:r>
      <w:r w:rsidR="0018211A" w:rsidRPr="0041550F">
        <w:rPr>
          <w:rFonts w:ascii="Times New Roman" w:eastAsia="Times New Roman" w:hAnsi="Times New Roman" w:cs="Times New Roman"/>
          <w:sz w:val="24"/>
          <w:szCs w:val="24"/>
        </w:rPr>
        <w:t xml:space="preserve">should </w:t>
      </w:r>
      <w:r w:rsidR="009A4074" w:rsidRPr="0041550F">
        <w:rPr>
          <w:rFonts w:ascii="Times New Roman" w:eastAsia="Times New Roman" w:hAnsi="Times New Roman" w:cs="Times New Roman"/>
          <w:sz w:val="24"/>
          <w:szCs w:val="24"/>
        </w:rPr>
        <w:t xml:space="preserve">seek to optimise </w:t>
      </w:r>
      <w:r w:rsidR="00241B30" w:rsidRPr="0041550F">
        <w:rPr>
          <w:rFonts w:ascii="Times New Roman" w:eastAsia="Times New Roman" w:hAnsi="Times New Roman" w:cs="Times New Roman"/>
          <w:sz w:val="24"/>
          <w:szCs w:val="24"/>
        </w:rPr>
        <w:t>(see</w:t>
      </w:r>
      <w:r w:rsidR="00E354CC" w:rsidRPr="0041550F">
        <w:rPr>
          <w:rFonts w:ascii="Times New Roman" w:eastAsia="Times New Roman" w:hAnsi="Times New Roman" w:cs="Times New Roman"/>
          <w:sz w:val="24"/>
          <w:szCs w:val="24"/>
        </w:rPr>
        <w:t xml:space="preserve"> </w:t>
      </w:r>
      <w:r w:rsidR="00E354CC" w:rsidRPr="0041550F">
        <w:rPr>
          <w:rFonts w:ascii="Times New Roman" w:eastAsia="Times New Roman" w:hAnsi="Times New Roman" w:cs="Times New Roman"/>
          <w:sz w:val="24"/>
          <w:szCs w:val="24"/>
        </w:rPr>
        <w:fldChar w:fldCharType="begin" w:fldLock="1"/>
      </w:r>
      <w:r w:rsidR="003472FE" w:rsidRPr="0041550F">
        <w:rPr>
          <w:rFonts w:ascii="Times New Roman" w:eastAsia="Times New Roman" w:hAnsi="Times New Roman" w:cs="Times New Roman"/>
          <w:sz w:val="24"/>
          <w:szCs w:val="24"/>
        </w:rPr>
        <w:instrText>ADDIN CSL_CITATION {"citationItems":[{"id":"ITEM-1","itemData":{"DOI":"10.1016/j.bpsc.2020.05.004","ISSN":"24519030","PMID":"32605726","author":[{"dropping-particle":"","family":"Hedge","given":"Craig","non-dropping-particle":"","parse-names":false,"suffix":""},{"dropping-particle":"","family":"Bompas","given":"Aline","non-dropping-particle":"","parse-names":false,"suffix":""},{"dropping-particle":"","family":"Sumner","given":"Petroc","non-dropping-particle":"","parse-names":false,"suffix":""}],"container-title":"Biological Psychiatry: Cognitive Neuroscience and Neuroimaging","id":"ITEM-1","issue":"9","issued":{"date-parts":[["2020"]]},"page":"837-839","publisher":"Society of Biological Psychiatry","title":"Task Reliability Considerations in Computational Psychiatry","type":"article-journal","volume":"5"},"uris":["http://www.mendeley.com/documents/?uuid=c6f96616-9db1-4a54-bb7f-eb18d9701cba"]}],"mendeley":{"formattedCitation":"(72)","manualFormatting":"72)","plainTextFormattedCitation":"(72)","previouslyFormattedCitation":"(72)"},"properties":{"noteIndex":0},"schema":"https://github.com/citation-style-language/schema/raw/master/csl-citation.json"}</w:instrText>
      </w:r>
      <w:r w:rsidR="00E354CC"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72)</w:t>
      </w:r>
      <w:r w:rsidR="00E354CC" w:rsidRPr="0041550F">
        <w:rPr>
          <w:rFonts w:ascii="Times New Roman" w:eastAsia="Times New Roman" w:hAnsi="Times New Roman" w:cs="Times New Roman"/>
          <w:sz w:val="24"/>
          <w:szCs w:val="24"/>
        </w:rPr>
        <w:fldChar w:fldCharType="end"/>
      </w:r>
      <w:r w:rsidR="00E354CC" w:rsidRPr="0041550F">
        <w:rPr>
          <w:rFonts w:ascii="Times New Roman" w:eastAsia="Times New Roman" w:hAnsi="Times New Roman" w:cs="Times New Roman"/>
          <w:sz w:val="24"/>
          <w:szCs w:val="24"/>
        </w:rPr>
        <w:t>.</w:t>
      </w:r>
    </w:p>
    <w:p w14:paraId="395E6B30" w14:textId="3C40EA29" w:rsidR="00F220BB" w:rsidRPr="0041550F" w:rsidRDefault="00272773" w:rsidP="00E165CC">
      <w:pPr>
        <w:spacing w:after="0" w:line="480" w:lineRule="auto"/>
        <w:ind w:firstLine="720"/>
        <w:jc w:val="both"/>
        <w:rPr>
          <w:rFonts w:ascii="Times New Roman" w:hAnsi="Times New Roman" w:cs="Times New Roman"/>
          <w:sz w:val="24"/>
          <w:szCs w:val="24"/>
        </w:rPr>
      </w:pPr>
      <w:r w:rsidRPr="0041550F">
        <w:rPr>
          <w:rFonts w:ascii="Times New Roman" w:eastAsia="Times New Roman" w:hAnsi="Times New Roman" w:cs="Times New Roman"/>
          <w:sz w:val="24"/>
          <w:szCs w:val="24"/>
        </w:rPr>
        <w:t xml:space="preserve">Third, </w:t>
      </w:r>
      <w:r w:rsidR="00FB56B0" w:rsidRPr="0041550F">
        <w:rPr>
          <w:rFonts w:ascii="Times New Roman" w:eastAsia="Times New Roman" w:hAnsi="Times New Roman" w:cs="Times New Roman"/>
          <w:sz w:val="24"/>
          <w:szCs w:val="24"/>
        </w:rPr>
        <w:t>research</w:t>
      </w:r>
      <w:r w:rsidR="00CB4788" w:rsidRPr="0041550F">
        <w:rPr>
          <w:rFonts w:ascii="Times New Roman" w:eastAsia="Times New Roman" w:hAnsi="Times New Roman" w:cs="Times New Roman"/>
          <w:sz w:val="24"/>
          <w:szCs w:val="24"/>
        </w:rPr>
        <w:t>ers</w:t>
      </w:r>
      <w:r w:rsidR="00FB56B0" w:rsidRPr="0041550F">
        <w:rPr>
          <w:rFonts w:ascii="Times New Roman" w:eastAsia="Times New Roman" w:hAnsi="Times New Roman" w:cs="Times New Roman"/>
          <w:sz w:val="24"/>
          <w:szCs w:val="24"/>
        </w:rPr>
        <w:t xml:space="preserve"> should explore different ways of analysis which might overcome the limitations inherent in the use of raw RTS and difference scores </w:t>
      </w:r>
      <w:r w:rsidR="00325C9E" w:rsidRPr="0041550F">
        <w:rPr>
          <w:rFonts w:ascii="Times New Roman" w:eastAsia="Times New Roman" w:hAnsi="Times New Roman" w:cs="Times New Roman"/>
          <w:sz w:val="24"/>
          <w:szCs w:val="24"/>
        </w:rPr>
        <w:t>(see</w:t>
      </w:r>
      <w:r w:rsidR="008A3572" w:rsidRPr="0041550F">
        <w:rPr>
          <w:rFonts w:ascii="Times New Roman" w:eastAsia="Times New Roman" w:hAnsi="Times New Roman" w:cs="Times New Roman"/>
          <w:sz w:val="24"/>
          <w:szCs w:val="24"/>
        </w:rPr>
        <w:t xml:space="preserve"> </w:t>
      </w:r>
      <w:r w:rsidR="008A3572" w:rsidRPr="0041550F">
        <w:rPr>
          <w:rFonts w:ascii="Times New Roman" w:eastAsia="Times New Roman" w:hAnsi="Times New Roman" w:cs="Times New Roman"/>
          <w:sz w:val="24"/>
          <w:szCs w:val="24"/>
        </w:rPr>
        <w:fldChar w:fldCharType="begin" w:fldLock="1"/>
      </w:r>
      <w:r w:rsidR="006A5550" w:rsidRPr="0041550F">
        <w:rPr>
          <w:rFonts w:ascii="Times New Roman" w:eastAsia="Times New Roman" w:hAnsi="Times New Roman" w:cs="Times New Roman"/>
          <w:sz w:val="24"/>
          <w:szCs w:val="24"/>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alternatives","type":"article-journal","volume":"145"},"uris":["http://www.mendeley.com/documents/?uuid=98bf3dfc-5c42-4be7-be0e-33e24dfbe99f"]}],"mendeley":{"formattedCitation":"(49)","manualFormatting":"(49 for suggested alternatives)","plainTextFormattedCitation":"(49)","previouslyFormattedCitation":"(49)"},"properties":{"noteIndex":0},"schema":"https://github.com/citation-style-language/schema/raw/master/csl-citation.json"}</w:instrText>
      </w:r>
      <w:r w:rsidR="008A3572" w:rsidRPr="0041550F">
        <w:rPr>
          <w:rFonts w:ascii="Times New Roman" w:eastAsia="Times New Roman" w:hAnsi="Times New Roman" w:cs="Times New Roman"/>
          <w:sz w:val="24"/>
          <w:szCs w:val="24"/>
        </w:rPr>
        <w:fldChar w:fldCharType="separate"/>
      </w:r>
      <w:r w:rsidR="008A3572" w:rsidRPr="0041550F">
        <w:rPr>
          <w:rFonts w:ascii="Times New Roman" w:eastAsia="Times New Roman" w:hAnsi="Times New Roman" w:cs="Times New Roman"/>
          <w:noProof/>
          <w:sz w:val="24"/>
          <w:szCs w:val="24"/>
        </w:rPr>
        <w:t>49</w:t>
      </w:r>
      <w:r w:rsidR="006A5550" w:rsidRPr="0041550F">
        <w:rPr>
          <w:rFonts w:ascii="Times New Roman" w:eastAsia="Times New Roman" w:hAnsi="Times New Roman" w:cs="Times New Roman"/>
          <w:noProof/>
          <w:sz w:val="24"/>
          <w:szCs w:val="24"/>
        </w:rPr>
        <w:t xml:space="preserve"> for suggested alternatives</w:t>
      </w:r>
      <w:r w:rsidR="008A3572" w:rsidRPr="0041550F">
        <w:rPr>
          <w:rFonts w:ascii="Times New Roman" w:eastAsia="Times New Roman" w:hAnsi="Times New Roman" w:cs="Times New Roman"/>
          <w:noProof/>
          <w:sz w:val="24"/>
          <w:szCs w:val="24"/>
        </w:rPr>
        <w:t>)</w:t>
      </w:r>
      <w:r w:rsidR="008A3572" w:rsidRPr="0041550F">
        <w:rPr>
          <w:rFonts w:ascii="Times New Roman" w:eastAsia="Times New Roman" w:hAnsi="Times New Roman" w:cs="Times New Roman"/>
          <w:sz w:val="24"/>
          <w:szCs w:val="24"/>
        </w:rPr>
        <w:fldChar w:fldCharType="end"/>
      </w:r>
      <w:r w:rsidR="002A0BC8" w:rsidRPr="0041550F">
        <w:rPr>
          <w:rFonts w:ascii="Times New Roman" w:eastAsia="Times New Roman" w:hAnsi="Times New Roman" w:cs="Times New Roman"/>
          <w:sz w:val="24"/>
          <w:szCs w:val="24"/>
        </w:rPr>
        <w:t>.</w:t>
      </w:r>
      <w:r w:rsidR="0034627F" w:rsidRPr="0041550F">
        <w:rPr>
          <w:rFonts w:ascii="Times New Roman" w:eastAsia="Times New Roman" w:hAnsi="Times New Roman" w:cs="Times New Roman"/>
          <w:sz w:val="24"/>
          <w:szCs w:val="24"/>
        </w:rPr>
        <w:t xml:space="preserve"> </w:t>
      </w:r>
      <w:r w:rsidR="00B769EC" w:rsidRPr="0041550F">
        <w:rPr>
          <w:rFonts w:ascii="Times New Roman" w:eastAsia="Times New Roman" w:hAnsi="Times New Roman" w:cs="Times New Roman"/>
          <w:sz w:val="24"/>
          <w:szCs w:val="24"/>
        </w:rPr>
        <w:t>Another option is</w:t>
      </w:r>
      <w:r w:rsidR="002A0BC8" w:rsidRPr="0041550F">
        <w:rPr>
          <w:rFonts w:ascii="Times New Roman" w:eastAsia="Times New Roman" w:hAnsi="Times New Roman" w:cs="Times New Roman"/>
          <w:sz w:val="24"/>
          <w:szCs w:val="24"/>
        </w:rPr>
        <w:t xml:space="preserve"> the</w:t>
      </w:r>
      <w:r w:rsidR="00033945" w:rsidRPr="0041550F">
        <w:rPr>
          <w:rFonts w:ascii="Times New Roman" w:eastAsia="Times New Roman" w:hAnsi="Times New Roman" w:cs="Times New Roman"/>
          <w:sz w:val="24"/>
          <w:szCs w:val="24"/>
        </w:rPr>
        <w:t xml:space="preserve"> </w:t>
      </w:r>
      <w:r w:rsidR="00A379CF" w:rsidRPr="0041550F">
        <w:rPr>
          <w:rFonts w:ascii="Times New Roman" w:eastAsia="Times New Roman" w:hAnsi="Times New Roman" w:cs="Times New Roman"/>
          <w:sz w:val="24"/>
          <w:szCs w:val="24"/>
        </w:rPr>
        <w:t>application</w:t>
      </w:r>
      <w:r w:rsidR="002A0BC8" w:rsidRPr="0041550F">
        <w:rPr>
          <w:rFonts w:ascii="Times New Roman" w:eastAsia="Times New Roman" w:hAnsi="Times New Roman" w:cs="Times New Roman"/>
          <w:sz w:val="24"/>
          <w:szCs w:val="24"/>
        </w:rPr>
        <w:t xml:space="preserve"> of </w:t>
      </w:r>
      <w:r w:rsidR="0034627F" w:rsidRPr="0041550F">
        <w:rPr>
          <w:rFonts w:ascii="Times New Roman" w:eastAsia="Times New Roman" w:hAnsi="Times New Roman" w:cs="Times New Roman"/>
          <w:sz w:val="24"/>
          <w:szCs w:val="24"/>
        </w:rPr>
        <w:t xml:space="preserve">computational modelling </w:t>
      </w:r>
      <w:r w:rsidR="000C301C"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Models","type":"article-journal","volume":"26"},"uris":["http://www.mendeley.com/documents/?uuid=5c35359e-f97f-4362-ba96-cb10e1164eed"]},{"id":"ITEM-2","itemData":{"DOI":"10.1177/1745691620970585","ISSN":"17456924","abstract":"Psychology endeavors to develop theories of human capacities and behaviors on the basis of a variety of methodologies and dependent measures. We argue that one of the most divisive factors in psychological science is whether researchers choose to use computational modeling of theories (over and above data) during the scientific-inference process. Modeling is undervalued yet holds promise for advancing psychological science. The inherent demands of computational modeling guide us toward better science by forcing us to conceptually analyze, specify, and formalize intuitions that otherwise remain unexamined—what we dub open theory. Constraining our inference process through modeling enables us to build explanatory and predictive theories. Here, we present scientific inference in psychology as a path function in which each step shapes the next. Computational modeling can constrain these steps, thus advancing scientific inference over and above the stewardship of experimental practice (e.g., preregistration). If psychology continues to eschew computational modeling, we predict more replicability crises and persistent failure at coherent theory building. This is because without formal modeling we lack open and transparent theorizing. We also explain how to formalize, specify, and implement a computational model, emphasizing that the advantages of modeling can be achieved by anyone with benefit to all.","author":[{"dropping-particle":"","family":"Guest","given":"Olivia","non-dropping-particle":"","parse-names":false,"suffix":""},{"dropping-particle":"","family":"Martin","given":"Andrea E.","non-dropping-particle":"","parse-names":false,"suffix":""}],"container-title":"Perspectives on Psychological Science","id":"ITEM-2","issued":{"date-parts":[["2021"]]},"title":"How Computational Modeling Can Force Theory Building in Psychological Science","type":"article-journal"},"uris":["http://www.mendeley.com/documents/?uuid=e1c342c7-a553-42c5-9caa-7b32fa948e64"]}],"mendeley":{"formattedCitation":"(51,73)","plainTextFormattedCitation":"(51,73)","previouslyFormattedCitation":"(51,73)"},"properties":{"noteIndex":0},"schema":"https://github.com/citation-style-language/schema/raw/master/csl-citation.json"}</w:instrText>
      </w:r>
      <w:r w:rsidR="000C301C"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(51,73)</w:t>
      </w:r>
      <w:r w:rsidR="000C301C" w:rsidRPr="0041550F">
        <w:rPr>
          <w:rFonts w:ascii="Times New Roman" w:eastAsia="Times New Roman" w:hAnsi="Times New Roman" w:cs="Times New Roman"/>
          <w:sz w:val="24"/>
          <w:szCs w:val="24"/>
        </w:rPr>
        <w:fldChar w:fldCharType="end"/>
      </w:r>
      <w:r w:rsidR="00231E51" w:rsidRPr="0041550F">
        <w:rPr>
          <w:rFonts w:ascii="Times New Roman" w:eastAsia="Times New Roman" w:hAnsi="Times New Roman" w:cs="Times New Roman"/>
          <w:sz w:val="24"/>
          <w:szCs w:val="24"/>
        </w:rPr>
        <w:t xml:space="preserve"> </w:t>
      </w:r>
      <w:r w:rsidR="009A4074" w:rsidRPr="0041550F">
        <w:rPr>
          <w:rFonts w:ascii="Times New Roman" w:eastAsia="Times New Roman" w:hAnsi="Times New Roman" w:cs="Times New Roman"/>
          <w:sz w:val="24"/>
          <w:szCs w:val="24"/>
        </w:rPr>
        <w:t>to alcohol research</w:t>
      </w:r>
      <w:r w:rsidR="00E72460" w:rsidRPr="0041550F">
        <w:rPr>
          <w:rFonts w:ascii="Times New Roman" w:eastAsia="Times New Roman" w:hAnsi="Times New Roman" w:cs="Times New Roman"/>
          <w:sz w:val="24"/>
          <w:szCs w:val="24"/>
        </w:rPr>
        <w:t>.</w:t>
      </w:r>
      <w:r w:rsidR="00E72460" w:rsidRPr="0041550F">
        <w:rPr>
          <w:rFonts w:ascii="Times New Roman" w:hAnsi="Times New Roman" w:cs="Times New Roman"/>
          <w:sz w:val="24"/>
          <w:szCs w:val="24"/>
        </w:rPr>
        <w:t xml:space="preserve"> One</w:t>
      </w:r>
      <w:r w:rsidR="007C2D88" w:rsidRPr="0041550F">
        <w:rPr>
          <w:rFonts w:ascii="Times New Roman" w:hAnsi="Times New Roman" w:cs="Times New Roman"/>
          <w:sz w:val="24"/>
          <w:szCs w:val="24"/>
        </w:rPr>
        <w:t xml:space="preserve"> example is the drift-diffusion model (DDM; </w:t>
      </w:r>
      <w:r w:rsidR="005F5F79"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{"citationItems":[{"id":"ITEM-1","itemData":{"DOI":"10.1162/neco.2008.12-06-420","ISSN":"08997667","PMID":"18085991","abstract":"The diffusion decision model allows detailed explanations of behavior in two-choice discrimination tasks. In this article, the model is reviewed to show how it translates behavioral data - accuracy, mean response times, and response time distributions-into components of cognitive processing. Three experiments are used to illustrate experimental manipulations of three components: stimulus difficulty affects the quality of information on which a decision is based; instructions emphasizing either speed or accuracy affect the criterial amounts of information that a subject requires before initiating a response; and the relative proportions of the two stimuli affect biases in drift rate and starting point. The experiments also illustrate the strong constraints that ensure the model is empirically testable and potentially falsifiable. The broad range of applications of the model is also reviewed, including research in the domains of aging and neurophysiology. © 2007 Massachusetts Institute of Technology.","author":[{"dropping-particle":"","family":"Ratcliff","given":"Roger","non-dropping-particle":"","parse-names":false,"suffix":""},{"dropping-particle":"","family":"McKoon","given":"Gail","non-dropping-particle":"","parse-names":false,"suffix":""}],"container-title":"Neural Computation","id":"ITEM-1","issue":"4","issued":{"date-parts":[["2008"]]},"page":"873-922","title":"The diffusion decision model: Theory and data for two-choice decision tasks","type":"article-journal","volume":"20"},"uris":["http://www.mendeley.com/documents/?uuid=835f1894-633c-4809-a9be-378cdf52c211"]},{"id":"ITEM-2","itemData":{"DOI":"doi:10.1016/j.tics.2016.01.007","author":[{"dropping-particle":"","family":"Ratcliff, Roger, Philip L. Smith, Scott D. Brown","given":"Gail McKoon","non-dropping-particle":"","parse-names":false,"suffix":""}],"container-title":"Trends in Cognitive Science","id":"ITEM-2","issue":"4","issued":{"date-parts":[["2016"]]},"page":"260–281","title":"Diffusion Decision Model: Current Issues and History","type":"article-journal","volume":"20"},"uris":["http://www.mendeley.com/documents/?uuid=b9d89d14-3420-44ab-97ff-75ef3f0f0ad6"]}],"mendeley":{"formattedCitation":"(74,75)","plainTextFormattedCitation":"(74,75)","previouslyFormattedCitation":"(74,75)"},"properties":{"noteIndex":0},"schema":"https://github.com/citation-style-language/schema/raw/master/csl-citation.json"}</w:instrText>
      </w:r>
      <w:r w:rsidR="005F5F79"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74,75)</w:t>
      </w:r>
      <w:r w:rsidR="005F5F79" w:rsidRPr="0041550F">
        <w:rPr>
          <w:rFonts w:ascii="Times New Roman" w:hAnsi="Times New Roman" w:cs="Times New Roman"/>
          <w:sz w:val="24"/>
          <w:szCs w:val="24"/>
        </w:rPr>
        <w:fldChar w:fldCharType="end"/>
      </w:r>
      <w:r w:rsidR="007C2D88" w:rsidRPr="0041550F">
        <w:rPr>
          <w:rFonts w:ascii="Times New Roman" w:hAnsi="Times New Roman" w:cs="Times New Roman"/>
          <w:sz w:val="24"/>
          <w:szCs w:val="24"/>
        </w:rPr>
        <w:t xml:space="preserve">, which performs a principled reconciliation of RT and accuracy data to provide </w:t>
      </w:r>
      <w:r w:rsidR="00F85F17" w:rsidRPr="0041550F">
        <w:rPr>
          <w:rFonts w:ascii="Times New Roman" w:hAnsi="Times New Roman" w:cs="Times New Roman"/>
          <w:sz w:val="24"/>
          <w:szCs w:val="24"/>
        </w:rPr>
        <w:t xml:space="preserve">accurate </w:t>
      </w:r>
      <w:r w:rsidR="007C2D88" w:rsidRPr="0041550F">
        <w:rPr>
          <w:rFonts w:ascii="Times New Roman" w:hAnsi="Times New Roman" w:cs="Times New Roman"/>
          <w:sz w:val="24"/>
          <w:szCs w:val="24"/>
        </w:rPr>
        <w:t>estimates of dissociable cognitive and motor processes (</w:t>
      </w:r>
      <w:r w:rsidR="00F85F17" w:rsidRPr="0041550F">
        <w:rPr>
          <w:rFonts w:ascii="Times New Roman" w:hAnsi="Times New Roman" w:cs="Times New Roman"/>
          <w:sz w:val="24"/>
          <w:szCs w:val="24"/>
        </w:rPr>
        <w:t xml:space="preserve">e.g., </w:t>
      </w:r>
      <w:r w:rsidR="00570C31"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Methods","id":"ITEM-1","issued":{"date-parts":[["2020"]]},"publisher":"Behavior Research Methods","title":"Quantifying the benefits of using decision models with response time and accuracy data","type":"article-journal"},"uris":["http://www.mendeley.com/documents/?uuid=c88706f0-a970-4df3-be35-7b914b336aeb"]},{"id":"ITEM-2","itemData":{"DOI":"10.1007/s00426-016-0770-5","ISSN":"14302772","PMID":"27107855","abstract":"In the recent years, there is a growing interest to use the Ratcliff Diffusion Model (1978) for diagnostic purposes as the parameters of the model capture interindividual differences in specific cognitive processes. The parameters are estimated using reaction time data from binary classification tasks. For a potential diagnostic application of parameter values sufficient reliability is a necessary precondition. In two studies, each with two sessions separated by 1 week, the retest reliability of the diffusion model parameters was assessed. In Study 1, 105 participants completed a lexical decision task and a recognition memory task. In Study 2, 128 participants worked on an associative priming task. Results show that the reliability of the main parameters of the Ratcliff Diffusion Model (in particular of the speed of information accumulation and the threshold separation with rs &gt; 0.70 for all three tasks) is satisfying. Besides, we analyzed the influence of the number of trials on the retest reliability using different estimation methods (Kolmogorov–Smirnov, Maximum Likelihood, Chi-square and EZ) and both empirical and simulated datasets.","author":[{"dropping-particle":"","family":"Lerche","given":"Veronika","non-dropping-particle":"","parse-names":false,"suffix":""},{"dropping-particle":"","family":"Voss","given":"Andreas","non-dropping-particle":"","parse-names":false,"suffix":""}],"container-title":"Psychological Research","id":"ITEM-2","issue":"3","issued":{"date-parts":[["2017"]]},"page":"629-652","publisher":"Springer Berlin Heidelberg","title":"Retest reliability of the parameters of the Ratcliff diffusion model","type":"article-journal","volume":"81"},"uris":["http://www.mendeley.com/documents/?uuid=e3c01193-cdcb-4565-bdfe-aaa017b0071c"]}],"mendeley":{"formattedCitation":"(76,77)","plainTextFormattedCitation":"(76,77)","previouslyFormattedCitation":"(76,77)"},"properties":{"noteIndex":0},"schema":"https://github.com/citation-style-language/schema/raw/master/csl-citation.json"}</w:instrText>
      </w:r>
      <w:r w:rsidR="00570C31"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76,77)</w:t>
      </w:r>
      <w:r w:rsidR="00570C31" w:rsidRPr="0041550F">
        <w:rPr>
          <w:rFonts w:ascii="Times New Roman" w:hAnsi="Times New Roman" w:cs="Times New Roman"/>
          <w:sz w:val="24"/>
          <w:szCs w:val="24"/>
        </w:rPr>
        <w:fldChar w:fldCharType="end"/>
      </w:r>
      <w:r w:rsidR="007C2D88" w:rsidRPr="0041550F">
        <w:rPr>
          <w:rFonts w:ascii="Times New Roman" w:hAnsi="Times New Roman" w:cs="Times New Roman"/>
          <w:sz w:val="24"/>
          <w:szCs w:val="24"/>
        </w:rPr>
        <w:t xml:space="preserve">. </w:t>
      </w:r>
      <w:r w:rsidR="00731665" w:rsidRPr="0041550F">
        <w:rPr>
          <w:rFonts w:ascii="Times New Roman" w:hAnsi="Times New Roman" w:cs="Times New Roman"/>
          <w:sz w:val="24"/>
          <w:szCs w:val="24"/>
        </w:rPr>
        <w:t>E</w:t>
      </w:r>
      <w:r w:rsidR="009310F0" w:rsidRPr="0041550F">
        <w:rPr>
          <w:rFonts w:ascii="Times New Roman" w:hAnsi="Times New Roman" w:cs="Times New Roman"/>
          <w:sz w:val="24"/>
          <w:szCs w:val="24"/>
        </w:rPr>
        <w:t>mpirical</w:t>
      </w:r>
      <w:r w:rsidR="0095569E" w:rsidRPr="0041550F">
        <w:rPr>
          <w:rFonts w:ascii="Times New Roman" w:hAnsi="Times New Roman" w:cs="Times New Roman"/>
          <w:sz w:val="24"/>
          <w:szCs w:val="24"/>
        </w:rPr>
        <w:t xml:space="preserve"> research demonstrate</w:t>
      </w:r>
      <w:r w:rsidR="009746AB" w:rsidRPr="0041550F">
        <w:rPr>
          <w:rFonts w:ascii="Times New Roman" w:hAnsi="Times New Roman" w:cs="Times New Roman"/>
          <w:sz w:val="24"/>
          <w:szCs w:val="24"/>
        </w:rPr>
        <w:t>s that the DDM provides more reliable indices of attentional bias</w:t>
      </w:r>
      <w:r w:rsidR="00325118" w:rsidRPr="0041550F">
        <w:rPr>
          <w:rFonts w:ascii="Times New Roman" w:hAnsi="Times New Roman" w:cs="Times New Roman"/>
          <w:sz w:val="24"/>
          <w:szCs w:val="24"/>
        </w:rPr>
        <w:t xml:space="preserve"> (towards threat)</w:t>
      </w:r>
      <w:r w:rsidR="009746AB" w:rsidRPr="0041550F">
        <w:rPr>
          <w:rFonts w:ascii="Times New Roman" w:hAnsi="Times New Roman" w:cs="Times New Roman"/>
          <w:sz w:val="24"/>
          <w:szCs w:val="24"/>
        </w:rPr>
        <w:t xml:space="preserve"> derived from the </w:t>
      </w:r>
      <w:r w:rsidR="008830AD" w:rsidRPr="0041550F">
        <w:rPr>
          <w:rFonts w:ascii="Times New Roman" w:hAnsi="Times New Roman" w:cs="Times New Roman"/>
          <w:sz w:val="24"/>
          <w:szCs w:val="24"/>
        </w:rPr>
        <w:t>VPT</w:t>
      </w:r>
      <w:r w:rsidR="009746AB" w:rsidRPr="0041550F">
        <w:rPr>
          <w:rFonts w:ascii="Times New Roman" w:hAnsi="Times New Roman" w:cs="Times New Roman"/>
          <w:sz w:val="24"/>
          <w:szCs w:val="24"/>
        </w:rPr>
        <w:t xml:space="preserve"> </w:t>
      </w:r>
      <w:r w:rsidR="00271527"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{"citationItems":[{"id":"ITEM-1","itemData":{"author":[{"dropping-particle":"","family":"Rebecca B. Price, Vanessa Brown","given":"Greg J. Siegle","non-dropping-particle":"","parse-names":false,"suffix":""}],"container-title":"Biological Psychiatry","id":"ITEM-1","issued":{"date-parts":[["2019"]]},"page":"606-612","title":"Computational modeling applied to the Dot-Probe Task yields improved reliability and mechanistic insights","type":"article-journal","volume":"85"},"uris":["http://www.mendeley.com/documents/?uuid=6fbe9566-15f8-4ab7-9d0c-1c0f72448756"]}],"mendeley":{"formattedCitation":"(78)","plainTextFormattedCitation":"(78)","previouslyFormattedCitation":"(78)"},"properties":{"noteIndex":0},"schema":"https://github.com/citation-style-language/schema/raw/master/csl-citation.json"}</w:instrText>
      </w:r>
      <w:r w:rsidR="00271527"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(78)</w:t>
      </w:r>
      <w:r w:rsidR="00271527" w:rsidRPr="0041550F">
        <w:rPr>
          <w:rFonts w:ascii="Times New Roman" w:hAnsi="Times New Roman" w:cs="Times New Roman"/>
          <w:sz w:val="24"/>
          <w:szCs w:val="24"/>
        </w:rPr>
        <w:fldChar w:fldCharType="end"/>
      </w:r>
      <w:r w:rsidR="009746AB" w:rsidRPr="0041550F">
        <w:rPr>
          <w:rFonts w:ascii="Times New Roman" w:hAnsi="Times New Roman" w:cs="Times New Roman"/>
          <w:sz w:val="24"/>
          <w:szCs w:val="24"/>
        </w:rPr>
        <w:t xml:space="preserve"> and new interpretations of previous experimental findings </w:t>
      </w:r>
      <w:r w:rsidR="00271527"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{"citationItems":[{"id":"ITEM-1","itemData":{"DOI":"10.1037/neu0000320","ISSN":"19311559","PMID":"27732040","abstract":"Objective: Two-alternative forced-choice tasks are widely used to gain insight into specific areas of enhancement or impairment in individuals with autism spectrum disorder (ASD). Data arising from these tasks have been used to support myriad theories regarding the integrity, or otherwise, of particular brain areas or cognitive processes in ASD. The drift diffusion model (DDM) provides an account of the underlying processes which give rise to accuracy and reaction time (RT) distributions, and parameterizes these processes in terms which have direct psychological interpretation. Importantly, the DDM provides further insight into the origin of potential group differences in task performance. Here, for the first time, we used the DDM to investigate perceptual decision making in ASD. Method: Adults with (N = 25) and without ASD (N = 32) performed an orientation discrimination task. A drift diffusion model was applied to the full RT distributions. Results: Participants with ASD responded more slowly than controls, the groups did not differ in accuracy. Modeled parameters indicated that: (a) participants with ASD were more cautious than controls (wider boundary separation); (b) nondecision time was increased in ASD;and (c) the quality of evidence extracted from the stimulus (drift rate) did not vary between groups. Conclusions: Taking the behavioral data in isolation would suggest reduced perceptual sensitivity in ASD. However, DDM results indicated that despite response slowing, there was no evidence of differential perceptual sensitivity between participants with and without ASD. Future use of the DDM in investigations of perception and cognition in ASD is highly recommended.","author":[{"dropping-particle":"","family":"Pirrone","given":"Angelo","non-dropping-particle":"","parse-names":false,"suffix":""},{"dropping-particle":"","family":"Dickinson","given":"Abigail","non-dropping-particle":"","parse-names":false,"suffix":""},{"dropping-particle":"","family":"Gomez","given":"Rosanna","non-dropping-particle":"","parse-names":false,"suffix":""},{"dropping-particle":"","family":"Stafford","given":"Tom","non-dropping-particle":"","parse-names":false,"suffix":""},{"dropping-particle":"","family":"Milne","given":"Elizabeth","non-dropping-particle":"","parse-names":false,"suffix":""}],"container-title":"Neuropsychology","id":"ITEM-1","issue":"2","issued":{"date-parts":[["2017"]]},"page":"173-180","title":"Understanding perceptual judgment in autism spectrum disorder using the drift diffusion model","type":"article-journal","volume":"31"},"uris":["http://www.mendeley.com/documents/?uuid=d1ac08c9-ff26-4e26-8020-a8ef6159f435"]}],"mendeley":{"formattedCitation":"(79)","plainTextFormattedCitation":"(79)","previouslyFormattedCitation":"(79)"},"properties":{"noteIndex":0},"schema":"https://github.com/citation-style-language/schema/raw/master/csl-citation.json"}</w:instrText>
      </w:r>
      <w:r w:rsidR="00271527"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(79)</w:t>
      </w:r>
      <w:r w:rsidR="00271527" w:rsidRPr="0041550F">
        <w:rPr>
          <w:rFonts w:ascii="Times New Roman" w:hAnsi="Times New Roman" w:cs="Times New Roman"/>
          <w:sz w:val="24"/>
          <w:szCs w:val="24"/>
        </w:rPr>
        <w:fldChar w:fldCharType="end"/>
      </w:r>
      <w:r w:rsidR="00271527" w:rsidRPr="0041550F">
        <w:rPr>
          <w:rFonts w:ascii="Times New Roman" w:hAnsi="Times New Roman" w:cs="Times New Roman"/>
          <w:sz w:val="24"/>
          <w:szCs w:val="24"/>
        </w:rPr>
        <w:t>.</w:t>
      </w:r>
      <w:r w:rsidR="009746AB" w:rsidRPr="0041550F">
        <w:rPr>
          <w:rFonts w:ascii="Times New Roman" w:hAnsi="Times New Roman" w:cs="Times New Roman"/>
          <w:sz w:val="24"/>
          <w:szCs w:val="24"/>
        </w:rPr>
        <w:t xml:space="preserve"> </w:t>
      </w:r>
      <w:r w:rsidR="003D5BA8" w:rsidRPr="0041550F">
        <w:rPr>
          <w:rFonts w:ascii="Times New Roman" w:eastAsia="Times New Roman" w:hAnsi="Times New Roman" w:cs="Times New Roman"/>
          <w:sz w:val="24"/>
          <w:szCs w:val="24"/>
        </w:rPr>
        <w:t xml:space="preserve">Interestingly, it has also been shown that researchers can benefit from increased statistical power by applying such decision models to experimental designs, without requiring more trials or participants </w:t>
      </w:r>
      <w:r w:rsidR="00016C18"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Methods","id":"ITEM-1","issued":{"date-parts":[["2020"]]},"publisher":"Behavior Research Methods","title":"Quantifying the benefits of using decision models with response time and accuracy data","type":"article-journal"},"uris":["http://www.mendeley.com/documents/?uuid=c88706f0-a970-4df3-be35-7b914b336aeb"]}],"mendeley":{"formattedCitation":"(76)","plainTextFormattedCitation":"(76)","previouslyFormattedCitation":"(76)"},"properties":{"noteIndex":0},"schema":"https://github.com/citation-style-language/schema/raw/master/csl-citation.json"}</w:instrText>
      </w:r>
      <w:r w:rsidR="00016C18"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(76)</w:t>
      </w:r>
      <w:r w:rsidR="00016C18" w:rsidRPr="0041550F">
        <w:rPr>
          <w:rFonts w:ascii="Times New Roman" w:eastAsia="Times New Roman" w:hAnsi="Times New Roman" w:cs="Times New Roman"/>
          <w:sz w:val="24"/>
          <w:szCs w:val="24"/>
        </w:rPr>
        <w:fldChar w:fldCharType="end"/>
      </w:r>
      <w:r w:rsidR="003D5BA8" w:rsidRPr="0041550F">
        <w:rPr>
          <w:rFonts w:ascii="Times New Roman" w:eastAsia="Times New Roman" w:hAnsi="Times New Roman" w:cs="Times New Roman"/>
          <w:sz w:val="24"/>
          <w:szCs w:val="24"/>
        </w:rPr>
        <w:t>.</w:t>
      </w:r>
      <w:r w:rsidR="000727F7" w:rsidRPr="0041550F">
        <w:rPr>
          <w:rFonts w:ascii="Times New Roman" w:eastAsia="Times New Roman" w:hAnsi="Times New Roman" w:cs="Times New Roman"/>
          <w:sz w:val="24"/>
          <w:szCs w:val="24"/>
        </w:rPr>
        <w:t xml:space="preserve"> </w:t>
      </w:r>
      <w:r w:rsidR="00A56B31" w:rsidRPr="0041550F">
        <w:rPr>
          <w:rFonts w:ascii="Times New Roman" w:hAnsi="Times New Roman" w:cs="Times New Roman"/>
          <w:sz w:val="24"/>
          <w:szCs w:val="24"/>
        </w:rPr>
        <w:t>A</w:t>
      </w:r>
      <w:r w:rsidR="001E2BCD" w:rsidRPr="0041550F">
        <w:rPr>
          <w:rFonts w:ascii="Times New Roman" w:hAnsi="Times New Roman" w:cs="Times New Roman"/>
          <w:sz w:val="24"/>
          <w:szCs w:val="24"/>
        </w:rPr>
        <w:t xml:space="preserve">lthough these </w:t>
      </w:r>
      <w:r w:rsidR="001E2BCD" w:rsidRPr="0041550F">
        <w:rPr>
          <w:rFonts w:ascii="Times New Roman" w:hAnsi="Times New Roman" w:cs="Times New Roman"/>
          <w:sz w:val="24"/>
          <w:szCs w:val="24"/>
        </w:rPr>
        <w:lastRenderedPageBreak/>
        <w:t xml:space="preserve">techniques are yet to be tested empirically within cognitive alcohol research, </w:t>
      </w:r>
      <w:r w:rsidR="000A04B1" w:rsidRPr="0041550F">
        <w:rPr>
          <w:rFonts w:ascii="Times New Roman" w:hAnsi="Times New Roman" w:cs="Times New Roman"/>
          <w:sz w:val="24"/>
          <w:szCs w:val="24"/>
        </w:rPr>
        <w:t xml:space="preserve">a </w:t>
      </w:r>
      <w:r w:rsidR="000727F7" w:rsidRPr="0041550F">
        <w:rPr>
          <w:rFonts w:ascii="Times New Roman" w:hAnsi="Times New Roman" w:cs="Times New Roman"/>
          <w:sz w:val="24"/>
          <w:szCs w:val="24"/>
        </w:rPr>
        <w:t xml:space="preserve">recent </w:t>
      </w:r>
      <w:r w:rsidR="00AE339A" w:rsidRPr="0041550F">
        <w:rPr>
          <w:rFonts w:ascii="Times New Roman" w:hAnsi="Times New Roman" w:cs="Times New Roman"/>
          <w:sz w:val="24"/>
          <w:szCs w:val="24"/>
        </w:rPr>
        <w:t>theoretical review</w:t>
      </w:r>
      <w:r w:rsidR="00F220BB" w:rsidRPr="0041550F">
        <w:rPr>
          <w:rFonts w:ascii="Times New Roman" w:hAnsi="Times New Roman" w:cs="Times New Roman"/>
          <w:sz w:val="24"/>
          <w:szCs w:val="24"/>
        </w:rPr>
        <w:t xml:space="preserve"> </w:t>
      </w:r>
      <w:r w:rsidR="00016C18" w:rsidRPr="0041550F">
        <w:rPr>
          <w:rFonts w:ascii="Times New Roman" w:hAnsi="Times New Roman" w:cs="Times New Roman"/>
          <w:sz w:val="24"/>
          <w:szCs w:val="24"/>
        </w:rPr>
        <w:fldChar w:fldCharType="begin" w:fldLock="1"/>
      </w:r>
      <w:r w:rsidR="00DD59D7" w:rsidRPr="0041550F">
        <w:rPr>
          <w:rFonts w:ascii="Times New Roman" w:hAnsi="Times New Roman" w:cs="Times New Roman"/>
          <w:sz w:val="24"/>
          <w:szCs w:val="24"/>
        </w:rPr>
        <w:instrText>ADDIN CSL_CITATION {"citationItems":[{"id":"ITEM-1","itemData":{"DOI":"doi: 10.1037/adb0000518","author":[{"dropping-particle":"","family":"Matt Field, Nick Heather, James G Murphy, Tom Stafford, Jalie A Tucker","given":"Katie Witkiewitz","non-dropping-particle":"","parse-names":false,"suffix":""}],"container-title":"Psychology of Addictive Behaviors","id":"ITEM-1","issue":"1","issued":{"date-parts":[["2020"]]},"page":"182-193","title":"Recovery from addiction: Behavioral economics and value-based decision making","type":"article-journal","volume":"34"},"uris":["http://www.mendeley.com/documents/?uuid=7f8cf366-6446-43ad-8537-600b26335f7c"]}],"mendeley":{"formattedCitation":"(80)","plainTextFormattedCitation":"(80)","previouslyFormattedCitation":"(80)"},"properties":{"noteIndex":0},"schema":"https://github.com/citation-style-language/schema/raw/master/csl-citation.json"}</w:instrText>
      </w:r>
      <w:r w:rsidR="00016C18" w:rsidRPr="0041550F">
        <w:rPr>
          <w:rFonts w:ascii="Times New Roman" w:hAnsi="Times New Roman" w:cs="Times New Roman"/>
          <w:sz w:val="24"/>
          <w:szCs w:val="24"/>
        </w:rPr>
        <w:fldChar w:fldCharType="separate"/>
      </w:r>
      <w:r w:rsidR="00934548" w:rsidRPr="0041550F">
        <w:rPr>
          <w:rFonts w:ascii="Times New Roman" w:hAnsi="Times New Roman" w:cs="Times New Roman"/>
          <w:noProof/>
          <w:sz w:val="24"/>
          <w:szCs w:val="24"/>
        </w:rPr>
        <w:t>(80)</w:t>
      </w:r>
      <w:r w:rsidR="00016C18" w:rsidRPr="0041550F">
        <w:rPr>
          <w:rFonts w:ascii="Times New Roman" w:hAnsi="Times New Roman" w:cs="Times New Roman"/>
          <w:sz w:val="24"/>
          <w:szCs w:val="24"/>
        </w:rPr>
        <w:fldChar w:fldCharType="end"/>
      </w:r>
      <w:r w:rsidR="00F220BB" w:rsidRPr="0041550F">
        <w:rPr>
          <w:rFonts w:ascii="Times New Roman" w:hAnsi="Times New Roman" w:cs="Times New Roman"/>
          <w:sz w:val="24"/>
          <w:szCs w:val="24"/>
        </w:rPr>
        <w:t xml:space="preserve"> outlines </w:t>
      </w:r>
      <w:r w:rsidR="001E2BCD" w:rsidRPr="0041550F">
        <w:rPr>
          <w:rFonts w:ascii="Times New Roman" w:hAnsi="Times New Roman" w:cs="Times New Roman"/>
          <w:sz w:val="24"/>
          <w:szCs w:val="24"/>
        </w:rPr>
        <w:t xml:space="preserve">their </w:t>
      </w:r>
      <w:r w:rsidR="000735B1" w:rsidRPr="0041550F">
        <w:rPr>
          <w:rFonts w:ascii="Times New Roman" w:hAnsi="Times New Roman" w:cs="Times New Roman"/>
          <w:sz w:val="24"/>
          <w:szCs w:val="24"/>
        </w:rPr>
        <w:t>potential</w:t>
      </w:r>
      <w:r w:rsidR="001E2BCD" w:rsidRPr="0041550F">
        <w:rPr>
          <w:rFonts w:ascii="Times New Roman" w:hAnsi="Times New Roman" w:cs="Times New Roman"/>
          <w:sz w:val="24"/>
          <w:szCs w:val="24"/>
        </w:rPr>
        <w:t xml:space="preserve"> contribution</w:t>
      </w:r>
      <w:r w:rsidR="00D04C35" w:rsidRPr="0041550F">
        <w:rPr>
          <w:rFonts w:ascii="Times New Roman" w:hAnsi="Times New Roman" w:cs="Times New Roman"/>
          <w:sz w:val="24"/>
          <w:szCs w:val="24"/>
        </w:rPr>
        <w:t xml:space="preserve"> to this field</w:t>
      </w:r>
      <w:r w:rsidR="00F220BB" w:rsidRPr="0041550F">
        <w:rPr>
          <w:rFonts w:ascii="Times New Roman" w:hAnsi="Times New Roman" w:cs="Times New Roman"/>
          <w:sz w:val="24"/>
          <w:szCs w:val="24"/>
        </w:rPr>
        <w:t>.</w:t>
      </w:r>
    </w:p>
    <w:p w14:paraId="23F1938B" w14:textId="77777777" w:rsidR="009A4074" w:rsidRPr="0041550F" w:rsidRDefault="009A4074">
      <w:pPr>
        <w:spacing w:after="0" w:line="480" w:lineRule="auto"/>
        <w:jc w:val="both"/>
        <w:rPr>
          <w:rFonts w:ascii="Times New Roman" w:eastAsia="Times New Roman" w:hAnsi="Times New Roman" w:cs="Times New Roman"/>
          <w:b/>
          <w:sz w:val="24"/>
          <w:szCs w:val="24"/>
        </w:rPr>
      </w:pPr>
      <w:bookmarkStart w:id="15" w:name="_heading=h.iecegf1pwccn" w:colFirst="0" w:colLast="0"/>
      <w:bookmarkEnd w:id="15"/>
    </w:p>
    <w:p w14:paraId="0000003D" w14:textId="71033ABF" w:rsidR="00CB2059" w:rsidRPr="0041550F" w:rsidRDefault="00C3572E">
      <w:pPr>
        <w:spacing w:after="0" w:line="480" w:lineRule="auto"/>
        <w:jc w:val="both"/>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A CASE FOR OPEN SCIENCE</w:t>
      </w:r>
    </w:p>
    <w:p w14:paraId="0000003E" w14:textId="603FFC75" w:rsidR="00CB2059" w:rsidRPr="0041550F" w:rsidRDefault="00CD4537" w:rsidP="00051390">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Many of the issues </w:t>
      </w:r>
      <w:r w:rsidR="00A312DC" w:rsidRPr="0041550F">
        <w:rPr>
          <w:rFonts w:ascii="Times New Roman" w:eastAsia="Times New Roman" w:hAnsi="Times New Roman" w:cs="Times New Roman"/>
          <w:sz w:val="24"/>
          <w:szCs w:val="24"/>
        </w:rPr>
        <w:t>highlighted</w:t>
      </w:r>
      <w:r w:rsidRPr="0041550F">
        <w:rPr>
          <w:rFonts w:ascii="Times New Roman" w:eastAsia="Times New Roman" w:hAnsi="Times New Roman" w:cs="Times New Roman"/>
          <w:sz w:val="24"/>
          <w:szCs w:val="24"/>
        </w:rPr>
        <w:t xml:space="preserve"> </w:t>
      </w:r>
      <w:r w:rsidR="00A312DC" w:rsidRPr="0041550F">
        <w:rPr>
          <w:rFonts w:ascii="Times New Roman" w:eastAsia="Times New Roman" w:hAnsi="Times New Roman" w:cs="Times New Roman"/>
          <w:sz w:val="24"/>
          <w:szCs w:val="24"/>
        </w:rPr>
        <w:t>above</w:t>
      </w:r>
      <w:r w:rsidRPr="0041550F">
        <w:rPr>
          <w:rFonts w:ascii="Times New Roman" w:eastAsia="Times New Roman" w:hAnsi="Times New Roman" w:cs="Times New Roman"/>
          <w:sz w:val="24"/>
          <w:szCs w:val="24"/>
        </w:rPr>
        <w:t xml:space="preserve"> are </w:t>
      </w:r>
      <w:r w:rsidR="00A312DC" w:rsidRPr="0041550F">
        <w:rPr>
          <w:rFonts w:ascii="Times New Roman" w:eastAsia="Times New Roman" w:hAnsi="Times New Roman" w:cs="Times New Roman"/>
          <w:sz w:val="24"/>
          <w:szCs w:val="24"/>
        </w:rPr>
        <w:t xml:space="preserve">compounded by </w:t>
      </w:r>
      <w:r w:rsidRPr="0041550F">
        <w:rPr>
          <w:rFonts w:ascii="Times New Roman" w:eastAsia="Times New Roman" w:hAnsi="Times New Roman" w:cs="Times New Roman"/>
          <w:sz w:val="24"/>
          <w:szCs w:val="24"/>
        </w:rPr>
        <w:t xml:space="preserve">the non-disclosure of important study characteristics (e.g., </w:t>
      </w:r>
      <w:r w:rsidR="00FB5134" w:rsidRPr="0041550F">
        <w:rPr>
          <w:rFonts w:ascii="Times New Roman" w:eastAsia="Times New Roman" w:hAnsi="Times New Roman" w:cs="Times New Roman"/>
          <w:sz w:val="24"/>
          <w:szCs w:val="24"/>
        </w:rPr>
        <w:t xml:space="preserve">stimuli selection, </w:t>
      </w:r>
      <w:r w:rsidR="00A65A63" w:rsidRPr="0041550F">
        <w:rPr>
          <w:rFonts w:ascii="Times New Roman" w:eastAsia="Times New Roman" w:hAnsi="Times New Roman" w:cs="Times New Roman"/>
          <w:sz w:val="24"/>
          <w:szCs w:val="24"/>
        </w:rPr>
        <w:t>analytic decisions</w:t>
      </w:r>
      <w:r w:rsidR="007E214B" w:rsidRPr="0041550F">
        <w:rPr>
          <w:rFonts w:ascii="Times New Roman" w:eastAsia="Times New Roman" w:hAnsi="Times New Roman" w:cs="Times New Roman"/>
          <w:sz w:val="24"/>
          <w:szCs w:val="24"/>
        </w:rPr>
        <w:t>)</w:t>
      </w:r>
      <w:r w:rsidR="00A312DC" w:rsidRPr="0041550F">
        <w:rPr>
          <w:rFonts w:ascii="Times New Roman" w:eastAsia="Times New Roman" w:hAnsi="Times New Roman" w:cs="Times New Roman"/>
          <w:sz w:val="24"/>
          <w:szCs w:val="24"/>
        </w:rPr>
        <w:t>, which</w:t>
      </w:r>
      <w:r w:rsidR="00051390" w:rsidRPr="0041550F">
        <w:rPr>
          <w:rFonts w:ascii="Times New Roman" w:eastAsia="Times New Roman" w:hAnsi="Times New Roman" w:cs="Times New Roman"/>
          <w:sz w:val="24"/>
          <w:szCs w:val="24"/>
        </w:rPr>
        <w:t xml:space="preserve"> </w:t>
      </w:r>
      <w:r w:rsidR="00A312DC" w:rsidRPr="0041550F">
        <w:rPr>
          <w:rFonts w:ascii="Times New Roman" w:eastAsia="Times New Roman" w:hAnsi="Times New Roman" w:cs="Times New Roman"/>
          <w:sz w:val="24"/>
          <w:szCs w:val="24"/>
        </w:rPr>
        <w:t xml:space="preserve">threaten replicability and </w:t>
      </w:r>
      <w:r w:rsidR="00051390" w:rsidRPr="0041550F">
        <w:rPr>
          <w:rFonts w:ascii="Times New Roman" w:eastAsia="Times New Roman" w:hAnsi="Times New Roman" w:cs="Times New Roman"/>
          <w:sz w:val="24"/>
          <w:szCs w:val="24"/>
        </w:rPr>
        <w:t>reproducib</w:t>
      </w:r>
      <w:r w:rsidR="00A312DC" w:rsidRPr="0041550F">
        <w:rPr>
          <w:rFonts w:ascii="Times New Roman" w:eastAsia="Times New Roman" w:hAnsi="Times New Roman" w:cs="Times New Roman"/>
          <w:sz w:val="24"/>
          <w:szCs w:val="24"/>
        </w:rPr>
        <w:t>ility</w:t>
      </w:r>
      <w:r w:rsidR="00051390" w:rsidRPr="0041550F">
        <w:rPr>
          <w:rFonts w:ascii="Times New Roman" w:eastAsia="Times New Roman" w:hAnsi="Times New Roman" w:cs="Times New Roman"/>
          <w:sz w:val="24"/>
          <w:szCs w:val="24"/>
        </w:rPr>
        <w:t xml:space="preserve">. </w:t>
      </w:r>
      <w:r w:rsidR="0015069A" w:rsidRPr="0041550F">
        <w:rPr>
          <w:rFonts w:ascii="Times New Roman" w:eastAsia="Times New Roman" w:hAnsi="Times New Roman" w:cs="Times New Roman"/>
          <w:sz w:val="24"/>
          <w:szCs w:val="24"/>
        </w:rPr>
        <w:t xml:space="preserve">This can </w:t>
      </w:r>
      <w:r w:rsidR="00EB2B03" w:rsidRPr="0041550F">
        <w:rPr>
          <w:rFonts w:ascii="Times New Roman" w:eastAsia="Times New Roman" w:hAnsi="Times New Roman" w:cs="Times New Roman"/>
          <w:sz w:val="24"/>
          <w:szCs w:val="24"/>
        </w:rPr>
        <w:t>be</w:t>
      </w:r>
      <w:r w:rsidR="0015069A" w:rsidRPr="0041550F">
        <w:rPr>
          <w:rFonts w:ascii="Times New Roman" w:eastAsia="Times New Roman" w:hAnsi="Times New Roman" w:cs="Times New Roman"/>
          <w:sz w:val="24"/>
          <w:szCs w:val="24"/>
        </w:rPr>
        <w:t xml:space="preserve"> improved </w:t>
      </w:r>
      <w:r w:rsidR="00E7341A" w:rsidRPr="0041550F">
        <w:rPr>
          <w:rFonts w:ascii="Times New Roman" w:eastAsia="Times New Roman" w:hAnsi="Times New Roman" w:cs="Times New Roman"/>
          <w:sz w:val="24"/>
          <w:szCs w:val="24"/>
        </w:rPr>
        <w:t>simply by</w:t>
      </w:r>
      <w:r w:rsidR="0015069A" w:rsidRPr="0041550F">
        <w:rPr>
          <w:rFonts w:ascii="Times New Roman" w:eastAsia="Times New Roman" w:hAnsi="Times New Roman" w:cs="Times New Roman"/>
          <w:sz w:val="24"/>
          <w:szCs w:val="24"/>
        </w:rPr>
        <w:t xml:space="preserve"> the implementation of open science practices.</w:t>
      </w:r>
      <w:r w:rsidRPr="0041550F">
        <w:rPr>
          <w:rFonts w:ascii="Times New Roman" w:eastAsia="Times New Roman" w:hAnsi="Times New Roman" w:cs="Times New Roman"/>
          <w:sz w:val="24"/>
          <w:szCs w:val="24"/>
        </w:rPr>
        <w:t xml:space="preserve"> </w:t>
      </w:r>
      <w:r w:rsidR="00C3572E" w:rsidRPr="0041550F">
        <w:rPr>
          <w:rFonts w:ascii="Times New Roman" w:eastAsia="Times New Roman" w:hAnsi="Times New Roman" w:cs="Times New Roman"/>
          <w:sz w:val="24"/>
          <w:szCs w:val="24"/>
        </w:rPr>
        <w:t xml:space="preserve">There are </w:t>
      </w:r>
      <w:r w:rsidR="002B4B44" w:rsidRPr="0041550F">
        <w:rPr>
          <w:rFonts w:ascii="Times New Roman" w:eastAsia="Times New Roman" w:hAnsi="Times New Roman" w:cs="Times New Roman"/>
          <w:sz w:val="24"/>
          <w:szCs w:val="24"/>
        </w:rPr>
        <w:t xml:space="preserve">several excellent </w:t>
      </w:r>
      <w:r w:rsidR="00C3572E" w:rsidRPr="0041550F">
        <w:rPr>
          <w:rFonts w:ascii="Times New Roman" w:eastAsia="Times New Roman" w:hAnsi="Times New Roman" w:cs="Times New Roman"/>
          <w:sz w:val="24"/>
          <w:szCs w:val="24"/>
        </w:rPr>
        <w:t xml:space="preserve">guides to adopting open science </w:t>
      </w:r>
      <w:r w:rsidR="00CF1243"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10.31234/osf.io/vzjdp","author":[{"dropping-particle":"","family":"Kathawalla","given":"Ummul-Kiram","non-dropping-particle":"","parse-names":false,"suffix":""},{"dropping-particle":"","family":"Silverstein","given":"Priya","non-dropping-particle":"","parse-names":false,"suffix":""},{"dropping-particle":"","family":"Syed","given":"Moin","non-dropping-particle":"","parse-names":false,"suffix":""}],"id":"ITEM-1","issued":{"date-parts":[["2020"]]},"page":"1-34","title":"Easing Into Open Science: A Guide for Graduate Students and Their Advisors","type":"article-journal"},"uris":["http://www.mendeley.com/documents/?uuid=eb342b56-7217-4039-8102-e557ff637532"]},{"id":"ITEM-2","itemData":{"DOI":"10.1177/2515245918757689","ISSN":"2515-2459","abstract":"Sharing data, materials, and analysis scripts with reviewers and readers is valued in psychological science. To facilitate this sharing, files should be stored in a stable location, referenced with unique identifiers, and cited in published work associated with them. This Tutorial provides a step-by-step guide to using OSF to meet the needs for sharing psychological data.","author":[{"dropping-particle":"","family":"Soderberg","given":"Courtney K.","non-dropping-particle":"","parse-names":false,"suffix":""}],"container-title":"Advances in Methods and Practices in Psychological Science","id":"ITEM-2","issue":"December 2017","issued":{"date-parts":[["2018"]]},"page":"251524591875768","title":"Using OSF to Share Data: A Step-by-Step Guide","type":"article-journal"},"uris":["http://www.mendeley.com/documents/?uuid=d6ea8fce-3c43-4812-a23a-f26477caf4bf"]},{"id":"ITEM-3","itemData":{"DOI":"10.1016/j.tins.2019.07.003","ISSN":"1878108X","PMID":"31470913","abstract":"Recent open science efforts to improve rigor and reliability have sparked great enthusiasm. Among these, the Registered Report publication format integrates best practices in hypothesis-driven research with peer review that occurs before the research is conducted. Here, we detail practical recommendations to help researchers negotiate the mechanics of this developing format.","author":[{"dropping-particle":"","family":"Kiyonaga","given":"Anastasia","non-dropping-particle":"","parse-names":false,"suffix":""},{"dropping-particle":"","family":"Scimeca","given":"Jason M.","non-dropping-particle":"","parse-names":false,"suffix":""}],"container-title":"Trends in Neurosciences","id":"ITEM-3","issue":"9","issued":{"date-parts":[["2019"]]},"page":"568-572","publisher":"Elsevier Ltd","title":"Practical Considerations for Navigating Registered Reports","type":"article-journal","volume":"42"},"uris":["http://www.mendeley.com/documents/?uuid=7e7be135-a88b-4bb3-96c7-9ac70d9ee609"]}],"mendeley":{"formattedCitation":"(81–83)","plainTextFormattedCitation":"(81–83)","previouslyFormattedCitation":"(81–83)"},"properties":{"noteIndex":0},"schema":"https://github.com/citation-style-language/schema/raw/master/csl-citation.json"}</w:instrText>
      </w:r>
      <w:r w:rsidR="00CF1243"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(81–83)</w:t>
      </w:r>
      <w:r w:rsidR="00CF1243"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so we focus herein on solutions </w:t>
      </w:r>
      <w:r w:rsidR="00A312DC" w:rsidRPr="0041550F">
        <w:rPr>
          <w:rFonts w:ascii="Times New Roman" w:eastAsia="Times New Roman" w:hAnsi="Times New Roman" w:cs="Times New Roman"/>
          <w:sz w:val="24"/>
          <w:szCs w:val="24"/>
        </w:rPr>
        <w:t>that are relevant particularly to</w:t>
      </w:r>
      <w:r w:rsidR="0097270B" w:rsidRPr="0041550F">
        <w:rPr>
          <w:rFonts w:ascii="Times New Roman" w:eastAsia="Times New Roman" w:hAnsi="Times New Roman" w:cs="Times New Roman"/>
          <w:sz w:val="24"/>
          <w:szCs w:val="24"/>
        </w:rPr>
        <w:t xml:space="preserve"> the field of</w:t>
      </w:r>
      <w:r w:rsidR="00A312DC" w:rsidRPr="0041550F">
        <w:rPr>
          <w:rFonts w:ascii="Times New Roman" w:eastAsia="Times New Roman" w:hAnsi="Times New Roman" w:cs="Times New Roman"/>
          <w:sz w:val="24"/>
          <w:szCs w:val="24"/>
        </w:rPr>
        <w:t xml:space="preserve"> alcohol research</w:t>
      </w:r>
      <w:r w:rsidR="00555C07"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 </w:t>
      </w:r>
    </w:p>
    <w:p w14:paraId="0000003F" w14:textId="023830F0" w:rsidR="00CB2059" w:rsidRPr="0041550F" w:rsidRDefault="00A312DC" w:rsidP="007424A9">
      <w:pPr>
        <w:spacing w:after="0" w:line="480" w:lineRule="auto"/>
        <w:ind w:firstLine="720"/>
        <w:jc w:val="both"/>
        <w:rPr>
          <w:rFonts w:ascii="Times New Roman" w:eastAsia="Times New Roman" w:hAnsi="Times New Roman" w:cs="Times New Roman"/>
          <w:sz w:val="24"/>
          <w:szCs w:val="24"/>
        </w:rPr>
      </w:pPr>
      <w:bookmarkStart w:id="16" w:name="_heading=h.bxm51hgxcz7" w:colFirst="0" w:colLast="0"/>
      <w:bookmarkEnd w:id="16"/>
      <w:r w:rsidRPr="0041550F">
        <w:rPr>
          <w:rFonts w:ascii="Times New Roman" w:eastAsia="Times New Roman" w:hAnsi="Times New Roman" w:cs="Times New Roman"/>
          <w:sz w:val="24"/>
          <w:szCs w:val="24"/>
        </w:rPr>
        <w:t xml:space="preserve">One solution to </w:t>
      </w:r>
      <w:r w:rsidR="00C3572E" w:rsidRPr="0041550F">
        <w:rPr>
          <w:rFonts w:ascii="Times New Roman" w:eastAsia="Times New Roman" w:hAnsi="Times New Roman" w:cs="Times New Roman"/>
          <w:sz w:val="24"/>
          <w:szCs w:val="24"/>
        </w:rPr>
        <w:t xml:space="preserve">the lack of </w:t>
      </w:r>
      <w:r w:rsidR="00D22330" w:rsidRPr="0041550F">
        <w:rPr>
          <w:rFonts w:ascii="Times New Roman" w:eastAsia="Times New Roman" w:hAnsi="Times New Roman" w:cs="Times New Roman"/>
          <w:sz w:val="24"/>
          <w:szCs w:val="24"/>
        </w:rPr>
        <w:t xml:space="preserve">transparency </w:t>
      </w:r>
      <w:r w:rsidR="00C3572E" w:rsidRPr="0041550F">
        <w:rPr>
          <w:rFonts w:ascii="Times New Roman" w:eastAsia="Times New Roman" w:hAnsi="Times New Roman" w:cs="Times New Roman"/>
          <w:sz w:val="24"/>
          <w:szCs w:val="24"/>
        </w:rPr>
        <w:t>around stimulus sets</w:t>
      </w:r>
      <w:r w:rsidR="007424A9" w:rsidRPr="0041550F">
        <w:rPr>
          <w:rFonts w:ascii="Times New Roman" w:eastAsia="Times New Roman" w:hAnsi="Times New Roman" w:cs="Times New Roman"/>
          <w:sz w:val="24"/>
          <w:szCs w:val="24"/>
        </w:rPr>
        <w:t xml:space="preserve"> and </w:t>
      </w:r>
      <w:r w:rsidR="00D22330" w:rsidRPr="0041550F">
        <w:rPr>
          <w:rFonts w:ascii="Times New Roman" w:eastAsia="Times New Roman" w:hAnsi="Times New Roman" w:cs="Times New Roman"/>
          <w:sz w:val="24"/>
          <w:szCs w:val="24"/>
        </w:rPr>
        <w:t>task parameters</w:t>
      </w:r>
      <w:r w:rsidR="000242EA" w:rsidRPr="0041550F">
        <w:rPr>
          <w:rFonts w:ascii="Times New Roman" w:eastAsia="Times New Roman" w:hAnsi="Times New Roman" w:cs="Times New Roman"/>
          <w:sz w:val="24"/>
          <w:szCs w:val="24"/>
        </w:rPr>
        <w:t xml:space="preserve"> is</w:t>
      </w:r>
      <w:r w:rsidR="00C3572E" w:rsidRPr="0041550F">
        <w:rPr>
          <w:rFonts w:ascii="Times New Roman" w:eastAsia="Times New Roman" w:hAnsi="Times New Roman" w:cs="Times New Roman"/>
          <w:sz w:val="24"/>
          <w:szCs w:val="24"/>
        </w:rPr>
        <w:t xml:space="preserve"> </w:t>
      </w:r>
      <w:r w:rsidRPr="0041550F">
        <w:rPr>
          <w:rFonts w:ascii="Times New Roman" w:eastAsia="Times New Roman" w:hAnsi="Times New Roman" w:cs="Times New Roman"/>
          <w:sz w:val="24"/>
          <w:szCs w:val="24"/>
        </w:rPr>
        <w:t xml:space="preserve">a </w:t>
      </w:r>
      <w:r w:rsidR="00C3572E" w:rsidRPr="0041550F">
        <w:rPr>
          <w:rFonts w:ascii="Times New Roman" w:eastAsia="Times New Roman" w:hAnsi="Times New Roman" w:cs="Times New Roman"/>
          <w:sz w:val="24"/>
          <w:szCs w:val="24"/>
        </w:rPr>
        <w:t xml:space="preserve">move to </w:t>
      </w:r>
      <w:r w:rsidR="00C3572E" w:rsidRPr="0041550F">
        <w:rPr>
          <w:rFonts w:ascii="Times New Roman" w:eastAsia="Times New Roman" w:hAnsi="Times New Roman" w:cs="Times New Roman"/>
          <w:i/>
          <w:sz w:val="24"/>
          <w:szCs w:val="24"/>
        </w:rPr>
        <w:t xml:space="preserve">open </w:t>
      </w:r>
      <w:r w:rsidR="007424A9" w:rsidRPr="0041550F">
        <w:rPr>
          <w:rFonts w:ascii="Times New Roman" w:eastAsia="Times New Roman" w:hAnsi="Times New Roman" w:cs="Times New Roman"/>
          <w:i/>
          <w:sz w:val="24"/>
          <w:szCs w:val="24"/>
        </w:rPr>
        <w:t>materials</w:t>
      </w:r>
      <w:r w:rsidR="00C3572E" w:rsidRPr="0041550F">
        <w:rPr>
          <w:rFonts w:ascii="Times New Roman" w:eastAsia="Times New Roman" w:hAnsi="Times New Roman" w:cs="Times New Roman"/>
          <w:i/>
          <w:sz w:val="24"/>
          <w:szCs w:val="24"/>
        </w:rPr>
        <w:t xml:space="preserve">. </w:t>
      </w:r>
      <w:r w:rsidR="00C3572E" w:rsidRPr="0041550F">
        <w:rPr>
          <w:rFonts w:ascii="Times New Roman" w:eastAsia="Times New Roman" w:hAnsi="Times New Roman" w:cs="Times New Roman"/>
          <w:sz w:val="24"/>
          <w:szCs w:val="24"/>
        </w:rPr>
        <w:t xml:space="preserve">Currently, reviews of biomedical and addiction sciences indicate that </w:t>
      </w:r>
      <w:r w:rsidRPr="0041550F">
        <w:rPr>
          <w:rFonts w:ascii="Times New Roman" w:eastAsia="Times New Roman" w:hAnsi="Times New Roman" w:cs="Times New Roman"/>
          <w:sz w:val="24"/>
          <w:szCs w:val="24"/>
        </w:rPr>
        <w:t xml:space="preserve">just </w:t>
      </w:r>
      <w:r w:rsidR="00C3572E" w:rsidRPr="0041550F">
        <w:rPr>
          <w:rFonts w:ascii="Times New Roman" w:eastAsia="Times New Roman" w:hAnsi="Times New Roman" w:cs="Times New Roman"/>
          <w:sz w:val="24"/>
          <w:szCs w:val="24"/>
        </w:rPr>
        <w:t>1-3% of articles share their methods or protocol</w:t>
      </w:r>
      <w:r w:rsidRPr="0041550F">
        <w:rPr>
          <w:rFonts w:ascii="Times New Roman" w:eastAsia="Times New Roman" w:hAnsi="Times New Roman" w:cs="Times New Roman"/>
          <w:sz w:val="24"/>
          <w:szCs w:val="24"/>
        </w:rPr>
        <w:t>s</w:t>
      </w:r>
      <w:r w:rsidR="00C3572E" w:rsidRPr="0041550F">
        <w:rPr>
          <w:rFonts w:ascii="Times New Roman" w:eastAsia="Times New Roman" w:hAnsi="Times New Roman" w:cs="Times New Roman"/>
          <w:sz w:val="24"/>
          <w:szCs w:val="24"/>
        </w:rPr>
        <w:t xml:space="preserve"> through public repositories </w:t>
      </w:r>
      <w:r w:rsidR="00F543BA"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{"citationItems":[{"id":"ITEM-1","itemData":{"DOI":"10.1016/j.addbeh.2020.106560","ISSN":"18736327","abstract":"Background: Credible research emphasizes transparency, openness, and reproducibility. These characteristics are fundamental to promoting and maintaining research integrity. The aim of this study was to evaluate the current state of reproducibility in the field of addiction science. Design: Cross-sectional design. Measurements: The National Library of Medicine catalog was searched for all journals using the subject terms tag: Substance-Related Disorders [ST]. Journals were then searched via PubMed to identify publications from January 1, 2014, to December 31, 2018; 300 publications were randomly selected from among those identified. A pilot-tested Google form containing reproducibility/transparency characteristics was used for data extraction in a duplicated and blinded fashion by two investigators. Findings: Slightly more than half of the publications were open access (152/300, 50.70%). Few publications had pre-registration (7/244, 2.87%), material availability (2/237, 0.84%), protocol availability (3/244, 1.23%), data availability (28/244, 11.48%), or analysis script availability (2/244, 0.82%). Most publications provided a conflict of interest statement (221/293, 75.43%) and funding sources (268/293, 91.47%). One replication study was reported (1/244, 0.4%). Conclusion: Our study found that current practices that promote transparency and reproducibility are lacking, thus, there is room for improvement. In particular, investigators should pre-register studies prior to commencement. Researchers should also make the materials, data, and analysis script publicly available. Further, individuals should be transparent about funding sources for the project and financial conflicts of interest. Research stakeholders should work together toward improvements on these matters. With such protections, the field of addiction medicine can better disseminate the information necessary to treat patients.","author":[{"dropping-particle":"","family":"Adewumi","given":"Mopileola Tomi","non-dropping-particle":"","parse-names":false,"suffix":""},{"dropping-particle":"","family":"Vo","given":"Nam","non-dropping-particle":"","parse-names":false,"suffix":""},{"dropping-particle":"","family":"Tritz","given":"Daniel","non-dropping-particle":"","parse-names":false,"suffix":""},{"dropping-particle":"","family":"Beaman","given":"Jason","non-dropping-particle":"","parse-names":false,"suffix":""},{"dropping-particle":"","family":"Vassar","given":"Matt","non-dropping-particle":"","parse-names":false,"suffix":""}],"container-title":"Addictive Behaviors","id":"ITEM-1","issue":"November 2019","issued":{"date-parts":[["2021"]]},"page":"106560","publisher":"Elsevier","title":"An evaluation of the practice of transparency and reproducibility in addiction medicine literature","type":"article-journal","volume":"112"},"uris":["http://www.mendeley.com/documents/?uuid=88e33346-bf1a-4fc2-9989-b12ef3f26c97"]},{"id":"ITEM-2","itemData":{"DOI":"10.1371/journal.pbio.1002333","ISSN":"15457885","PMID":"26726926","abstract":"There is a growing movement to encourage reproducibility and transparency practices in the scientific community, including public access to raw data and protocols, the conduct of replication studies, systematic integration of evidence in systematic reviews, and the documentation of funding and potential conflicts of interest. In this survey, we assessed the current status of reproducibility and transparency addressing these indicators in a random sample of 441 biomedical journal articles published in 2000–2014. Only one study provided a full protocol and none made all raw data directly available. Replication studies were rare (n = 4), and only 16 studies had their data included in a subsequent systematic review or meta-analysis. The majority of studies did not mention anything about funding or conflicts of interest. The percentage of articles with no statement of conflict decreased substantially between 2000 and 2014 (94.4% in 2000 to 34.6% in 2014); the percentage of articles reporting statements of conflicts (0% in 2000, 15.4% in 2014) or no conflicts (5.6% in 2000, 50.0% in 2014) increased. Articles published in journals in the clinical medicine category versus other fields were almost twice as likely to not include any information on funding and to have private funding. This study provides baseline data to compare future progress in improving these indicators in the scientific literature.","author":[{"dropping-particle":"","family":"Iqbal","given":"Shareen A.","non-dropping-particle":"","parse-names":false,"suffix":""},{"dropping-particle":"","family":"Wallach","given":"Joshua D.","non-dropping-particle":"","parse-names":false,"suffix":""},{"dropping-particle":"","family":"Khoury","given":"Muin J.","non-dropping-particle":"","parse-names":false,"suffix":""},{"dropping-particle":"","family":"Schully","given":"Sheri D.","non-dropping-particle":"","parse-names":false,"suffix":""},{"dropping-particle":"","family":"Ioannidis","given":"John P.A.","non-dropping-particle":"","parse-names":false,"suffix":""}],"container-title":"PLoS Biology","id":"ITEM-2","issue":"1","issued":{"date-parts":[["2016"]]},"page":"1-13","title":"Reproducible Research Practices and Transparency across the Biomedical Literature","type":"article-journal","volume":"14"},"uris":["http://www.mendeley.com/documents/?uuid=d5e9a8bb-feca-4481-ac62-2f5e3859e626"]}],"mendeley":{"formattedCitation":"(84,85)","plainTextFormattedCitation":"(84,85)","previouslyFormattedCitation":"(84,85)"},"properties":{"noteIndex":0},"schema":"https://github.com/citation-style-language/schema/raw/master/csl-citation.json"}</w:instrText>
      </w:r>
      <w:r w:rsidR="00F543BA"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(84,85)</w:t>
      </w:r>
      <w:r w:rsidR="00F543BA"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with higher (</w:t>
      </w:r>
      <w:r w:rsidRPr="0041550F">
        <w:rPr>
          <w:rFonts w:ascii="Times New Roman" w:eastAsia="Times New Roman" w:hAnsi="Times New Roman" w:cs="Times New Roman"/>
          <w:sz w:val="24"/>
          <w:szCs w:val="24"/>
        </w:rPr>
        <w:t xml:space="preserve">yet </w:t>
      </w:r>
      <w:r w:rsidR="00C3572E" w:rsidRPr="0041550F">
        <w:rPr>
          <w:rFonts w:ascii="Times New Roman" w:eastAsia="Times New Roman" w:hAnsi="Times New Roman" w:cs="Times New Roman"/>
          <w:sz w:val="24"/>
          <w:szCs w:val="24"/>
        </w:rPr>
        <w:t xml:space="preserve">far from optimal) estimates of 14% in psychology </w:t>
      </w:r>
      <w:r w:rsidR="00F543BA"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{"citationItems":[{"id":"ITEM-1","itemData":{"DOI":"https://doi.org/10.31222/osf.io/9sz2y","author":[{"dropping-particle":"","family":"Tom Hardwicke, Robert Thibault, Jessica Kosie, Joshua Wallach, Mallory Kidwell","given":"John Ioannidis","non-dropping-particle":"","parse-names":false,"suffix":""}],"container-title":"MetaArXiv Preprints","id":"ITEM-1","issued":{"date-parts":[["2020"]]},"title":"Estimating the prevalence of transparency and reproducibility-related research practices in psychology (2014-2017)","type":"article-journal"},"uris":["http://www.mendeley.com/documents/?uuid=95fd2c06-5f43-435f-95f6-ce750c3c3534"]}],"mendeley":{"formattedCitation":"(86)","plainTextFormattedCitation":"(86)","previouslyFormattedCitation":"(86)"},"properties":{"noteIndex":0},"schema":"https://github.com/citation-style-language/schema/raw/master/csl-citation.json"}</w:instrText>
      </w:r>
      <w:r w:rsidR="00F543BA"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(86)</w:t>
      </w:r>
      <w:r w:rsidR="00F543BA"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w:t>
      </w:r>
      <w:r w:rsidR="007424A9" w:rsidRPr="0041550F">
        <w:rPr>
          <w:rFonts w:ascii="Times New Roman" w:eastAsia="Times New Roman" w:hAnsi="Times New Roman" w:cs="Times New Roman"/>
          <w:sz w:val="24"/>
          <w:szCs w:val="24"/>
        </w:rPr>
        <w:t xml:space="preserve"> Moreover, a standard practice of </w:t>
      </w:r>
      <w:r w:rsidR="007424A9" w:rsidRPr="0041550F">
        <w:rPr>
          <w:rFonts w:ascii="Times New Roman" w:eastAsia="Times New Roman" w:hAnsi="Times New Roman" w:cs="Times New Roman"/>
          <w:i/>
          <w:iCs/>
          <w:sz w:val="24"/>
          <w:szCs w:val="24"/>
        </w:rPr>
        <w:t xml:space="preserve">open data </w:t>
      </w:r>
      <w:r w:rsidR="007424A9" w:rsidRPr="0041550F">
        <w:rPr>
          <w:rFonts w:ascii="Times New Roman" w:eastAsia="Times New Roman" w:hAnsi="Times New Roman" w:cs="Times New Roman"/>
          <w:sz w:val="24"/>
          <w:szCs w:val="24"/>
        </w:rPr>
        <w:t xml:space="preserve">(where ethically permissible) will allow findings and inferences to be verified and new models to be applied to advance knowledge. </w:t>
      </w:r>
      <w:r w:rsidR="00C3572E" w:rsidRPr="0041550F">
        <w:rPr>
          <w:rFonts w:ascii="Times New Roman" w:eastAsia="Times New Roman" w:hAnsi="Times New Roman" w:cs="Times New Roman"/>
          <w:sz w:val="24"/>
          <w:szCs w:val="24"/>
        </w:rPr>
        <w:t>We recommend us</w:t>
      </w:r>
      <w:r w:rsidRPr="0041550F">
        <w:rPr>
          <w:rFonts w:ascii="Times New Roman" w:eastAsia="Times New Roman" w:hAnsi="Times New Roman" w:cs="Times New Roman"/>
          <w:sz w:val="24"/>
          <w:szCs w:val="24"/>
        </w:rPr>
        <w:t xml:space="preserve">e of </w:t>
      </w:r>
      <w:r w:rsidR="00C3572E" w:rsidRPr="0041550F">
        <w:rPr>
          <w:rFonts w:ascii="Times New Roman" w:eastAsia="Times New Roman" w:hAnsi="Times New Roman" w:cs="Times New Roman"/>
          <w:sz w:val="24"/>
          <w:szCs w:val="24"/>
        </w:rPr>
        <w:t>the Open Science Framework (</w:t>
      </w:r>
      <w:hyperlink r:id="rId12">
        <w:r w:rsidR="00C3572E" w:rsidRPr="0041550F">
          <w:rPr>
            <w:rFonts w:ascii="Times New Roman" w:eastAsia="Times New Roman" w:hAnsi="Times New Roman" w:cs="Times New Roman"/>
            <w:color w:val="1155CC"/>
            <w:sz w:val="24"/>
            <w:szCs w:val="24"/>
            <w:u w:val="single"/>
          </w:rPr>
          <w:t>www.osf.io</w:t>
        </w:r>
      </w:hyperlink>
      <w:r w:rsidR="007424A9" w:rsidRPr="0041550F">
        <w:rPr>
          <w:rFonts w:ascii="Times New Roman" w:eastAsia="Times New Roman" w:hAnsi="Times New Roman" w:cs="Times New Roman"/>
          <w:sz w:val="24"/>
          <w:szCs w:val="24"/>
        </w:rPr>
        <w:t>), a</w:t>
      </w:r>
      <w:r w:rsidR="00911374" w:rsidRPr="0041550F">
        <w:rPr>
          <w:rFonts w:ascii="Times New Roman" w:eastAsia="Times New Roman" w:hAnsi="Times New Roman" w:cs="Times New Roman"/>
          <w:sz w:val="24"/>
          <w:szCs w:val="24"/>
        </w:rPr>
        <w:t xml:space="preserve"> platform </w:t>
      </w:r>
      <w:r w:rsidR="007424A9" w:rsidRPr="0041550F">
        <w:rPr>
          <w:rFonts w:ascii="Times New Roman" w:eastAsia="Times New Roman" w:hAnsi="Times New Roman" w:cs="Times New Roman"/>
          <w:sz w:val="24"/>
          <w:szCs w:val="24"/>
        </w:rPr>
        <w:t xml:space="preserve">which </w:t>
      </w:r>
      <w:r w:rsidRPr="0041550F">
        <w:rPr>
          <w:rFonts w:ascii="Times New Roman" w:eastAsia="Times New Roman" w:hAnsi="Times New Roman" w:cs="Times New Roman"/>
          <w:sz w:val="24"/>
          <w:szCs w:val="24"/>
        </w:rPr>
        <w:t>permits</w:t>
      </w:r>
      <w:r w:rsidR="00C3572E" w:rsidRPr="0041550F">
        <w:rPr>
          <w:rFonts w:ascii="Times New Roman" w:eastAsia="Times New Roman" w:hAnsi="Times New Roman" w:cs="Times New Roman"/>
          <w:sz w:val="24"/>
          <w:szCs w:val="24"/>
        </w:rPr>
        <w:t xml:space="preserve"> the storage of materials, experimental scripts and data with a CC BY licence so that any reuse is attributed to the original author</w:t>
      </w:r>
      <w:r w:rsidR="00911374" w:rsidRPr="0041550F">
        <w:rPr>
          <w:rFonts w:ascii="Times New Roman" w:eastAsia="Times New Roman" w:hAnsi="Times New Roman" w:cs="Times New Roman"/>
          <w:sz w:val="24"/>
          <w:szCs w:val="24"/>
        </w:rPr>
        <w:t>(s)</w:t>
      </w:r>
      <w:r w:rsidR="00C3572E" w:rsidRPr="0041550F">
        <w:rPr>
          <w:rFonts w:ascii="Times New Roman" w:eastAsia="Times New Roman" w:hAnsi="Times New Roman" w:cs="Times New Roman"/>
          <w:sz w:val="24"/>
          <w:szCs w:val="24"/>
        </w:rPr>
        <w:t xml:space="preserve">. </w:t>
      </w:r>
      <w:r w:rsidR="00B32344" w:rsidRPr="0041550F">
        <w:rPr>
          <w:rFonts w:ascii="Times New Roman" w:eastAsia="Times New Roman" w:hAnsi="Times New Roman" w:cs="Times New Roman"/>
          <w:sz w:val="24"/>
          <w:szCs w:val="24"/>
        </w:rPr>
        <w:t>I</w:t>
      </w:r>
      <w:r w:rsidR="00911374" w:rsidRPr="0041550F">
        <w:rPr>
          <w:rFonts w:ascii="Times New Roman" w:eastAsia="Times New Roman" w:hAnsi="Times New Roman" w:cs="Times New Roman"/>
          <w:sz w:val="24"/>
          <w:szCs w:val="24"/>
        </w:rPr>
        <w:t>ndeed, i</w:t>
      </w:r>
      <w:r w:rsidR="00C3572E" w:rsidRPr="0041550F">
        <w:rPr>
          <w:rFonts w:ascii="Times New Roman" w:eastAsia="Times New Roman" w:hAnsi="Times New Roman" w:cs="Times New Roman"/>
          <w:sz w:val="24"/>
          <w:szCs w:val="24"/>
        </w:rPr>
        <w:t xml:space="preserve">t has been shown consistently that articles adopting </w:t>
      </w:r>
      <w:r w:rsidR="007424A9" w:rsidRPr="0041550F">
        <w:rPr>
          <w:rFonts w:ascii="Times New Roman" w:eastAsia="Times New Roman" w:hAnsi="Times New Roman" w:cs="Times New Roman"/>
          <w:sz w:val="24"/>
          <w:szCs w:val="24"/>
        </w:rPr>
        <w:t xml:space="preserve">open research </w:t>
      </w:r>
      <w:r w:rsidR="00C3572E" w:rsidRPr="0041550F">
        <w:rPr>
          <w:rFonts w:ascii="Times New Roman" w:eastAsia="Times New Roman" w:hAnsi="Times New Roman" w:cs="Times New Roman"/>
          <w:sz w:val="24"/>
          <w:szCs w:val="24"/>
        </w:rPr>
        <w:t>practice</w:t>
      </w:r>
      <w:r w:rsidR="007424A9" w:rsidRPr="0041550F">
        <w:rPr>
          <w:rFonts w:ascii="Times New Roman" w:eastAsia="Times New Roman" w:hAnsi="Times New Roman" w:cs="Times New Roman"/>
          <w:sz w:val="24"/>
          <w:szCs w:val="24"/>
        </w:rPr>
        <w:t xml:space="preserve">s </w:t>
      </w:r>
      <w:r w:rsidR="00C3572E" w:rsidRPr="0041550F">
        <w:rPr>
          <w:rFonts w:ascii="Times New Roman" w:eastAsia="Times New Roman" w:hAnsi="Times New Roman" w:cs="Times New Roman"/>
          <w:sz w:val="24"/>
          <w:szCs w:val="24"/>
        </w:rPr>
        <w:t xml:space="preserve">receive more citations and lead to research collaborations </w:t>
      </w:r>
      <w:r w:rsidR="003C4013"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{"citationItems":[{"id":"ITEM-1","itemData":{"DOI":"10.1371/journal.pbio.3000587","ISBN":"1111111111","ISSN":"15457885","PMID":"31809497","abstract":"There is an error in the reference citations in Table 1. Reference 24 is incorrectly cited; the correct reference should be 26. The citation of references 46 and 47 in the section ’Benefit 1: Greater faith in research’ (page 6 of PDF) and in the Fig 1 legend is inappropriate. The correct references are: Fanelli D. Negative results are disappearing from most disciplines and countries. Scientometrics. 2012;90: 891–904. doi:10.1007/s11192-011-0494-7 Cristea IA, Ioannidis JPA. P values in display items are ubiquitous and almost invariably significant: A survey of top science journals. PLoS One. 2018; 1–15. doi:10.1371/journal. pone.0197440 The citations of reference 46 in the sections ’Challenge 3: Incentive structure isn’t in place yet’ (page 5 of PDF) and ’Benefit 3: Investment in your future’ (page 9 of PDF) are correct. The citation of reference 47 in the section ’Challenge 3: Incentive structure isn’t in place yet’ (page 5 of PDF) is correct. The URL associated with reference 9 is incorrect. The correct URL is: https://www. sciencedirect.com/science/article/pii/B9780128161791000104 There is an error in the reference 31 and in its hyperlink. The correct reference and hyperlink are: Kerr N. HARKing: -hypnothesizing after the results are known. Personal Soc Psychol Rev. 1998;2: 196–217. https://doi.org/10.1207/s15327957pspr0203_4 The hyperlinked URL of reference 38 directs to the preprint version of the article. The URL of the published paper is: https://journals.sagepub.com/doi/full/10.1177/2515245918776632? casa_token=UUzRegXa2WAAAAAA%3AVhPQg9K4OwvuPW64CnGNR5EUacSc6Obb_G_ P4KBFq2wfbv3ayuz9kBxIWBcYE_Uihjb4JysqtRQJ The URL associated with reference 62 contains an error. The correct URL is: https://papers. ssrn.com/sol3/papers.cfm?abstract_id=2256237.","author":[{"dropping-particle":"","family":"Allen","given":"Christopher","non-dropping-particle":"","parse-names":false,"suffix":""},{"dropping-particle":"","family":"Mehler","given":"David M.A.","non-dropping-particle":"","parse-names":false,"suffix":""}],"container-title":"PLoS Biology","id":"ITEM-1","issue":"12","issued":{"date-parts":[["2019"]]},"page":"1-14","title":"Erratum: Open science challenges, benefits and tips in early career and beyond (PLoS Biology (2019) 17:5 (e3000246) DOI: 10.1371/journal.pbio.3000246)","type":"article-journal","volume":"17"},"uris":["http://www.mendeley.com/documents/?uuid=6b1bfdfc-4890-4e44-8522-ded5cb024822"]},{"id":"ITEM-2","itemData":{"DOI":"10.7717/peerj.175","ISSN":"21678359","abstract":"Background: Attribution to the original contributor upon reuse of published data is important both as a reward for data creators and to document the provenance of research findings. Previous studies have found that papers with publicly available datasets receive a higher number of citations than similar studies without available data. However, few previous analyses have had the statistical power to control for the many variables known to predict citation rate, which has led to uncertain estimates of the \"citation benefit\". Furthermore, little is known about patterns in data reuse over time and across datasets. Method and Results: Here, we look at citation rates while controlling for many known citation predictors and investigate the variability of data reuse. In a multivariate regression on 10,555 studies that created gene expression microarray data, we found that studies that made data available in a public repository received 9% (95% confidence interval: 5% to 13%) more citations than similar studies for which the data was not made available. Date of publication, journal impact factor, open access status, number of authors, first and last author publication history, corresponding author country, institution citation history, and study topic were included as covariates. The citation benefit varied with date of dataset deposition: a citation benefit was most clear for papers published in 2004 and 2005, at about 30%. Authors published most papers using their own datasets within two years of their first publication on the dataset, whereas data reuse papers published by third-party investigators continued to accumulate for at least six years. To study patterns of data reuse directly, we compiled 9,724 instances of third party data reuse via mention of GEO or ArrayExpress accession numbers in the full text of papers. The level of third-party data use was high: for 100 datasets deposited in year 0, we estimated that 40 papers in PubMed reused a dataset by year 2, 100 by year 4, and more than 150 data reuse papers had been published by year 5. Data reuse was distributed across a broad base of datasets: a very conservative estimate found that 20% of the datasets deposited between 2003 and 2007 had been reused at least once by third parties. Conclusion: After accounting for other factors affecting citation rate, we find a robust citation benefit from open data, although a smaller one than previously reported. We conclude there is a direct effect of third-party …","author":[{"dropping-particle":"","family":"Piwowar","given":"Heather A.","non-dropping-particle":"","parse-names":false,"suffix":""},{"dropping-particle":"","family":"Vision","given":"Todd J.","non-dropping-particle":"","parse-names":false,"suffix":""}],"container-title":"PeerJ","id":"ITEM-2","issue":"1","issued":{"date-parts":[["2013"]]},"page":"1-25","title":"Data reuse and the open data citation advantage","type":"article-journal","volume":"2013"},"uris":["http://www.mendeley.com/documents/?uuid=0769533c-3e74-4b64-a92f-5e15b0bd2850"]},{"id":"ITEM-3","itemData":{"DOI":"10.7554/eLife.16800","ISSN":"2050084X","PMID":"27387362","abstract":"Open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practices.","author":[{"dropping-particle":"","family":"McKiernan","given":"Erin C.","non-dropping-particle":"","parse-names":false,"suffix":""},{"dropping-particle":"","family":"Bourne","given":"Philip E.","non-dropping-particle":"","parse-names":false,"suffix":""},{"dropping-particle":"","family":"Brown","given":"C. Titus","non-dropping-particle":"","parse-names":false,"suffix":""},{"dropping-particle":"","family":"Buck","given":"Stuart","non-dropping-particle":"","parse-names":false,"suffix":""},{"dropping-particle":"","family":"Kenall","given":"Amye","non-dropping-particle":"","parse-names":false,"suffix":""},{"dropping-particle":"","family":"Lin","given":"Jennifer","non-dropping-particle":"","parse-names":false,"suffix":""},{"dropping-particle":"","family":"McDougall","given":"Damon","non-dropping-particle":"","parse-names":false,"suffix":""},{"dropping-particle":"","family":"Nosek","given":"Brian A.","non-dropping-particle":"","parse-names":false,"suffix":""},{"dropping-particle":"","family":"Ram","given":"Karthik","non-dropping-particle":"","parse-names":false,"suffix":""},{"dropping-particle":"","family":"Soderberg","given":"Courtney K.","non-dropping-particle":"","parse-names":false,"suffix":""},{"dropping-particle":"","family":"Spies","given":"Jeffrey R.","non-dropping-particle":"","parse-names":false,"suffix":""},{"dropping-particle":"","family":"Thaney","given":"Kaitlin","non-dropping-particle":"","parse-names":false,"suffix":""},{"dropping-particle":"","family":"Updegrove","given":"Andrew","non-dropping-particle":"","parse-names":false,"suffix":""},{"dropping-particle":"","family":"Woo","given":"Kara H.","non-dropping-particle":"","parse-names":false,"suffix":""},{"dropping-particle":"","family":"Yarkoni","given":"Tal","non-dropping-particle":"","parse-names":false,"suffix":""}],"container-title":"eLife","id":"ITEM-3","issue":"JULY","issued":{"date-parts":[["2016"]]},"page":"1-19","title":"How open science helps researchers succeed","type":"article-journal","volume":"5"},"uris":["http://www.mendeley.com/documents/?uuid=8d3f5881-1bbf-44a3-8190-1b8fb7f67af4"]}],"mendeley":{"formattedCitation":"(87–89)","plainTextFormattedCitation":"(87–89)","previouslyFormattedCitation":"(87–89)"},"properties":{"noteIndex":0},"schema":"https://github.com/citation-style-language/schema/raw/master/csl-citation.json"}</w:instrText>
      </w:r>
      <w:r w:rsidR="003C4013"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(87–89)</w:t>
      </w:r>
      <w:r w:rsidR="003C4013"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w:t>
      </w:r>
    </w:p>
    <w:p w14:paraId="14DA9B4D" w14:textId="48F4CD65" w:rsidR="00ED270F" w:rsidRPr="0041550F" w:rsidRDefault="00841B1A" w:rsidP="00B95EA2">
      <w:pPr>
        <w:spacing w:after="0" w:line="480" w:lineRule="auto"/>
        <w:ind w:firstLine="720"/>
        <w:jc w:val="both"/>
        <w:rPr>
          <w:rFonts w:ascii="Times New Roman" w:eastAsia="Times New Roman" w:hAnsi="Times New Roman" w:cs="Times New Roman"/>
          <w:sz w:val="24"/>
          <w:szCs w:val="24"/>
        </w:rPr>
      </w:pPr>
      <w:bookmarkStart w:id="17" w:name="_heading=h.2f6pwj6t3ijl" w:colFirst="0" w:colLast="0"/>
      <w:bookmarkEnd w:id="17"/>
      <w:r w:rsidRPr="0041550F">
        <w:rPr>
          <w:rFonts w:ascii="Times New Roman" w:eastAsia="Times New Roman" w:hAnsi="Times New Roman" w:cs="Times New Roman"/>
          <w:sz w:val="24"/>
          <w:szCs w:val="24"/>
        </w:rPr>
        <w:t>R</w:t>
      </w:r>
      <w:r w:rsidR="00C3572E" w:rsidRPr="0041550F">
        <w:rPr>
          <w:rFonts w:ascii="Times New Roman" w:eastAsia="Times New Roman" w:hAnsi="Times New Roman" w:cs="Times New Roman"/>
          <w:sz w:val="24"/>
          <w:szCs w:val="24"/>
        </w:rPr>
        <w:t xml:space="preserve">igor in alcohol research can </w:t>
      </w:r>
      <w:r w:rsidRPr="0041550F">
        <w:rPr>
          <w:rFonts w:ascii="Times New Roman" w:eastAsia="Times New Roman" w:hAnsi="Times New Roman" w:cs="Times New Roman"/>
          <w:sz w:val="24"/>
          <w:szCs w:val="24"/>
        </w:rPr>
        <w:t xml:space="preserve">also </w:t>
      </w:r>
      <w:r w:rsidR="00C3572E" w:rsidRPr="0041550F">
        <w:rPr>
          <w:rFonts w:ascii="Times New Roman" w:eastAsia="Times New Roman" w:hAnsi="Times New Roman" w:cs="Times New Roman"/>
          <w:sz w:val="24"/>
          <w:szCs w:val="24"/>
        </w:rPr>
        <w:t xml:space="preserve">be enhanced through </w:t>
      </w:r>
      <w:r w:rsidR="00C3572E" w:rsidRPr="0041550F">
        <w:rPr>
          <w:rFonts w:ascii="Times New Roman" w:eastAsia="Times New Roman" w:hAnsi="Times New Roman" w:cs="Times New Roman"/>
          <w:i/>
          <w:sz w:val="24"/>
          <w:szCs w:val="24"/>
        </w:rPr>
        <w:t>study preregistration</w:t>
      </w:r>
      <w:r w:rsidR="00911374" w:rsidRPr="0041550F">
        <w:rPr>
          <w:rFonts w:ascii="Times New Roman" w:eastAsia="Times New Roman" w:hAnsi="Times New Roman" w:cs="Times New Roman"/>
          <w:sz w:val="24"/>
          <w:szCs w:val="24"/>
        </w:rPr>
        <w:t xml:space="preserve"> – </w:t>
      </w:r>
      <w:r w:rsidR="00C3572E" w:rsidRPr="0041550F">
        <w:rPr>
          <w:rFonts w:ascii="Times New Roman" w:eastAsia="Times New Roman" w:hAnsi="Times New Roman" w:cs="Times New Roman"/>
          <w:sz w:val="24"/>
          <w:szCs w:val="24"/>
        </w:rPr>
        <w:t>a time</w:t>
      </w:r>
      <w:r w:rsidR="003C07A1" w:rsidRPr="0041550F">
        <w:rPr>
          <w:rFonts w:ascii="Times New Roman" w:eastAsia="Times New Roman" w:hAnsi="Times New Roman" w:cs="Times New Roman"/>
          <w:sz w:val="24"/>
          <w:szCs w:val="24"/>
        </w:rPr>
        <w:t>-</w:t>
      </w:r>
      <w:r w:rsidR="00C3572E" w:rsidRPr="0041550F">
        <w:rPr>
          <w:rFonts w:ascii="Times New Roman" w:eastAsia="Times New Roman" w:hAnsi="Times New Roman" w:cs="Times New Roman"/>
          <w:sz w:val="24"/>
          <w:szCs w:val="24"/>
        </w:rPr>
        <w:t xml:space="preserve">stamped proposal that </w:t>
      </w:r>
      <w:r w:rsidR="00911374" w:rsidRPr="0041550F">
        <w:rPr>
          <w:rFonts w:ascii="Times New Roman" w:eastAsia="Times New Roman" w:hAnsi="Times New Roman" w:cs="Times New Roman"/>
          <w:sz w:val="24"/>
          <w:szCs w:val="24"/>
        </w:rPr>
        <w:t xml:space="preserve">makes transparent all key </w:t>
      </w:r>
      <w:r w:rsidR="00C3572E" w:rsidRPr="0041550F">
        <w:rPr>
          <w:rFonts w:ascii="Times New Roman" w:eastAsia="Times New Roman" w:hAnsi="Times New Roman" w:cs="Times New Roman"/>
          <w:sz w:val="24"/>
          <w:szCs w:val="24"/>
        </w:rPr>
        <w:t>experimental design and analys</w:t>
      </w:r>
      <w:r w:rsidR="00911374" w:rsidRPr="0041550F">
        <w:rPr>
          <w:rFonts w:ascii="Times New Roman" w:eastAsia="Times New Roman" w:hAnsi="Times New Roman" w:cs="Times New Roman"/>
          <w:sz w:val="24"/>
          <w:szCs w:val="24"/>
        </w:rPr>
        <w:t>is decisions in advance, thereby reducing many researcher degrees of freedom</w:t>
      </w:r>
      <w:r w:rsidR="00C3572E" w:rsidRPr="0041550F">
        <w:rPr>
          <w:rFonts w:ascii="Times New Roman" w:eastAsia="Times New Roman" w:hAnsi="Times New Roman" w:cs="Times New Roman"/>
          <w:sz w:val="24"/>
          <w:szCs w:val="24"/>
        </w:rPr>
        <w:t xml:space="preserve">. </w:t>
      </w:r>
      <w:r w:rsidR="00F01112" w:rsidRPr="0041550F">
        <w:rPr>
          <w:rFonts w:ascii="Times New Roman" w:eastAsia="Times New Roman" w:hAnsi="Times New Roman" w:cs="Times New Roman"/>
          <w:sz w:val="24"/>
          <w:szCs w:val="24"/>
        </w:rPr>
        <w:t>P</w:t>
      </w:r>
      <w:r w:rsidR="00C3572E" w:rsidRPr="0041550F">
        <w:rPr>
          <w:rFonts w:ascii="Times New Roman" w:eastAsia="Times New Roman" w:hAnsi="Times New Roman" w:cs="Times New Roman"/>
          <w:sz w:val="24"/>
          <w:szCs w:val="24"/>
        </w:rPr>
        <w:t xml:space="preserve">reregistration can be initiated for both confirmatory </w:t>
      </w:r>
      <w:r w:rsidR="003018F1" w:rsidRPr="0041550F">
        <w:rPr>
          <w:rFonts w:ascii="Times New Roman" w:eastAsia="Times New Roman" w:hAnsi="Times New Roman" w:cs="Times New Roman"/>
          <w:sz w:val="24"/>
          <w:szCs w:val="24"/>
        </w:rPr>
        <w:t xml:space="preserve">and exploratory </w:t>
      </w:r>
      <w:r w:rsidR="00C3572E" w:rsidRPr="0041550F">
        <w:rPr>
          <w:rFonts w:ascii="Times New Roman" w:eastAsia="Times New Roman" w:hAnsi="Times New Roman" w:cs="Times New Roman"/>
          <w:sz w:val="24"/>
          <w:szCs w:val="24"/>
        </w:rPr>
        <w:t xml:space="preserve">research. </w:t>
      </w:r>
      <w:r w:rsidR="00892B59" w:rsidRPr="0041550F">
        <w:rPr>
          <w:rFonts w:ascii="Times New Roman" w:eastAsia="Times New Roman" w:hAnsi="Times New Roman" w:cs="Times New Roman"/>
          <w:sz w:val="24"/>
          <w:szCs w:val="24"/>
        </w:rPr>
        <w:t>Current rates</w:t>
      </w:r>
      <w:r w:rsidR="00C3572E" w:rsidRPr="0041550F">
        <w:rPr>
          <w:rFonts w:ascii="Times New Roman" w:eastAsia="Times New Roman" w:hAnsi="Times New Roman" w:cs="Times New Roman"/>
          <w:sz w:val="24"/>
          <w:szCs w:val="24"/>
        </w:rPr>
        <w:t xml:space="preserve"> of preregistration within the addictive behaviour literature are worryingly low; </w:t>
      </w:r>
      <w:proofErr w:type="spellStart"/>
      <w:r w:rsidR="00C3572E" w:rsidRPr="0041550F">
        <w:rPr>
          <w:rFonts w:ascii="Times New Roman" w:eastAsia="Times New Roman" w:hAnsi="Times New Roman" w:cs="Times New Roman"/>
          <w:sz w:val="24"/>
          <w:szCs w:val="24"/>
        </w:rPr>
        <w:t>Adewumi</w:t>
      </w:r>
      <w:proofErr w:type="spellEnd"/>
      <w:r w:rsidR="00C3572E" w:rsidRPr="0041550F">
        <w:rPr>
          <w:rFonts w:ascii="Times New Roman" w:eastAsia="Times New Roman" w:hAnsi="Times New Roman" w:cs="Times New Roman"/>
          <w:sz w:val="24"/>
          <w:szCs w:val="24"/>
        </w:rPr>
        <w:t xml:space="preserve"> et al. </w:t>
      </w:r>
      <w:r w:rsidR="00881B5D"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{"citationItems":[{"id":"ITEM-1","itemData":{"DOI":"10.1016/j.addbeh.2020.106560","ISSN":"18736327","abstract":"Background: Credible research emphasizes transparency, openness, and reproducibility. These characteristics are fundamental to promoting and maintaining research integrity. The aim of this study was to evaluate the current state of reproducibility in the field of addiction science. Design: Cross-sectional design. Measurements: The National Library of Medicine catalog was searched for all journals using the subject terms tag: Substance-Related Disorders [ST]. Journals were then searched via PubMed to identify publications from January 1, 2014, to December 31, 2018; 300 publications were randomly selected from among those identified. A pilot-tested Google form containing reproducibility/transparency characteristics was used for data extraction in a duplicated and blinded fashion by two investigators. Findings: Slightly more than half of the publications were open access (152/300, 50.70%). Few publications had pre-registration (7/244, 2.87%), material availability (2/237, 0.84%), protocol availability (3/244, 1.23%), data availability (28/244, 11.48%), or analysis script availability (2/244, 0.82%). Most publications provided a conflict of interest statement (221/293, 75.43%) and funding sources (268/293, 91.47%). One replication study was reported (1/244, 0.4%). Conclusion: Our study found that current practices that promote transparency and reproducibility are lacking, thus, there is room for improvement. In particular, investigators should pre-register studies prior to commencement. Researchers should also make the materials, data, and analysis script publicly available. Further, individuals should be transparent about funding sources for the project and financial conflicts of interest. Research stakeholders should work together toward improvements on these matters. With such protections, the field of addiction medicine can better disseminate the information necessary to treat patients.","author":[{"dropping-particle":"","family":"Adewumi","given":"Mopileola Tomi","non-dropping-particle":"","parse-names":false,"suffix":""},{"dropping-particle":"","family":"Vo","given":"Nam","non-dropping-particle":"","parse-names":false,"suffix":""},{"dropping-particle":"","family":"Tritz","given":"Daniel","non-dropping-particle":"","parse-names":false,"suffix":""},{"dropping-particle":"","family":"Beaman","given":"Jason","non-dropping-particle":"","parse-names":false,"suffix":""},{"dropping-particle":"","family":"Vassar","given":"Matt","non-dropping-particle":"","parse-names":false,"suffix":""}],"container-title":"Addictive Behaviors","id":"ITEM-1","issue":"November 2019","issued":{"date-parts":[["2021"]]},"page":"106560","publisher":"Elsevier","title":"An evaluation of the practice of transparency and reproducibility in addiction medicine literature","type":"article-journal","volume":"112"},"uris":["http://www.mendeley.com/documents/?uuid=88e33346-bf1a-4fc2-9989-b12ef3f26c97"]}],"mendeley":{"formattedCitation":"(84)","plainTextFormattedCitation":"(84)","previouslyFormattedCitation":"(84)"},"properties":{"noteIndex":0},"schema":"https://github.com/citation-style-language/schema/raw/master/csl-citation.json"}</w:instrText>
      </w:r>
      <w:r w:rsidR="00881B5D"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(84)</w:t>
      </w:r>
      <w:r w:rsidR="00881B5D" w:rsidRPr="0041550F">
        <w:rPr>
          <w:rFonts w:ascii="Times New Roman" w:eastAsia="Times New Roman" w:hAnsi="Times New Roman" w:cs="Times New Roman"/>
          <w:sz w:val="24"/>
          <w:szCs w:val="24"/>
        </w:rPr>
        <w:fldChar w:fldCharType="end"/>
      </w:r>
      <w:r w:rsidR="00C3572E" w:rsidRPr="0041550F">
        <w:rPr>
          <w:rFonts w:ascii="Times New Roman" w:eastAsia="Times New Roman" w:hAnsi="Times New Roman" w:cs="Times New Roman"/>
          <w:sz w:val="24"/>
          <w:szCs w:val="24"/>
        </w:rPr>
        <w:t xml:space="preserve"> report that just 3% of articles in addiction medicine were preregistered, and our own review of </w:t>
      </w:r>
      <w:r w:rsidR="00026596" w:rsidRPr="0041550F">
        <w:rPr>
          <w:rFonts w:ascii="Times New Roman" w:eastAsia="Times New Roman" w:hAnsi="Times New Roman" w:cs="Times New Roman"/>
          <w:sz w:val="24"/>
          <w:szCs w:val="24"/>
        </w:rPr>
        <w:t xml:space="preserve">empirical research on </w:t>
      </w:r>
      <w:r w:rsidR="00C3572E" w:rsidRPr="0041550F">
        <w:rPr>
          <w:rFonts w:ascii="Times New Roman" w:eastAsia="Times New Roman" w:hAnsi="Times New Roman" w:cs="Times New Roman"/>
          <w:sz w:val="24"/>
          <w:szCs w:val="24"/>
        </w:rPr>
        <w:lastRenderedPageBreak/>
        <w:t xml:space="preserve">alcohol-related attentional bias revealed </w:t>
      </w:r>
      <w:r w:rsidR="00C6072B" w:rsidRPr="0041550F">
        <w:rPr>
          <w:rFonts w:ascii="Times New Roman" w:eastAsia="Times New Roman" w:hAnsi="Times New Roman" w:cs="Times New Roman"/>
          <w:iCs/>
          <w:sz w:val="24"/>
          <w:szCs w:val="24"/>
        </w:rPr>
        <w:t>only one</w:t>
      </w:r>
      <w:r w:rsidR="00C3572E" w:rsidRPr="0041550F">
        <w:rPr>
          <w:rFonts w:ascii="Times New Roman" w:eastAsia="Times New Roman" w:hAnsi="Times New Roman" w:cs="Times New Roman"/>
          <w:i/>
          <w:sz w:val="24"/>
          <w:szCs w:val="24"/>
        </w:rPr>
        <w:t xml:space="preserve"> </w:t>
      </w:r>
      <w:r w:rsidR="00C3572E" w:rsidRPr="0041550F">
        <w:rPr>
          <w:rFonts w:ascii="Times New Roman" w:eastAsia="Times New Roman" w:hAnsi="Times New Roman" w:cs="Times New Roman"/>
          <w:sz w:val="24"/>
          <w:szCs w:val="24"/>
        </w:rPr>
        <w:t>preregistered</w:t>
      </w:r>
      <w:r w:rsidR="00C6072B" w:rsidRPr="0041550F">
        <w:rPr>
          <w:rFonts w:ascii="Times New Roman" w:eastAsia="Times New Roman" w:hAnsi="Times New Roman" w:cs="Times New Roman"/>
          <w:sz w:val="24"/>
          <w:szCs w:val="24"/>
        </w:rPr>
        <w:t xml:space="preserve"> </w:t>
      </w:r>
      <w:bookmarkStart w:id="18" w:name="_heading=h.ypcurqf2t7wp" w:colFirst="0" w:colLast="0"/>
      <w:bookmarkEnd w:id="18"/>
      <w:r w:rsidR="00B4539C" w:rsidRPr="0041550F">
        <w:rPr>
          <w:rFonts w:ascii="Times New Roman" w:eastAsia="Times New Roman" w:hAnsi="Times New Roman" w:cs="Times New Roman"/>
          <w:sz w:val="24"/>
          <w:szCs w:val="24"/>
        </w:rPr>
        <w:t xml:space="preserve">study. </w:t>
      </w:r>
      <w:r w:rsidR="00044D4F" w:rsidRPr="0041550F">
        <w:rPr>
          <w:rFonts w:ascii="Times New Roman" w:eastAsia="Times New Roman" w:hAnsi="Times New Roman" w:cs="Times New Roman"/>
          <w:sz w:val="24"/>
          <w:szCs w:val="24"/>
        </w:rPr>
        <w:t>Despite the benefits, p</w:t>
      </w:r>
      <w:r w:rsidR="00B4539C" w:rsidRPr="0041550F">
        <w:rPr>
          <w:rFonts w:ascii="Times New Roman" w:eastAsia="Times New Roman" w:hAnsi="Times New Roman" w:cs="Times New Roman"/>
          <w:sz w:val="24"/>
          <w:szCs w:val="24"/>
        </w:rPr>
        <w:t>reregistration</w:t>
      </w:r>
      <w:r w:rsidR="00C3572E" w:rsidRPr="0041550F">
        <w:rPr>
          <w:rFonts w:ascii="Times New Roman" w:eastAsia="Times New Roman" w:hAnsi="Times New Roman" w:cs="Times New Roman"/>
          <w:sz w:val="24"/>
          <w:szCs w:val="24"/>
        </w:rPr>
        <w:t xml:space="preserve"> is not a panacea and requires careful oversight by authors, editors, and reviewers.</w:t>
      </w:r>
    </w:p>
    <w:p w14:paraId="59CF3EDF" w14:textId="4DE6A08A" w:rsidR="00FA4641" w:rsidRPr="0041550F" w:rsidRDefault="00C3572E">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Their extension is a Registered Report (RR), whereby authors complete a stage-one submission outlining their planned methods and analyses. Should this receive approval through the peer-review process, researchers then receive an </w:t>
      </w:r>
      <w:r w:rsidR="00241BFE" w:rsidRPr="0041550F">
        <w:rPr>
          <w:rFonts w:ascii="Times New Roman" w:eastAsia="Times New Roman" w:hAnsi="Times New Roman" w:cs="Times New Roman"/>
          <w:sz w:val="24"/>
          <w:szCs w:val="24"/>
        </w:rPr>
        <w:t>‘I</w:t>
      </w:r>
      <w:r w:rsidRPr="0041550F">
        <w:rPr>
          <w:rFonts w:ascii="Times New Roman" w:eastAsia="Times New Roman" w:hAnsi="Times New Roman" w:cs="Times New Roman"/>
          <w:sz w:val="24"/>
          <w:szCs w:val="24"/>
        </w:rPr>
        <w:t>n</w:t>
      </w:r>
      <w:r w:rsidR="00241BFE" w:rsidRPr="0041550F">
        <w:rPr>
          <w:rFonts w:ascii="Times New Roman" w:eastAsia="Times New Roman" w:hAnsi="Times New Roman" w:cs="Times New Roman"/>
          <w:sz w:val="24"/>
          <w:szCs w:val="24"/>
        </w:rPr>
        <w:t xml:space="preserve"> P</w:t>
      </w:r>
      <w:r w:rsidRPr="0041550F">
        <w:rPr>
          <w:rFonts w:ascii="Times New Roman" w:eastAsia="Times New Roman" w:hAnsi="Times New Roman" w:cs="Times New Roman"/>
          <w:sz w:val="24"/>
          <w:szCs w:val="24"/>
        </w:rPr>
        <w:t xml:space="preserve">rinciple </w:t>
      </w:r>
      <w:r w:rsidR="00241BFE" w:rsidRPr="0041550F">
        <w:rPr>
          <w:rFonts w:ascii="Times New Roman" w:eastAsia="Times New Roman" w:hAnsi="Times New Roman" w:cs="Times New Roman"/>
          <w:sz w:val="24"/>
          <w:szCs w:val="24"/>
        </w:rPr>
        <w:t>A</w:t>
      </w:r>
      <w:r w:rsidRPr="0041550F">
        <w:rPr>
          <w:rFonts w:ascii="Times New Roman" w:eastAsia="Times New Roman" w:hAnsi="Times New Roman" w:cs="Times New Roman"/>
          <w:sz w:val="24"/>
          <w:szCs w:val="24"/>
        </w:rPr>
        <w:t>cceptance</w:t>
      </w:r>
      <w:r w:rsidR="00241BFE" w:rsidRPr="0041550F">
        <w:rPr>
          <w:rFonts w:ascii="Times New Roman" w:eastAsia="Times New Roman" w:hAnsi="Times New Roman" w:cs="Times New Roman"/>
          <w:sz w:val="24"/>
          <w:szCs w:val="24"/>
        </w:rPr>
        <w:t>’</w:t>
      </w:r>
      <w:r w:rsidRPr="0041550F">
        <w:rPr>
          <w:rFonts w:ascii="Times New Roman" w:eastAsia="Times New Roman" w:hAnsi="Times New Roman" w:cs="Times New Roman"/>
          <w:sz w:val="24"/>
          <w:szCs w:val="24"/>
        </w:rPr>
        <w:t xml:space="preserve">; so long as the authors adhere closely to their protocol, the journal </w:t>
      </w:r>
      <w:r w:rsidR="00F01112" w:rsidRPr="0041550F">
        <w:rPr>
          <w:rFonts w:ascii="Times New Roman" w:eastAsia="Times New Roman" w:hAnsi="Times New Roman" w:cs="Times New Roman"/>
          <w:sz w:val="24"/>
          <w:szCs w:val="24"/>
        </w:rPr>
        <w:t xml:space="preserve">agrees to </w:t>
      </w:r>
      <w:r w:rsidRPr="0041550F">
        <w:rPr>
          <w:rFonts w:ascii="Times New Roman" w:eastAsia="Times New Roman" w:hAnsi="Times New Roman" w:cs="Times New Roman"/>
          <w:sz w:val="24"/>
          <w:szCs w:val="24"/>
        </w:rPr>
        <w:t xml:space="preserve">publish the article regardless of the results. Despite recommendations to implement RRs more widely in this </w:t>
      </w:r>
      <w:r w:rsidR="00E433BA" w:rsidRPr="0041550F">
        <w:rPr>
          <w:rFonts w:ascii="Times New Roman" w:eastAsia="Times New Roman" w:hAnsi="Times New Roman" w:cs="Times New Roman"/>
          <w:sz w:val="24"/>
          <w:szCs w:val="24"/>
        </w:rPr>
        <w:t xml:space="preserve">specific </w:t>
      </w:r>
      <w:r w:rsidRPr="0041550F">
        <w:rPr>
          <w:rFonts w:ascii="Times New Roman" w:eastAsia="Times New Roman" w:hAnsi="Times New Roman" w:cs="Times New Roman"/>
          <w:sz w:val="24"/>
          <w:szCs w:val="24"/>
        </w:rPr>
        <w:t xml:space="preserve">research </w:t>
      </w:r>
      <w:r w:rsidR="00F01112" w:rsidRPr="0041550F">
        <w:rPr>
          <w:rFonts w:ascii="Times New Roman" w:eastAsia="Times New Roman" w:hAnsi="Times New Roman" w:cs="Times New Roman"/>
          <w:sz w:val="24"/>
          <w:szCs w:val="24"/>
        </w:rPr>
        <w:t xml:space="preserve">domain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{"citationItems":[{"id":"ITEM-1","itemData":{"DOI":"10.1111/add.14604","ISSN":"13600443","PMID":"30851222","abstract":"Background and Aims: The credibility crisis evident in many academic disciplines has led peer-reviewed journals to implement procedures to reduce use of flexible data analysis practices and selective reporting of results. This exploratory study examined the adoption of six of these procedures by addiction journals. Methods: Thirty-eight high-impact addiction journals were identified using the 2018 Clarivate Analytics Journal Citation Report for 2017 ranks. The online instructions for authors were reviewed for references to six publication procedures: conflict of interest disclosure, reporting guidelines, clinical trial registration, registration of other study designs, data-sharing and registered reports. The webpages of the Center for Open Science and Consolidated Standards of Reporting Trials (CONSORT) were also reviewed for data pertaining to registered reports and reporting guidelines, respectively. Results: The range of procedures adopted by the addiction journals was 0–5, with a mean of 2.66. Conflict-of-interest disclosure was required by all but one journal. Encouraging data-sharing was the next most commonly required procedure. Fewer than half the journals recommended specific reporting guidelines or required registration of clinical trials, and only four required procedures to pre-specify hypotheses and analytical methods. Conclusions: While many addiction journals have adopted publication procedures to improve research integrity, these can be limited by their voluntary nature and monitoring difficulties. More stringent requirements that lock researchers into specific hypotheses and analyses have not been widely adopted.","author":[{"dropping-particle":"","family":"Gorman","given":"Dennis M.","non-dropping-particle":"","parse-names":false,"suffix":""}],"container-title":"Addiction","id":"ITEM-1","issue":"8","issued":{"date-parts":[["2019"]]},"page":"1478-1486","title":"Use of publication procedures to improve research integrity by addiction journals","type":"article-journal","volume":"114"},"uris":["http://www.mendeley.com/documents/?uuid=fa429d29-1669-4587-a984-37b1f266fde1"]}],"mendeley":{"formattedCitation":"(90)","plainTextFormattedCitation":"(90)","previouslyFormattedCitation":"(90)"},"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(90)</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r w:rsidR="00CA4695" w:rsidRPr="0041550F">
        <w:rPr>
          <w:rFonts w:ascii="Times New Roman" w:eastAsia="Times New Roman" w:hAnsi="Times New Roman" w:cs="Times New Roman"/>
          <w:sz w:val="24"/>
          <w:szCs w:val="24"/>
        </w:rPr>
        <w:t xml:space="preserve"> at the time of this review,</w:t>
      </w:r>
      <w:r w:rsidRPr="0041550F">
        <w:rPr>
          <w:rFonts w:ascii="Times New Roman" w:eastAsia="Times New Roman" w:hAnsi="Times New Roman" w:cs="Times New Roman"/>
          <w:sz w:val="24"/>
          <w:szCs w:val="24"/>
        </w:rPr>
        <w:t xml:space="preserve"> only four of </w:t>
      </w:r>
      <w:r w:rsidR="00F01112" w:rsidRPr="0041550F">
        <w:rPr>
          <w:rFonts w:ascii="Times New Roman" w:eastAsia="Times New Roman" w:hAnsi="Times New Roman" w:cs="Times New Roman"/>
          <w:sz w:val="24"/>
          <w:szCs w:val="24"/>
        </w:rPr>
        <w:t xml:space="preserve">the </w:t>
      </w:r>
      <w:r w:rsidRPr="0041550F">
        <w:rPr>
          <w:rFonts w:ascii="Times New Roman" w:eastAsia="Times New Roman" w:hAnsi="Times New Roman" w:cs="Times New Roman"/>
          <w:sz w:val="24"/>
          <w:szCs w:val="24"/>
        </w:rPr>
        <w:t>2</w:t>
      </w:r>
      <w:r w:rsidR="00B135EC" w:rsidRPr="0041550F">
        <w:rPr>
          <w:rFonts w:ascii="Times New Roman" w:eastAsia="Times New Roman" w:hAnsi="Times New Roman" w:cs="Times New Roman"/>
          <w:sz w:val="24"/>
          <w:szCs w:val="24"/>
        </w:rPr>
        <w:t>8</w:t>
      </w:r>
      <w:r w:rsidR="00446BD3" w:rsidRPr="0041550F">
        <w:rPr>
          <w:rFonts w:ascii="Times New Roman" w:eastAsia="Times New Roman" w:hAnsi="Times New Roman" w:cs="Times New Roman"/>
          <w:sz w:val="24"/>
          <w:szCs w:val="24"/>
        </w:rPr>
        <w:t>8</w:t>
      </w:r>
      <w:r w:rsidRPr="0041550F">
        <w:rPr>
          <w:rFonts w:ascii="Times New Roman" w:eastAsia="Times New Roman" w:hAnsi="Times New Roman" w:cs="Times New Roman"/>
          <w:sz w:val="24"/>
          <w:szCs w:val="24"/>
        </w:rPr>
        <w:t xml:space="preserve"> journals offer</w:t>
      </w:r>
      <w:r w:rsidR="00F01112" w:rsidRPr="0041550F">
        <w:rPr>
          <w:rFonts w:ascii="Times New Roman" w:eastAsia="Times New Roman" w:hAnsi="Times New Roman" w:cs="Times New Roman"/>
          <w:sz w:val="24"/>
          <w:szCs w:val="24"/>
        </w:rPr>
        <w:t>ing</w:t>
      </w:r>
      <w:r w:rsidRPr="0041550F">
        <w:rPr>
          <w:rFonts w:ascii="Times New Roman" w:eastAsia="Times New Roman" w:hAnsi="Times New Roman" w:cs="Times New Roman"/>
          <w:sz w:val="24"/>
          <w:szCs w:val="24"/>
        </w:rPr>
        <w:t xml:space="preserve"> this </w:t>
      </w:r>
      <w:r w:rsidR="00F01112" w:rsidRPr="0041550F">
        <w:rPr>
          <w:rFonts w:ascii="Times New Roman" w:eastAsia="Times New Roman" w:hAnsi="Times New Roman" w:cs="Times New Roman"/>
          <w:sz w:val="24"/>
          <w:szCs w:val="24"/>
        </w:rPr>
        <w:t xml:space="preserve">publishing </w:t>
      </w:r>
      <w:r w:rsidRPr="0041550F">
        <w:rPr>
          <w:rFonts w:ascii="Times New Roman" w:eastAsia="Times New Roman" w:hAnsi="Times New Roman" w:cs="Times New Roman"/>
          <w:sz w:val="24"/>
          <w:szCs w:val="24"/>
        </w:rPr>
        <w:t xml:space="preserve">format </w:t>
      </w:r>
      <w:r w:rsidR="004A5235" w:rsidRPr="0041550F">
        <w:rPr>
          <w:rFonts w:ascii="Times New Roman" w:eastAsia="Times New Roman" w:hAnsi="Times New Roman" w:cs="Times New Roman"/>
          <w:sz w:val="24"/>
          <w:szCs w:val="24"/>
        </w:rPr>
        <w:t>focus</w:t>
      </w:r>
      <w:r w:rsidR="00F01112" w:rsidRPr="0041550F">
        <w:rPr>
          <w:rFonts w:ascii="Times New Roman" w:eastAsia="Times New Roman" w:hAnsi="Times New Roman" w:cs="Times New Roman"/>
          <w:sz w:val="24"/>
          <w:szCs w:val="24"/>
        </w:rPr>
        <w:t xml:space="preserve"> primarily on alcohol and substance-use research</w:t>
      </w:r>
      <w:r w:rsidRPr="0041550F">
        <w:rPr>
          <w:rFonts w:ascii="Times New Roman" w:eastAsia="Times New Roman" w:hAnsi="Times New Roman" w:cs="Times New Roman"/>
          <w:sz w:val="24"/>
          <w:szCs w:val="24"/>
        </w:rPr>
        <w:t>.</w:t>
      </w:r>
      <w:r w:rsidRPr="0041550F">
        <w:rPr>
          <w:rFonts w:ascii="Times New Roman" w:eastAsia="Times New Roman" w:hAnsi="Times New Roman" w:cs="Times New Roman"/>
          <w:i/>
          <w:sz w:val="24"/>
          <w:szCs w:val="24"/>
        </w:rPr>
        <w:t xml:space="preserve"> </w:t>
      </w:r>
      <w:r w:rsidR="00F01112" w:rsidRPr="0041550F">
        <w:rPr>
          <w:rFonts w:ascii="Times New Roman" w:eastAsia="Times New Roman" w:hAnsi="Times New Roman" w:cs="Times New Roman"/>
          <w:sz w:val="24"/>
          <w:szCs w:val="24"/>
        </w:rPr>
        <w:t>Even in their nascent stage</w:t>
      </w:r>
      <w:r w:rsidRPr="0041550F">
        <w:rPr>
          <w:rFonts w:ascii="Times New Roman" w:eastAsia="Times New Roman" w:hAnsi="Times New Roman" w:cs="Times New Roman"/>
          <w:sz w:val="24"/>
          <w:szCs w:val="24"/>
        </w:rPr>
        <w:t xml:space="preserve">, initial evidence suggests </w:t>
      </w:r>
      <w:r w:rsidR="00F01112" w:rsidRPr="0041550F">
        <w:rPr>
          <w:rFonts w:ascii="Times New Roman" w:eastAsia="Times New Roman" w:hAnsi="Times New Roman" w:cs="Times New Roman"/>
          <w:sz w:val="24"/>
          <w:szCs w:val="24"/>
        </w:rPr>
        <w:t xml:space="preserve">that RRs </w:t>
      </w:r>
      <w:r w:rsidRPr="0041550F">
        <w:rPr>
          <w:rFonts w:ascii="Times New Roman" w:eastAsia="Times New Roman" w:hAnsi="Times New Roman" w:cs="Times New Roman"/>
          <w:sz w:val="24"/>
          <w:szCs w:val="24"/>
        </w:rPr>
        <w:t xml:space="preserve">reduce publication bias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{"citationItems":[{"id":"ITEM-1","itemData":{"DOI":"10.31234/osf.io/p6e9c","abstract":"When studies with positive results that support the tested hypotheses have a higher probability of being published than studies with negative results, the literature will give a distorted view of the evidence for scientific claims. Psychological scientists have been concerned about the degree of distortion in their literature due to publication bias and inflated Type-1 error rates. Registered Reports were developed with the goal to minimise such biases: In this new publication format, peer review and the decision to publish take place before the study results are known. We compared the results in the full population of published Registered Reports in Psychology (N = 71 as of November 2018) with a random sample of hypothesis-testing studies from the standard literature (N = 152) by searching 633 journals for the phrase 'test* the hypothes*' (replicating a method by Fanelli, 2010). Analysing the first hypothesis reported in each paper, we found 96% positive results in standard reports, but only 44% positive results in Registered Reports. The difference remained nearly as large when direct replications were excluded from the analysis (96% vs 50% positive results). This large gap suggests that psychologists under-report negative results to an extent that threatens cumulative science. Although our study did not directly test the effectiveness of Registered Reports at reducing bias, these results show that the introduction of Registered Reports has led to a much larger proportion of negative results appearing in the published literature compared to standard reports.","author":[{"dropping-particle":"","family":"Scheel","given":"Anne","non-dropping-particle":"","parse-names":false,"suffix":""},{"dropping-particle":"","family":"Schijen","given":"Mitchell","non-dropping-particle":"","parse-names":false,"suffix":""},{"dropping-particle":"","family":"Lakens","given":"Daniel","non-dropping-particle":"","parse-names":false,"suffix":""}],"id":"ITEM-1","issued":{"date-parts":[["2020"]]},"page":"1-14","title":"An excess of positive results: Comparing the standard Psychology literature with Registered Reports","type":"article-journal"},"uris":["http://www.mendeley.com/documents/?uuid=62e6dfd8-9f84-4e1e-95da-87d6476340b6"]}],"mendeley":{"formattedCitation":"(91)","plainTextFormattedCitation":"(91)","previouslyFormattedCitation":"(91)"},"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(91)</w:t>
      </w:r>
      <w:r w:rsidR="00BC2114" w:rsidRPr="0041550F">
        <w:rPr>
          <w:rFonts w:ascii="Times New Roman" w:eastAsia="Times New Roman" w:hAnsi="Times New Roman" w:cs="Times New Roman"/>
          <w:sz w:val="24"/>
          <w:szCs w:val="24"/>
        </w:rPr>
        <w:fldChar w:fldCharType="end"/>
      </w:r>
      <w:r w:rsidR="00A646DB" w:rsidRPr="0041550F">
        <w:rPr>
          <w:rFonts w:ascii="Times New Roman" w:eastAsia="Times New Roman" w:hAnsi="Times New Roman" w:cs="Times New Roman"/>
          <w:sz w:val="24"/>
          <w:szCs w:val="24"/>
        </w:rPr>
        <w:t xml:space="preserve"> and </w:t>
      </w:r>
      <w:r w:rsidRPr="0041550F">
        <w:rPr>
          <w:rFonts w:ascii="Times New Roman" w:eastAsia="Times New Roman" w:hAnsi="Times New Roman" w:cs="Times New Roman"/>
          <w:sz w:val="24"/>
          <w:szCs w:val="24"/>
        </w:rPr>
        <w:t xml:space="preserve">enact higher levels of open data and computational reproducibility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{"citationItems":[{"id":"ITEM-1","itemData":{"DOI":"10.1177/2515245920918872","ISSN":"2515-2459","abstract":"Ongoing technological developments have made it easier than ever before for scientists to share their data, materials, and analysis code. Sharing data and analysis code makes it easier for other researchers to reuse or check published research. However, these benefits will emerge only if researchers can reproduce the analyses reported in published articles and if data are annotated well enough so that it is clear what all variable and value labels mean. Because most researchers are not trained in computational reproducibility, it is important to evaluate current practices to identify those that can be improved. We examined data and code sharing for Registered Reports published in the psychological literature from 2014 to 2018 and attempted to independently computationally reproduce the main results in each article. Of the 62 articles that met our inclusion criteria, 41 had data available, and 37 had analysis scripts available. Both data and code for 36 of the articles were shared. We could run the scripts for 31 analyses, and we reproduced the main results for 21 articles. Although the percentage of articles for which both data and code were shared (36 out of 62, or 58%) and the percentage of articles for which main results could be computationally reproduced (21 out of 36, or 58%) were relatively high compared with the percentages found in other studies, there is clear room for improvement. We provide practical recommendations based on our observations and cite examples of good research practices in the studies whose main results we reproduced.","author":[{"dropping-particle":"","family":"Obels","given":"Pepijn","non-dropping-particle":"","parse-names":false,"suffix":""},{"dropping-particle":"","family":"Lakens","given":"Daniël","non-dropping-particle":"","parse-names":false,"suffix":""},{"dropping-particle":"","family":"Coles","given":"Nicholas A.","non-dropping-particle":"","parse-names":false,"suffix":""},{"dropping-particle":"","family":"Gottfried","given":"Jaroslav","non-dropping-particle":"","parse-names":false,"suffix":""},{"dropping-particle":"","family":"Green","given":"Seth A.","non-dropping-particle":"","parse-names":false,"suffix":""}],"container-title":"Advances in Methods and Practices in Psychological Science","id":"ITEM-1","issue":"2","issued":{"date-parts":[["2020"]]},"page":"229-237","title":"Analysis of Open Data and Computational Reproducibility in Registered Reports in Psychology","type":"article-journal","volume":"3"},"uris":["http://www.mendeley.com/documents/?uuid=85d3e3ab-98db-46ed-b692-bf714d101c45"]}],"mendeley":{"formattedCitation":"(92)","plainTextFormattedCitation":"(92)","previouslyFormattedCitation":"(92)"},"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(92)</w:t>
      </w:r>
      <w:r w:rsidR="00BC2114" w:rsidRPr="0041550F">
        <w:rPr>
          <w:rFonts w:ascii="Times New Roman" w:eastAsia="Times New Roman" w:hAnsi="Times New Roman" w:cs="Times New Roman"/>
          <w:sz w:val="24"/>
          <w:szCs w:val="24"/>
        </w:rPr>
        <w:fldChar w:fldCharType="end"/>
      </w:r>
      <w:r w:rsidR="00A646DB" w:rsidRPr="0041550F">
        <w:rPr>
          <w:rFonts w:ascii="Times New Roman" w:eastAsia="Times New Roman" w:hAnsi="Times New Roman" w:cs="Times New Roman"/>
          <w:sz w:val="24"/>
          <w:szCs w:val="24"/>
        </w:rPr>
        <w:t xml:space="preserve">. </w:t>
      </w:r>
      <w:r w:rsidR="00D21111" w:rsidRPr="0041550F">
        <w:rPr>
          <w:rFonts w:ascii="Times New Roman" w:eastAsia="Times New Roman" w:hAnsi="Times New Roman" w:cs="Times New Roman"/>
          <w:sz w:val="24"/>
          <w:szCs w:val="24"/>
        </w:rPr>
        <w:t xml:space="preserve">Furthermore, </w:t>
      </w:r>
      <w:r w:rsidR="00F91ABE" w:rsidRPr="0041550F">
        <w:rPr>
          <w:rFonts w:ascii="Times New Roman" w:eastAsia="Times New Roman" w:hAnsi="Times New Roman" w:cs="Times New Roman"/>
          <w:sz w:val="24"/>
          <w:szCs w:val="24"/>
        </w:rPr>
        <w:t>RRs</w:t>
      </w:r>
      <w:r w:rsidR="00A646DB" w:rsidRPr="0041550F">
        <w:rPr>
          <w:rFonts w:ascii="Times New Roman" w:eastAsia="Times New Roman" w:hAnsi="Times New Roman" w:cs="Times New Roman"/>
          <w:sz w:val="24"/>
          <w:szCs w:val="24"/>
        </w:rPr>
        <w:t xml:space="preserve"> receive </w:t>
      </w:r>
      <w:r w:rsidRPr="0041550F">
        <w:rPr>
          <w:rFonts w:ascii="Times New Roman" w:eastAsia="Times New Roman" w:hAnsi="Times New Roman" w:cs="Times New Roman"/>
          <w:sz w:val="24"/>
          <w:szCs w:val="24"/>
        </w:rPr>
        <w:t xml:space="preserve">more citations than would be expected given the impact factor of the journal in which they are published </w:t>
      </w:r>
      <w:r w:rsidR="00BC2114" w:rsidRPr="0041550F">
        <w:rPr>
          <w:rFonts w:ascii="Times New Roman" w:eastAsia="Times New Roman" w:hAnsi="Times New Roman" w:cs="Times New Roman"/>
          <w:sz w:val="24"/>
          <w:szCs w:val="24"/>
        </w:rPr>
        <w:fldChar w:fldCharType="begin" w:fldLock="1"/>
      </w:r>
      <w:r w:rsidR="00DD59D7" w:rsidRPr="0041550F">
        <w:rPr>
          <w:rFonts w:ascii="Times New Roman" w:eastAsia="Times New Roman" w:hAnsi="Times New Roman" w:cs="Times New Roman"/>
          <w:sz w:val="24"/>
          <w:szCs w:val="24"/>
        </w:rPr>
        <w:instrText>ADDIN CSL_CITATION {"citationItems":[{"id":"ITEM-1","itemData":{"DOI":"10.1111/j.1740-9713.2019.01299.x","ISSN":"17409713","abstract":"The rise of the “registered report” – a type of research article that is reviewed and accepted before results are known – offers lessons for the current debate surrounding p-values and significance. By Chris Chambers.","author":[{"dropping-particle":"","family":"Chambers","given":"Chris","non-dropping-particle":"","parse-names":false,"suffix":""}],"container-title":"Significance","id":"ITEM-1","issue":"4","issued":{"date-parts":[["2019"]]},"page":"23-27","title":"The registered reports revolution Lessons in cultural reform","type":"article-journal","volume":"16"},"uris":["http://www.mendeley.com/documents/?uuid=e1cefd74-a3b5-4f50-b7c4-af6a2d482436"]},{"id":"ITEM-2","itemData":{"DOI":"https://doi.org/10.31222/osf.io/43298","author":[{"dropping-particle":"","family":"Christopher Chambers","given":"Loukia Tzavella","non-dropping-particle":"","parse-names":false,"suffix":""}],"container-title":"MetaArXiv Preprints","id":"ITEM-2","issued":{"date-parts":[["2020"]]},"title":"Registered Reports: Past, Present and Future","type":"article-journal"},"uris":["http://www.mendeley.com/documents/?uuid=2b1622ea-522d-4210-b887-37bc1303dcf9"]}],"mendeley":{"formattedCitation":"(93,94)","plainTextFormattedCitation":"(93,94)","previouslyFormattedCitation":"(93,94)"},"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(93,94)</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 xml:space="preserve">. </w:t>
      </w:r>
    </w:p>
    <w:p w14:paraId="00000041" w14:textId="1EB8FD27" w:rsidR="00CB2059" w:rsidRPr="0041550F" w:rsidRDefault="00C3572E">
      <w:pPr>
        <w:spacing w:after="0" w:line="480" w:lineRule="auto"/>
        <w:ind w:firstLine="720"/>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t xml:space="preserve">Overall, </w:t>
      </w:r>
      <w:r w:rsidR="006971C9" w:rsidRPr="0041550F">
        <w:rPr>
          <w:rFonts w:ascii="Times New Roman" w:eastAsia="Times New Roman" w:hAnsi="Times New Roman" w:cs="Times New Roman"/>
          <w:sz w:val="24"/>
          <w:szCs w:val="24"/>
        </w:rPr>
        <w:t xml:space="preserve">then, </w:t>
      </w:r>
      <w:r w:rsidR="001628EB" w:rsidRPr="0041550F">
        <w:rPr>
          <w:rFonts w:ascii="Times New Roman" w:eastAsia="Times New Roman" w:hAnsi="Times New Roman" w:cs="Times New Roman"/>
          <w:sz w:val="24"/>
          <w:szCs w:val="24"/>
        </w:rPr>
        <w:t xml:space="preserve">the </w:t>
      </w:r>
      <w:r w:rsidR="006362B8" w:rsidRPr="0041550F">
        <w:rPr>
          <w:rFonts w:ascii="Times New Roman" w:eastAsia="Times New Roman" w:hAnsi="Times New Roman" w:cs="Times New Roman"/>
          <w:sz w:val="24"/>
          <w:szCs w:val="24"/>
        </w:rPr>
        <w:t>adopti</w:t>
      </w:r>
      <w:r w:rsidR="00CA6700" w:rsidRPr="0041550F">
        <w:rPr>
          <w:rFonts w:ascii="Times New Roman" w:eastAsia="Times New Roman" w:hAnsi="Times New Roman" w:cs="Times New Roman"/>
          <w:sz w:val="24"/>
          <w:szCs w:val="24"/>
        </w:rPr>
        <w:t>on of</w:t>
      </w:r>
      <w:r w:rsidRPr="0041550F">
        <w:rPr>
          <w:rFonts w:ascii="Times New Roman" w:eastAsia="Times New Roman" w:hAnsi="Times New Roman" w:cs="Times New Roman"/>
          <w:sz w:val="24"/>
          <w:szCs w:val="24"/>
        </w:rPr>
        <w:t xml:space="preserve"> open science</w:t>
      </w:r>
      <w:r w:rsidR="00CA6700" w:rsidRPr="0041550F">
        <w:rPr>
          <w:rFonts w:ascii="Times New Roman" w:eastAsia="Times New Roman" w:hAnsi="Times New Roman" w:cs="Times New Roman"/>
          <w:sz w:val="24"/>
          <w:szCs w:val="24"/>
        </w:rPr>
        <w:t xml:space="preserve"> </w:t>
      </w:r>
      <w:r w:rsidR="001628EB" w:rsidRPr="0041550F">
        <w:rPr>
          <w:rFonts w:ascii="Times New Roman" w:eastAsia="Times New Roman" w:hAnsi="Times New Roman" w:cs="Times New Roman"/>
          <w:sz w:val="24"/>
          <w:szCs w:val="24"/>
        </w:rPr>
        <w:t>is likely to</w:t>
      </w:r>
      <w:r w:rsidRPr="0041550F">
        <w:rPr>
          <w:rFonts w:ascii="Times New Roman" w:eastAsia="Times New Roman" w:hAnsi="Times New Roman" w:cs="Times New Roman"/>
          <w:sz w:val="24"/>
          <w:szCs w:val="24"/>
        </w:rPr>
        <w:t xml:space="preserve"> increase replication and reproducibility </w:t>
      </w:r>
      <w:r w:rsidR="006971C9" w:rsidRPr="0041550F">
        <w:rPr>
          <w:rFonts w:ascii="Times New Roman" w:eastAsia="Times New Roman" w:hAnsi="Times New Roman" w:cs="Times New Roman"/>
          <w:sz w:val="24"/>
          <w:szCs w:val="24"/>
        </w:rPr>
        <w:t xml:space="preserve">in alcohol research </w:t>
      </w:r>
      <w:r w:rsidRPr="0041550F">
        <w:rPr>
          <w:rFonts w:ascii="Times New Roman" w:eastAsia="Times New Roman" w:hAnsi="Times New Roman" w:cs="Times New Roman"/>
          <w:sz w:val="24"/>
          <w:szCs w:val="24"/>
        </w:rPr>
        <w:t>(</w:t>
      </w:r>
      <w:r w:rsidR="006971C9" w:rsidRPr="0041550F">
        <w:rPr>
          <w:rFonts w:ascii="Times New Roman" w:eastAsia="Times New Roman" w:hAnsi="Times New Roman" w:cs="Times New Roman"/>
          <w:sz w:val="24"/>
          <w:szCs w:val="24"/>
        </w:rPr>
        <w:t xml:space="preserve">see </w:t>
      </w:r>
      <w:r w:rsidR="00BC2114" w:rsidRPr="0041550F">
        <w:rPr>
          <w:rFonts w:ascii="Times New Roman" w:eastAsia="Times New Roman" w:hAnsi="Times New Roman" w:cs="Times New Roman"/>
          <w:sz w:val="24"/>
          <w:szCs w:val="24"/>
        </w:rPr>
        <w:fldChar w:fldCharType="begin" w:fldLock="1"/>
      </w:r>
      <w:r w:rsidR="00273263" w:rsidRPr="0041550F">
        <w:rPr>
          <w:rFonts w:ascii="Times New Roman" w:eastAsia="Times New Roman" w:hAnsi="Times New Roman" w:cs="Times New Roman"/>
          <w:sz w:val="24"/>
          <w:szCs w:val="24"/>
        </w:rPr>
        <w:instrText>ADDIN CSL_CITATION {"citationItems":[{"id":"ITEM-1","itemData":{"DOI":"https://doi.org/10.31234/osf.io/n2a9x","author":[{"dropping-particle":"","family":"John Protzko, Jon Krosnick, Leif Nelson, Brian Nosek, Jordan Axt, Matthew Berent, Nick Buttrick, Matthew DeBell, Charles Ebersole, Sebastian Lundmark, Bo MacInnis, Michael O'Donnell, Hannah Perfecto, James Pustejovsky, Scott Roeder, Jan Walleczek","given":"Jonathan Schooler","non-dropping-particle":"","parse-names":false,"suffix":""}],"container-title":"PsyArXiv Preprints","id":"ITEM-1","issued":{"date-parts":[["2020"]]},"title":"High replicability of newly-discovered social-behavioral findings is achievable","type":"article-journal"},"uris":["http://www.mendeley.com/documents/?uuid=816d4b71-3901-441e-ba76-e61ee378dc5d"]}],"mendeley":{"formattedCitation":"(95)","manualFormatting":"95)","plainTextFormattedCitation":"(95)","previouslyFormattedCitation":"(95)"},"properties":{"noteIndex":0},"schema":"https://github.com/citation-style-language/schema/raw/master/csl-citation.json"}</w:instrText>
      </w:r>
      <w:r w:rsidR="00BC2114" w:rsidRPr="0041550F">
        <w:rPr>
          <w:rFonts w:ascii="Times New Roman" w:eastAsia="Times New Roman" w:hAnsi="Times New Roman" w:cs="Times New Roman"/>
          <w:sz w:val="24"/>
          <w:szCs w:val="24"/>
        </w:rPr>
        <w:fldChar w:fldCharType="separate"/>
      </w:r>
      <w:r w:rsidR="00934548" w:rsidRPr="0041550F">
        <w:rPr>
          <w:rFonts w:ascii="Times New Roman" w:eastAsia="Times New Roman" w:hAnsi="Times New Roman" w:cs="Times New Roman"/>
          <w:noProof/>
          <w:sz w:val="24"/>
          <w:szCs w:val="24"/>
        </w:rPr>
        <w:t>95)</w:t>
      </w:r>
      <w:r w:rsidR="00BC2114" w:rsidRPr="0041550F">
        <w:rPr>
          <w:rFonts w:ascii="Times New Roman" w:eastAsia="Times New Roman" w:hAnsi="Times New Roman" w:cs="Times New Roman"/>
          <w:sz w:val="24"/>
          <w:szCs w:val="24"/>
        </w:rPr>
        <w:fldChar w:fldCharType="end"/>
      </w:r>
      <w:r w:rsidRPr="0041550F">
        <w:rPr>
          <w:rFonts w:ascii="Times New Roman" w:eastAsia="Times New Roman" w:hAnsi="Times New Roman" w:cs="Times New Roman"/>
          <w:sz w:val="24"/>
          <w:szCs w:val="24"/>
        </w:rPr>
        <w:t>.</w:t>
      </w:r>
    </w:p>
    <w:p w14:paraId="00000042" w14:textId="77777777" w:rsidR="00CB2059" w:rsidRPr="0041550F" w:rsidRDefault="00CB2059">
      <w:pPr>
        <w:spacing w:after="0" w:line="480" w:lineRule="auto"/>
        <w:rPr>
          <w:rFonts w:ascii="Times New Roman" w:eastAsia="Times New Roman" w:hAnsi="Times New Roman" w:cs="Times New Roman"/>
          <w:b/>
          <w:sz w:val="24"/>
          <w:szCs w:val="24"/>
        </w:rPr>
      </w:pPr>
      <w:bookmarkStart w:id="19" w:name="_heading=h.sujwkoz2v5wd" w:colFirst="0" w:colLast="0"/>
      <w:bookmarkEnd w:id="19"/>
    </w:p>
    <w:p w14:paraId="00000043" w14:textId="77777777" w:rsidR="00CB2059" w:rsidRPr="0041550F" w:rsidRDefault="00C3572E">
      <w:pPr>
        <w:spacing w:after="0" w:line="480" w:lineRule="auto"/>
        <w:rPr>
          <w:rFonts w:ascii="Times New Roman" w:eastAsia="Times New Roman" w:hAnsi="Times New Roman" w:cs="Times New Roman"/>
          <w:b/>
          <w:sz w:val="24"/>
          <w:szCs w:val="24"/>
        </w:rPr>
      </w:pPr>
      <w:r w:rsidRPr="0041550F">
        <w:rPr>
          <w:rFonts w:ascii="Times New Roman" w:eastAsia="Times New Roman" w:hAnsi="Times New Roman" w:cs="Times New Roman"/>
          <w:b/>
          <w:sz w:val="24"/>
          <w:szCs w:val="24"/>
        </w:rPr>
        <w:t>CONCLUSIONS</w:t>
      </w:r>
    </w:p>
    <w:p w14:paraId="00000044" w14:textId="556BE252" w:rsidR="009252CB" w:rsidRPr="0041550F" w:rsidRDefault="00C3572E" w:rsidP="00455D4B">
      <w:pPr>
        <w:spacing w:after="0" w:line="480" w:lineRule="auto"/>
        <w:jc w:val="both"/>
        <w:rPr>
          <w:rFonts w:ascii="Times New Roman" w:eastAsia="Times New Roman" w:hAnsi="Times New Roman" w:cs="Times New Roman"/>
          <w:sz w:val="24"/>
          <w:szCs w:val="24"/>
        </w:rPr>
      </w:pPr>
      <w:bookmarkStart w:id="20" w:name="_heading=h.gqlv9zblyd0d" w:colFirst="0" w:colLast="0"/>
      <w:bookmarkEnd w:id="20"/>
      <w:r w:rsidRPr="0041550F">
        <w:rPr>
          <w:rFonts w:ascii="Times New Roman" w:eastAsia="Times New Roman" w:hAnsi="Times New Roman" w:cs="Times New Roman"/>
          <w:sz w:val="24"/>
          <w:szCs w:val="24"/>
        </w:rPr>
        <w:t xml:space="preserve">Methodological shortcomings weaken the robustness of </w:t>
      </w:r>
      <w:r w:rsidR="00975154" w:rsidRPr="0041550F">
        <w:rPr>
          <w:rFonts w:ascii="Times New Roman" w:eastAsia="Times New Roman" w:hAnsi="Times New Roman" w:cs="Times New Roman"/>
          <w:sz w:val="24"/>
          <w:szCs w:val="24"/>
        </w:rPr>
        <w:t>cognitive alcohol research</w:t>
      </w:r>
      <w:r w:rsidRPr="0041550F">
        <w:rPr>
          <w:rFonts w:ascii="Times New Roman" w:eastAsia="Times New Roman" w:hAnsi="Times New Roman" w:cs="Times New Roman"/>
          <w:sz w:val="24"/>
          <w:szCs w:val="24"/>
        </w:rPr>
        <w:t>. We provide</w:t>
      </w:r>
      <w:r w:rsidR="00940D89" w:rsidRPr="0041550F">
        <w:rPr>
          <w:rFonts w:ascii="Times New Roman" w:eastAsia="Times New Roman" w:hAnsi="Times New Roman" w:cs="Times New Roman"/>
          <w:sz w:val="24"/>
          <w:szCs w:val="24"/>
        </w:rPr>
        <w:t xml:space="preserve"> an easy to implement guide to enhance rigour in this field; </w:t>
      </w:r>
      <w:r w:rsidR="00876A07" w:rsidRPr="0041550F">
        <w:rPr>
          <w:rFonts w:ascii="Times New Roman" w:eastAsia="Times New Roman" w:hAnsi="Times New Roman" w:cs="Times New Roman"/>
          <w:sz w:val="24"/>
          <w:szCs w:val="24"/>
        </w:rPr>
        <w:t xml:space="preserve">this includes the use of appropriately matched and validated experimental stimuli, a renewed focus on the development and refinement of </w:t>
      </w:r>
      <w:r w:rsidR="001E48FF" w:rsidRPr="0041550F">
        <w:rPr>
          <w:rFonts w:ascii="Times New Roman" w:eastAsia="Times New Roman" w:hAnsi="Times New Roman" w:cs="Times New Roman"/>
          <w:sz w:val="24"/>
          <w:szCs w:val="24"/>
        </w:rPr>
        <w:t xml:space="preserve">reliable </w:t>
      </w:r>
      <w:r w:rsidR="00876A07" w:rsidRPr="0041550F">
        <w:rPr>
          <w:rFonts w:ascii="Times New Roman" w:eastAsia="Times New Roman" w:hAnsi="Times New Roman" w:cs="Times New Roman"/>
          <w:sz w:val="24"/>
          <w:szCs w:val="24"/>
        </w:rPr>
        <w:t xml:space="preserve">experimental tasks, and careful consideration of behavioural indices and their analysis. </w:t>
      </w:r>
      <w:r w:rsidR="00170457" w:rsidRPr="0041550F">
        <w:rPr>
          <w:rFonts w:ascii="Times New Roman" w:eastAsia="Times New Roman" w:hAnsi="Times New Roman" w:cs="Times New Roman"/>
          <w:sz w:val="24"/>
          <w:szCs w:val="24"/>
        </w:rPr>
        <w:t>Moreover, we stress the importance of transparent reporting aided by open science</w:t>
      </w:r>
      <w:r w:rsidR="009A4074" w:rsidRPr="0041550F">
        <w:rPr>
          <w:rFonts w:ascii="Times New Roman" w:eastAsia="Times New Roman" w:hAnsi="Times New Roman" w:cs="Times New Roman"/>
          <w:sz w:val="24"/>
          <w:szCs w:val="24"/>
        </w:rPr>
        <w:t xml:space="preserve"> principles: </w:t>
      </w:r>
      <w:r w:rsidR="00170457" w:rsidRPr="0041550F">
        <w:rPr>
          <w:rFonts w:ascii="Times New Roman" w:eastAsia="Times New Roman" w:hAnsi="Times New Roman" w:cs="Times New Roman"/>
          <w:sz w:val="24"/>
          <w:szCs w:val="24"/>
        </w:rPr>
        <w:t>stimulus selection, task reliability and validation procedures should be disclosed as standard practice</w:t>
      </w:r>
      <w:r w:rsidR="009A4074" w:rsidRPr="0041550F">
        <w:rPr>
          <w:rFonts w:ascii="Times New Roman" w:eastAsia="Times New Roman" w:hAnsi="Times New Roman" w:cs="Times New Roman"/>
          <w:sz w:val="24"/>
          <w:szCs w:val="24"/>
        </w:rPr>
        <w:t>,</w:t>
      </w:r>
      <w:r w:rsidR="00170457" w:rsidRPr="0041550F">
        <w:rPr>
          <w:rFonts w:ascii="Times New Roman" w:eastAsia="Times New Roman" w:hAnsi="Times New Roman" w:cs="Times New Roman"/>
          <w:sz w:val="24"/>
          <w:szCs w:val="24"/>
        </w:rPr>
        <w:t xml:space="preserve"> and study preregistration, open materials and data should be implemented wherever possible. </w:t>
      </w:r>
      <w:r w:rsidR="00455D4B" w:rsidRPr="0041550F">
        <w:rPr>
          <w:rFonts w:ascii="Times New Roman" w:eastAsia="Times New Roman" w:hAnsi="Times New Roman" w:cs="Times New Roman"/>
          <w:sz w:val="24"/>
          <w:szCs w:val="24"/>
        </w:rPr>
        <w:t xml:space="preserve">Establishing these </w:t>
      </w:r>
      <w:r w:rsidR="001E48FF" w:rsidRPr="0041550F">
        <w:rPr>
          <w:rFonts w:ascii="Times New Roman" w:eastAsia="Times New Roman" w:hAnsi="Times New Roman" w:cs="Times New Roman"/>
          <w:sz w:val="24"/>
          <w:szCs w:val="24"/>
        </w:rPr>
        <w:t>recommendations as</w:t>
      </w:r>
      <w:r w:rsidR="00455D4B" w:rsidRPr="0041550F">
        <w:rPr>
          <w:rFonts w:ascii="Times New Roman" w:eastAsia="Times New Roman" w:hAnsi="Times New Roman" w:cs="Times New Roman"/>
          <w:sz w:val="24"/>
          <w:szCs w:val="24"/>
        </w:rPr>
        <w:t xml:space="preserve"> </w:t>
      </w:r>
      <w:r w:rsidR="000B775F" w:rsidRPr="0041550F">
        <w:rPr>
          <w:rFonts w:ascii="Times New Roman" w:eastAsia="Times New Roman" w:hAnsi="Times New Roman" w:cs="Times New Roman"/>
          <w:sz w:val="24"/>
          <w:szCs w:val="24"/>
        </w:rPr>
        <w:t xml:space="preserve">a </w:t>
      </w:r>
      <w:r w:rsidR="00455D4B" w:rsidRPr="0041550F">
        <w:rPr>
          <w:rFonts w:ascii="Times New Roman" w:eastAsia="Times New Roman" w:hAnsi="Times New Roman" w:cs="Times New Roman"/>
          <w:sz w:val="24"/>
          <w:szCs w:val="24"/>
        </w:rPr>
        <w:t xml:space="preserve">gold-standard will </w:t>
      </w:r>
      <w:r w:rsidR="00455D4B" w:rsidRPr="0041550F">
        <w:rPr>
          <w:rFonts w:ascii="Times New Roman" w:eastAsia="Times New Roman" w:hAnsi="Times New Roman" w:cs="Times New Roman"/>
          <w:sz w:val="24"/>
          <w:szCs w:val="24"/>
        </w:rPr>
        <w:lastRenderedPageBreak/>
        <w:t xml:space="preserve">facilitate replication and reproducibility, </w:t>
      </w:r>
      <w:r w:rsidRPr="0041550F">
        <w:rPr>
          <w:rFonts w:ascii="Times New Roman" w:eastAsia="Times New Roman" w:hAnsi="Times New Roman" w:cs="Times New Roman"/>
          <w:sz w:val="24"/>
          <w:szCs w:val="24"/>
        </w:rPr>
        <w:t xml:space="preserve">thereby increasing trust in </w:t>
      </w:r>
      <w:r w:rsidR="00071950" w:rsidRPr="0041550F">
        <w:rPr>
          <w:rFonts w:ascii="Times New Roman" w:eastAsia="Times New Roman" w:hAnsi="Times New Roman" w:cs="Times New Roman"/>
          <w:sz w:val="24"/>
          <w:szCs w:val="24"/>
        </w:rPr>
        <w:t>a field</w:t>
      </w:r>
      <w:r w:rsidRPr="0041550F">
        <w:rPr>
          <w:rFonts w:ascii="Times New Roman" w:eastAsia="Times New Roman" w:hAnsi="Times New Roman" w:cs="Times New Roman"/>
          <w:sz w:val="24"/>
          <w:szCs w:val="24"/>
        </w:rPr>
        <w:t xml:space="preserve"> that proffers important implications for public health and policy.</w:t>
      </w:r>
    </w:p>
    <w:p w14:paraId="3F6EF5EA" w14:textId="39413E47" w:rsidR="00EE03E2" w:rsidRPr="0041550F" w:rsidRDefault="009252CB" w:rsidP="00455D4B">
      <w:pPr>
        <w:spacing w:after="0" w:line="480" w:lineRule="auto"/>
        <w:jc w:val="both"/>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br w:type="column"/>
      </w:r>
      <w:r w:rsidR="007F57A1" w:rsidRPr="0041550F">
        <w:rPr>
          <w:rFonts w:ascii="Times New Roman" w:eastAsia="Times New Roman" w:hAnsi="Times New Roman" w:cs="Times New Roman"/>
          <w:i/>
          <w:iCs/>
          <w:sz w:val="24"/>
          <w:szCs w:val="24"/>
        </w:rPr>
        <w:lastRenderedPageBreak/>
        <w:t>Figure 1.</w:t>
      </w:r>
      <w:r w:rsidR="00EF0F0C" w:rsidRPr="0041550F">
        <w:rPr>
          <w:rFonts w:ascii="Times New Roman" w:eastAsia="Times New Roman" w:hAnsi="Times New Roman" w:cs="Times New Roman"/>
          <w:i/>
          <w:iCs/>
          <w:sz w:val="24"/>
          <w:szCs w:val="24"/>
        </w:rPr>
        <w:t xml:space="preserve"> </w:t>
      </w:r>
      <w:r w:rsidR="00720F45" w:rsidRPr="0041550F">
        <w:rPr>
          <w:rFonts w:ascii="Times New Roman" w:eastAsia="Times New Roman" w:hAnsi="Times New Roman" w:cs="Times New Roman"/>
          <w:sz w:val="24"/>
          <w:szCs w:val="24"/>
        </w:rPr>
        <w:t xml:space="preserve">Percentage of tasks </w:t>
      </w:r>
      <w:r w:rsidR="009648AC" w:rsidRPr="0041550F">
        <w:rPr>
          <w:rFonts w:ascii="Times New Roman" w:eastAsia="Times New Roman" w:hAnsi="Times New Roman" w:cs="Times New Roman"/>
          <w:sz w:val="24"/>
          <w:szCs w:val="24"/>
        </w:rPr>
        <w:t>(</w:t>
      </w:r>
      <w:r w:rsidR="00E47362" w:rsidRPr="0041550F">
        <w:rPr>
          <w:rFonts w:ascii="Times New Roman" w:eastAsia="Times New Roman" w:hAnsi="Times New Roman" w:cs="Times New Roman"/>
          <w:sz w:val="24"/>
          <w:szCs w:val="24"/>
        </w:rPr>
        <w:t xml:space="preserve">total </w:t>
      </w:r>
      <w:r w:rsidR="00E47362" w:rsidRPr="0041550F">
        <w:rPr>
          <w:rFonts w:ascii="Times New Roman" w:eastAsia="Times New Roman" w:hAnsi="Times New Roman" w:cs="Times New Roman"/>
          <w:i/>
          <w:iCs/>
          <w:sz w:val="24"/>
          <w:szCs w:val="24"/>
        </w:rPr>
        <w:t xml:space="preserve">n </w:t>
      </w:r>
      <w:r w:rsidR="00E47362" w:rsidRPr="0041550F">
        <w:rPr>
          <w:rFonts w:ascii="Times New Roman" w:eastAsia="Times New Roman" w:hAnsi="Times New Roman" w:cs="Times New Roman"/>
          <w:sz w:val="24"/>
          <w:szCs w:val="24"/>
        </w:rPr>
        <w:t>= 68) that met</w:t>
      </w:r>
      <w:r w:rsidR="003A30EC" w:rsidRPr="0041550F">
        <w:rPr>
          <w:rFonts w:ascii="Times New Roman" w:eastAsia="Times New Roman" w:hAnsi="Times New Roman" w:cs="Times New Roman"/>
          <w:sz w:val="24"/>
          <w:szCs w:val="24"/>
        </w:rPr>
        <w:t xml:space="preserve"> the proposed methodological standards. </w:t>
      </w:r>
      <w:r w:rsidR="00886404" w:rsidRPr="0041550F">
        <w:rPr>
          <w:rFonts w:ascii="Times New Roman" w:eastAsia="Times New Roman" w:hAnsi="Times New Roman" w:cs="Times New Roman"/>
          <w:sz w:val="24"/>
          <w:szCs w:val="24"/>
        </w:rPr>
        <w:t>Note: AB = attentional bias.</w:t>
      </w:r>
    </w:p>
    <w:p w14:paraId="196CBC87" w14:textId="6D9962F1" w:rsidR="00EF0F0C" w:rsidRPr="0041550F" w:rsidRDefault="00886404" w:rsidP="00455D4B">
      <w:pPr>
        <w:spacing w:after="0" w:line="480" w:lineRule="auto"/>
        <w:jc w:val="both"/>
        <w:rPr>
          <w:rFonts w:ascii="Times New Roman" w:eastAsia="Times New Roman" w:hAnsi="Times New Roman" w:cs="Times New Roman"/>
          <w:sz w:val="24"/>
          <w:szCs w:val="24"/>
        </w:rPr>
      </w:pPr>
      <w:r w:rsidRPr="0041550F">
        <w:rPr>
          <w:noProof/>
        </w:rPr>
        <w:drawing>
          <wp:inline distT="0" distB="0" distL="0" distR="0" wp14:anchorId="3075B62E" wp14:editId="6C2ED861">
            <wp:extent cx="5809957" cy="3516923"/>
            <wp:effectExtent l="0" t="0" r="635" b="762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AF6523" w14:textId="1B1C9136" w:rsidR="005F067D" w:rsidRPr="0041550F" w:rsidRDefault="005F067D" w:rsidP="00455D4B">
      <w:pPr>
        <w:spacing w:after="0" w:line="480" w:lineRule="auto"/>
        <w:jc w:val="both"/>
        <w:rPr>
          <w:rFonts w:ascii="Times New Roman" w:eastAsia="Times New Roman" w:hAnsi="Times New Roman" w:cs="Times New Roman"/>
          <w:sz w:val="24"/>
          <w:szCs w:val="24"/>
        </w:rPr>
      </w:pPr>
    </w:p>
    <w:p w14:paraId="62D237AB" w14:textId="24FC3899" w:rsidR="00824323" w:rsidRPr="0041550F" w:rsidRDefault="00824323" w:rsidP="00824323">
      <w:pPr>
        <w:tabs>
          <w:tab w:val="left" w:pos="2609"/>
        </w:tabs>
        <w:spacing w:line="480" w:lineRule="auto"/>
        <w:rPr>
          <w:rFonts w:ascii="Times New Roman" w:hAnsi="Times New Roman" w:cs="Times New Roman"/>
          <w:sz w:val="24"/>
          <w:szCs w:val="24"/>
        </w:rPr>
      </w:pPr>
      <w:r w:rsidRPr="0041550F">
        <w:rPr>
          <w:rFonts w:ascii="Times New Roman" w:hAnsi="Times New Roman" w:cs="Times New Roman"/>
          <w:sz w:val="24"/>
          <w:szCs w:val="24"/>
        </w:rPr>
        <w:tab/>
      </w:r>
    </w:p>
    <w:p w14:paraId="20B7E28A" w14:textId="3AFEFA39" w:rsidR="0033778B" w:rsidRPr="0041550F" w:rsidRDefault="005F067D" w:rsidP="005F067D">
      <w:pPr>
        <w:spacing w:line="480" w:lineRule="auto"/>
      </w:pPr>
      <w:r w:rsidRPr="0041550F">
        <w:rPr>
          <w:rFonts w:ascii="Times New Roman" w:hAnsi="Times New Roman" w:cs="Times New Roman"/>
          <w:sz w:val="24"/>
          <w:szCs w:val="24"/>
        </w:rPr>
        <w:br w:type="column"/>
      </w:r>
      <w:r w:rsidR="0033778B" w:rsidRPr="0041550F">
        <w:rPr>
          <w:rFonts w:ascii="Times New Roman" w:hAnsi="Times New Roman" w:cs="Times New Roman"/>
          <w:sz w:val="24"/>
          <w:szCs w:val="24"/>
        </w:rPr>
        <w:lastRenderedPageBreak/>
        <w:t xml:space="preserve">Table 1. </w:t>
      </w:r>
      <w:r w:rsidR="0033778B" w:rsidRPr="0041550F">
        <w:rPr>
          <w:rFonts w:ascii="Times New Roman" w:hAnsi="Times New Roman" w:cs="Times New Roman"/>
          <w:i/>
          <w:iCs/>
          <w:sz w:val="24"/>
          <w:szCs w:val="24"/>
        </w:rPr>
        <w:t>Summary of recommendations for improving the methodological rigour of cognitive alcohol research.</w:t>
      </w:r>
      <w:r w:rsidR="0033778B" w:rsidRPr="0041550F">
        <w:tab/>
      </w:r>
    </w:p>
    <w:tbl>
      <w:tblPr>
        <w:tblStyle w:val="TableGrid"/>
        <w:tblpPr w:leftFromText="180" w:rightFromText="180" w:vertAnchor="page" w:horzAnchor="page" w:tblpX="985" w:tblpY="2809"/>
        <w:tblW w:w="10048" w:type="dxa"/>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489"/>
        <w:gridCol w:w="4890"/>
        <w:gridCol w:w="3669"/>
      </w:tblGrid>
      <w:tr w:rsidR="00CB3871" w:rsidRPr="0041550F" w14:paraId="46C18E4D" w14:textId="77777777" w:rsidTr="004C71DC">
        <w:tc>
          <w:tcPr>
            <w:tcW w:w="1489" w:type="dxa"/>
          </w:tcPr>
          <w:p w14:paraId="4A21FB32" w14:textId="77777777" w:rsidR="005F067D" w:rsidRPr="0041550F" w:rsidRDefault="005F067D" w:rsidP="005F067D">
            <w:pPr>
              <w:rPr>
                <w:rFonts w:ascii="Times New Roman" w:hAnsi="Times New Roman" w:cs="Times New Roman"/>
              </w:rPr>
            </w:pPr>
            <w:bookmarkStart w:id="21" w:name="_Hlk64016692"/>
          </w:p>
        </w:tc>
        <w:tc>
          <w:tcPr>
            <w:tcW w:w="4890" w:type="dxa"/>
          </w:tcPr>
          <w:p w14:paraId="14AE8AAD"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rPr>
              <w:t>Recommendations</w:t>
            </w:r>
          </w:p>
        </w:tc>
        <w:tc>
          <w:tcPr>
            <w:tcW w:w="3669" w:type="dxa"/>
          </w:tcPr>
          <w:p w14:paraId="070ADCB4"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rPr>
              <w:t>Resources</w:t>
            </w:r>
          </w:p>
        </w:tc>
      </w:tr>
      <w:tr w:rsidR="00CB3871" w:rsidRPr="0041550F" w14:paraId="45FB3192" w14:textId="77777777" w:rsidTr="0088179B">
        <w:trPr>
          <w:trHeight w:val="1567"/>
        </w:trPr>
        <w:tc>
          <w:tcPr>
            <w:tcW w:w="1489" w:type="dxa"/>
          </w:tcPr>
          <w:p w14:paraId="0A7D008F" w14:textId="5E0B157B" w:rsidR="005F067D" w:rsidRPr="0041550F" w:rsidRDefault="00CB3871" w:rsidP="005F067D">
            <w:pPr>
              <w:jc w:val="center"/>
              <w:rPr>
                <w:rFonts w:ascii="Times New Roman" w:hAnsi="Times New Roman" w:cs="Times New Roman"/>
                <w:b/>
                <w:bCs/>
              </w:rPr>
            </w:pPr>
            <w:r w:rsidRPr="0041550F">
              <w:rPr>
                <w:rFonts w:ascii="Times New Roman" w:hAnsi="Times New Roman" w:cs="Times New Roman"/>
                <w:b/>
                <w:bCs/>
                <w:noProof/>
              </w:rPr>
              <w:drawing>
                <wp:anchor distT="0" distB="0" distL="114300" distR="114300" simplePos="0" relativeHeight="251664384" behindDoc="0" locked="0" layoutInCell="1" allowOverlap="1" wp14:anchorId="6A440578" wp14:editId="3C5836AD">
                  <wp:simplePos x="0" y="0"/>
                  <wp:positionH relativeFrom="column">
                    <wp:posOffset>106680</wp:posOffset>
                  </wp:positionH>
                  <wp:positionV relativeFrom="paragraph">
                    <wp:posOffset>116840</wp:posOffset>
                  </wp:positionV>
                  <wp:extent cx="606425" cy="5905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rotWithShape="1">
                          <a:blip r:embed="rId14" cstate="print">
                            <a:extLst>
                              <a:ext uri="{28A0092B-C50C-407E-A947-70E740481C1C}">
                                <a14:useLocalDpi xmlns:a14="http://schemas.microsoft.com/office/drawing/2010/main" val="0"/>
                              </a:ext>
                            </a:extLst>
                          </a:blip>
                          <a:srcRect b="8465"/>
                          <a:stretch/>
                        </pic:blipFill>
                        <pic:spPr bwMode="auto">
                          <a:xfrm>
                            <a:off x="0" y="0"/>
                            <a:ext cx="60642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67D" w:rsidRPr="0041550F">
              <w:rPr>
                <w:rFonts w:ascii="Times New Roman" w:hAnsi="Times New Roman" w:cs="Times New Roman"/>
                <w:b/>
                <w:bCs/>
              </w:rPr>
              <w:t>Stimuli</w:t>
            </w:r>
          </w:p>
        </w:tc>
        <w:tc>
          <w:tcPr>
            <w:tcW w:w="4890" w:type="dxa"/>
            <w:vAlign w:val="center"/>
          </w:tcPr>
          <w:p w14:paraId="788B2698"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Matched appropriately (luminosity; valence).</w:t>
            </w:r>
          </w:p>
          <w:p w14:paraId="0D547B59"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Clear rationale behind selection.</w:t>
            </w:r>
          </w:p>
          <w:p w14:paraId="7D0CCEFC"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existing validated stimulus sets where appropriate.</w:t>
            </w:r>
          </w:p>
          <w:p w14:paraId="6F6D8897"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existing instructions to develop and validate new stimulus sets.</w:t>
            </w:r>
          </w:p>
        </w:tc>
        <w:tc>
          <w:tcPr>
            <w:tcW w:w="3669" w:type="dxa"/>
          </w:tcPr>
          <w:p w14:paraId="581DEA30" w14:textId="3F050B1C" w:rsidR="005F067D" w:rsidRPr="0041550F" w:rsidRDefault="005F067D" w:rsidP="005F067D">
            <w:pPr>
              <w:spacing w:before="1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18211A" w:rsidRPr="0041550F">
              <w:rPr>
                <w:rFonts w:ascii="Times New Roman" w:hAnsi="Times New Roman" w:cs="Times New Roman"/>
                <w:sz w:val="20"/>
                <w:szCs w:val="20"/>
              </w:rPr>
              <w:instrText>ADDIN CSL_CITATION {"citationItems":[{"id":"ITEM-1","itemData":{"DOI":"10.1111/ajpy.12272","ISSN":"17429536","abstract":"Objective: Research on implicit biases toward alcoholic stimuli require validated picture sets that (a) contain a wide range of alcoholic and non-alcoholic beverages recognised by the sample population, (b) control for featural differences that do not pertain to the beverage itself, and (c) elicit a desired effect upon viewing, with alcoholic beverages resulting in an increased urge to drink in heavy drinkers. To validate the Australian Beverage Picture Set (OzBPS); a stimulus set to be used in alcohol-related cognitive bias research in Australian populations. Method: A range of alcoholic and non-alcoholic beverages were photographed under controlled conditions in both active (opening, serving, drinking and pouring) and passive contexts (beverage, beverage with empty glass, beverage with full glass). Following that, 98 undergraduates completed an identification and ratings task (measuring valence, arousal, urge to drink and familiarity). Finally, participants completed a questionnaire indexing alcohol consumption. Results: After eliminating beverages that were not easily identified as alcoholic or non-alcoholic, the analysis validated the picture set, revealing a linear relationship between habitual heavy drinking and an increased urge to drink in response to alcoholic beverages. Furthermore, we included a novel pouring context, which was found to elicit a stronger urge to drink compared to other drinking contexts. Conclusions: The OzBPS is a valid image set that will facilitate future research into cognitive correlates of drinking behaviour.","author":[{"dropping-particle":"","family":"Onie","given":"Sandersan","non-dropping-particle":"","parse-names":false,"suffix":""},{"dropping-particle":"","family":"Gong","given":"Sharon","non-dropping-particle":"","parse-names":false,"suffix":""},{"dropping-particle":"","family":"Manwaring","given":"Elizabeth","non-dropping-particle":"","parse-names":false,"suffix":""},{"dropping-particle":"","family":"Grageda","given":"Dayanna","non-dropping-particle":"","parse-names":false,"suffix":""},{"dropping-particle":"","family":"Webb","given":"Kyra","non-dropping-particle":"","parse-names":false,"suffix":""},{"dropping-particle":"","family":"Yuen","given":"Wing See","non-dropping-particle":"","parse-names":false,"suffix":""},{"dropping-particle":"","family":"Most","given":"Steven B.","non-dropping-particle":"","parse-names":false,"suffix":""}],"container-title":"Australian Journal of Psychology","id":"ITEM-1","issue":"2","issued":{"date-parts":[["2020"]]},"page":"223-232","title":"Validation of the Australian beverage picture set: A controlled picture set for cognitive bias measurement and modification paradigms","type":"article-journal","volume":"72"},"uris":["http://www.mendeley.com/documents/?uuid=d5708fda-e13e-4f32-bc76-20a45866eb23"]},{"id":"ITEM-2","itemData":{"DOI":"10.1111/acer.12853","ISSN":"15300277","PMID":"26431117","abstract":"Background: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Research","id":"ITEM-2","issue":"10","issued":{"date-parts":[["2015"]]},"page":"2047-2055","title":"Validation of the Amsterdam Beverage Picture Set: A Controlled Picture Set for Cognitive Bias Measurement and Modification Paradigms","type":"article-journal","volume":"39"},"uris":["http://www.mendeley.com/documents/?uuid=31c6dbce-a6c2-4641-b657-5ed11bb47c0f"]},{"id":"ITEM-3","itemData":{"DOI":"10.1111/acer.14214","ISSN":"15300277","PMID":"31595975","abstract":"Background: The study of alcohol use frequency utilizes alcohol-related cue imagery. Although a number of alcohol-image databases currently exist, they have several limitations: Many are not publicly available, some use stock images or clip art rather than real photographs, several eliminate any photographs displaying brand information, and predominantly they contain relatively few images. The aim of this project was to develop a large, open-access database of alcohol-related cue images, containing photographs with and without brand information, taken in real-world environments, with images in a variety of orientations and dimensions. Methods: The study collected 1,650 images voluntarily from the larger community, to capture photographs with a wide range of content, environments, and relation to alcohol. All images were then rated on scales of valence, arousal, and relation to alcohol by 1,008 Amazon Mechanical Turk workers, using classical emotion validation methods based on the International Affective Picture System (IAPS). Survey respondents were screened with the Alcohol Use Disorders Identification Test (AUDIT), and Cronbach’s alpha scores were calculated to determine the interrater reliability of scores across the whole sample, and within low-risk, moderate-risk, and high-risk drinkers for each rating domain. Univariate ANOVAs were run to determine differences in ratings across drinking groups. Results: All Cronbach’s alpha scores indicated high interrater reliability within the whole sample, and across drinking severity groups. Tukey’s HSD post hoc results indicated greater arousal and affect in response to image viewing in moderate- and high-risk drinkers, and higher relation-to-alcohol ratings in low-risk drinkers. All images had categorization tags assigned by members of the study team. Conclusions: The established imagery set includes 1,650 alcohol-related images, rated on scales of valence, arousal, and relation to alcohol, and categorized by type of alcohol depicted. The imagery database will be available for open-access download and use through Google Photos.","author":[{"dropping-particle":"","family":"Peterson","given":"Hope","non-dropping-particle":"","parse-names":false,"suffix":""},{"dropping-particle":"","family":"Simpson","given":"Sean L.","non-dropping-particle":"","parse-names":false,"suffix":""},{"dropping-particle":"","family":"Laurienti","given":"Paul J.","non-dropping-particle":"","parse-names":false,"suffix":""}],"container-title":"Alcoholism: Clinical and Experimental Research","id":"ITEM-3","issue":"12","issued":{"date-parts":[["2019"]]},"page":"2559-2567","title":"Wake Forest Alcohol Imagery Set: Development and Validation of a Large Standardized Alcohol Imagery Dataset","type":"article-journal","volume":"43"},"uris":["http://www.mendeley.com/documents/?uuid=b25468bb-be3d-43bd-acde-44708284fc74"]},{"id":"ITEM-4","itemData":{"DOI":"10.1080/00952990.2016.1253093","ISSN":"10979891","PMID":"27893279","abstract":"Background: Photographic stimuli are commonly used to assess cue reactivity in the research and treatment of alcohol use disorder. The stimuli used are often non-standardized, not properly validated, and poorly controlled. There are no previously published, validated, American-relevant sets of alcohol images created in a standardized fashion. Objectives: We aimed to: 1) make available a standardized, matched set of photographic alcohol and non-alcohol beverage stimuli, 2) establish face validity, the extent to which the stimuli are subjectively viewed as what they are purported to be, and 3) establish construct validity, the degree to which a test measures what it claims to be measuring. Methods: We produced a standardized set of 36 images consisting of American alcohol and non-alcohol beverages matched for basic color, form, and complexity. A total of 178 participants (95 male, 82 female, 1 genderqueer) rated each image for appetitiveness. An arrow-probe task, in which matched pairs were categorized after being presented for 200 ms, assessed face validity. Criteria for construct validity were met if variation in AUDIT scores were associated with variation in performance on tasks during alcohol image presentation. Results: Overall, images were categorized with &gt;90% accuracy. Participants’ AUDIT scores correlated significantly with alcohol “want” and “like” ratings [r(176) = 0.27, p = &lt;0.001; r(176) = 0.36, p = &lt;0.001] and arrow-probe latency [r(176) = −0.22, p = 0.004], but not with non-alcohol outcomes. Furthermore, appetitive ratings and arrow-probe latency for alcohol, but not non-alcohol, differed significantly for heavy versus light drinkers. Conclusion: Our image set provides valid and reliable alcohol stimuli for both explicit and implicit tests of cue reactivity. The use of standardized, validated, reliable image sets may improve consistency across research and treatment paradigms.","author":[{"dropping-particle":"","family":"Stauffer","given":"Christopher S.","non-dropping-particle":"","parse-names":false,"suffix":""},{"dropping-particle":"","family":"Dobberteen","given":"Lily","non-dropping-particle":"","parse-names":false,"suffix":""},{"dropping-particle":"","family":"Woolley","given":"Joshua D.","non-dropping-particle":"","parse-names":false,"suffix":""}],"container-title":"American Journal of Drug and Alcohol Abuse","id":"ITEM-4","issue":"6","issued":{"date-parts":[["2017"]]},"page":"647-655","publisher":"Taylor &amp; Francis","title":"American Alcohol Photo Stimuli (AAPS): A standardized set of alcohol and matched non-alcohol images","type":"article-journal","volume":"43"},"uris":["http://www.mendeley.com/documents/?uuid=b266d90a-ca2e-41f5-b5a1-de64c3f2a767"]},{"id":"ITEM-5","itemData":{"DOI":"10.1016/j.drugalcdep.2017.11.022","ISSN":"18790046","PMID":"29402678","abstract":"Background: The available picture sets in alcohol research are scarce and display a number of limitations, including poor picture quality, limited number of stimuli and absence of non-alcohol and/or real-life images. In the present study, we developed the Galician Beverage Picture Set (GBPS), a database of high-quality alcohol and non-alcohol pictures embedded in real-life scenarios. Methods: A total of 201 college students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 xml:space="preserve">59% females) were assessed by the Alcohol Use Disorders Identification Test,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 xml:space="preserve">54% being characterized as no/low drinkers (N/LDs) and </w:instrText>
            </w:r>
            <w:r w:rsidR="0018211A" w:rsidRPr="0041550F">
              <w:rPr>
                <w:rFonts w:ascii="Cambria Math" w:hAnsi="Cambria Math" w:cs="Cambria Math"/>
                <w:sz w:val="20"/>
                <w:szCs w:val="20"/>
              </w:rPr>
              <w:instrText>∼</w:instrText>
            </w:r>
            <w:r w:rsidR="0018211A" w:rsidRPr="0041550F">
              <w:rPr>
                <w:rFonts w:ascii="Times New Roman" w:hAnsi="Times New Roman" w:cs="Times New Roman"/>
                <w:sz w:val="20"/>
                <w:szCs w:val="20"/>
              </w:rPr>
              <w:instrText>46% as risky drinkers (RDs). The GBPS included six types of beverages: beer, wine, liquor (alcoholic drinks); water, juice, milk (non-alcoholic drinks). Additionally, two subcategories were considered: orientation (landscape, portrait) and number of people (0, 1, ≥2 people). Participants rated the images for valence, arousal and visual complexity. Objective measures of brightness and color and recognition rates were also assessed. Internal consistency was estimated using Cronbach's alpha coefficient. Results: There was a high degree of internal consistency within each category (alcoholic and non-alcoholic drinks) for valence, arousal and visual complexity scores. A mixed-model ANOVA revealed that RDs rated alcohol pictures as more pleasant and arousing than N/LDs. Conversely, N/LDs displayed greater valence and arousal ratings than RDs for non-alcohol pictures. Conclusions: The GBPS provides normative data on affective (valence/arousal), perceptual (visual complexity) and physical (brightness/color) values for a large number of images that may be useful for alcohol-related research. Differences in subjective assessments between N/LDs and RDs support the picture set's suitability for studies in young drinkers.","author":[{"dropping-particle":"","family":"López-Caneda","given":"E.","non-dropping-particle":"","parse-names":false,"suffix":""},{"dropping-particle":"","family":"Carbia","given":"C.","non-dropping-particle":"","parse-names":false,"suffix":""}],"container-title":"Drug and Alcohol Dependence","id":"ITEM-5","issue":"September 2017","issued":{"date-parts":[["2018"]]},"page":"42-47","publisher":"Elsevier","title":"The Galician Beverage Picture Set (GBPS): A standardized database of alcohol and non-alcohol images","type":"article-journal","volume":"184"},"uris":["http://www.mendeley.com/documents/?uuid=abebe159-bc77-4717-9461-b5df6f99d96e"]}],"mendeley":{"formattedCitation":"(44,66–69)","plainTextFormattedCitation":"(44,66–69)","previouslyFormattedCitation":"(44,66–69)"},"properties":{"noteIndex":0},"schema":"https://github.com/citation-style-language/schema/raw/master/csl-citation.json"}</w:instrText>
            </w:r>
            <w:r w:rsidRPr="0041550F">
              <w:rPr>
                <w:rFonts w:ascii="Times New Roman" w:hAnsi="Times New Roman" w:cs="Times New Roman"/>
                <w:sz w:val="20"/>
                <w:szCs w:val="20"/>
              </w:rPr>
              <w:fldChar w:fldCharType="separate"/>
            </w:r>
            <w:r w:rsidR="0018211A" w:rsidRPr="0041550F">
              <w:rPr>
                <w:rFonts w:ascii="Times New Roman" w:hAnsi="Times New Roman" w:cs="Times New Roman"/>
                <w:noProof/>
                <w:sz w:val="20"/>
                <w:szCs w:val="20"/>
              </w:rPr>
              <w:t>(44,66–69)</w:t>
            </w:r>
            <w:r w:rsidRPr="0041550F">
              <w:rPr>
                <w:rFonts w:ascii="Times New Roman" w:hAnsi="Times New Roman" w:cs="Times New Roman"/>
                <w:sz w:val="20"/>
                <w:szCs w:val="20"/>
              </w:rPr>
              <w:fldChar w:fldCharType="end"/>
            </w:r>
          </w:p>
          <w:p w14:paraId="0EAE0B7B" w14:textId="604EF5E8" w:rsidR="005F067D" w:rsidRPr="0041550F" w:rsidRDefault="005F067D" w:rsidP="005F067D">
            <w:pPr>
              <w:rPr>
                <w:rFonts w:ascii="Times New Roman" w:hAnsi="Times New Roman" w:cs="Times New Roman"/>
                <w:sz w:val="20"/>
                <w:szCs w:val="20"/>
              </w:rPr>
            </w:pPr>
            <w:r w:rsidRPr="0041550F">
              <w:rPr>
                <w:rFonts w:ascii="Times New Roman" w:hAnsi="Times New Roman" w:cs="Times New Roman"/>
                <w:sz w:val="20"/>
                <w:szCs w:val="20"/>
              </w:rPr>
              <w:br/>
              <w:t xml:space="preserve">S1 File of </w:t>
            </w:r>
            <w:r w:rsidRPr="0041550F">
              <w:rPr>
                <w:rFonts w:ascii="Times New Roman" w:hAnsi="Times New Roman" w:cs="Times New Roman"/>
                <w:sz w:val="20"/>
                <w:szCs w:val="20"/>
              </w:rPr>
              <w:fldChar w:fldCharType="begin" w:fldLock="1"/>
            </w:r>
            <w:r w:rsidRPr="0041550F">
              <w:rPr>
                <w:rFonts w:ascii="Times New Roman" w:hAnsi="Times New Roman" w:cs="Times New Roman"/>
                <w:sz w:val="20"/>
                <w:szCs w:val="20"/>
              </w:rPr>
              <w:instrText>ADDIN CSL_CITATION {"citationItems":[{"id":"ITEM-1","itemData":{"DOI":"10.1111/acer.12853","ISSN":"15300277","PMID":"26431117","abstract":"Background: Alcohol research may benefit from controlled and validated picture sets. We have constructed the Amsterdam Beverage Picture Set (ABPS), which was designed for alcohol research in general and cognitive bias measurement and modification in particular. Here, we first formulate a position on alcohol stimulus validity that prescribes that alcohol-containing pictures, compared to nonalcohol-containing pictures, should induce a stronger urge to drink in heavy drinkers than in light drinkers. Because a perceptually simple picture might induce stronger cognitive biases but the presence of a drinking context might induce a stronger urge to drink, the ABPS contains pictures with and without drinking context. By limiting drinking contexts to simple consumption scenes instead of real-life scenes, complexity was minimized. A validation study was conducted to establish validity, to examine ABPS drinking contexts, and to explore the role of familiarity, valence, arousal, and control. Methods: Two hundred ninety-one psychology students completed the Alcohol Use Disorders Identification Test, as well as rating and recognition tasks for a subset of the ABPS pictures. Results: The ABPS was well-recognized, familiar, and heavy drinkers reported a greater urge to drink in response to the alcohol-containing pictures only. Alcohol presented in drinking context did not elicit a stronger urge to drink but was recognized more slowly than alcohol presented without context. Conclusions: The ABPS was found to be valid, although pictures without context might be preferable for measuring cognitive biases than pictures with context. We discuss how an explicit approach to picture construction may aid in creating variations of the ABPS. Finally, we describe how ABPS adoption across studies may allow more reproducible and comparable results across paradigms, while allowing researchers to apply picture selection criteria that correspond to a wide range of theoretical positions. The latter is exemplified by ABPS derivatives and adoptions that are currently under way.","author":[{"dropping-particle":"","family":"Pronk","given":"Thomas","non-dropping-particle":"","parse-names":false,"suffix":""},{"dropping-particle":"","family":"Deursen","given":"Denise S.","non-dropping-particle":"van","parse-names":false,"suffix":""},{"dropping-particle":"","family":"Beraha","given":"Esther M.","non-dropping-particle":"","parse-names":false,"suffix":""},{"dropping-particle":"","family":"Larsen","given":"Helle","non-dropping-particle":"","parse-names":false,"suffix":""},{"dropping-particle":"","family":"Wiers","given":"Reinout W.","non-dropping-particle":"","parse-names":false,"suffix":""}],"container-title":"Alcoholism: Clinical and Experimental Research","id":"ITEM-1","issue":"10","issued":{"date-parts":[["2015"]]},"page":"2047-2055","title":"Validation of the Amsterdam Beverage Picture Set: A Controlled Picture Set for Cognitive Bias Measurement and Modification Paradigms","type":"article-journal","volume":"39"},"uris":["http://www.mendeley.com/documents/?uuid=31c6dbce-a6c2-4641-b657-5ed11bb47c0f"]}],"mendeley":{"formattedCitation":"(44)","plainTextFormattedCitation":"(44)","previouslyFormattedCitation":"(44)"},"properties":{"noteIndex":0},"schema":"https://github.com/citation-style-language/schema/raw/master/csl-citation.json"}</w:instrText>
            </w:r>
            <w:r w:rsidRPr="0041550F">
              <w:rPr>
                <w:rFonts w:ascii="Times New Roman" w:hAnsi="Times New Roman" w:cs="Times New Roman"/>
                <w:sz w:val="20"/>
                <w:szCs w:val="20"/>
              </w:rPr>
              <w:fldChar w:fldCharType="separate"/>
            </w:r>
            <w:r w:rsidRPr="0041550F">
              <w:rPr>
                <w:rFonts w:ascii="Times New Roman" w:hAnsi="Times New Roman" w:cs="Times New Roman"/>
                <w:noProof/>
                <w:sz w:val="20"/>
                <w:szCs w:val="20"/>
              </w:rPr>
              <w:t>(44)</w:t>
            </w:r>
            <w:r w:rsidRPr="0041550F">
              <w:rPr>
                <w:rFonts w:ascii="Times New Roman" w:hAnsi="Times New Roman" w:cs="Times New Roman"/>
                <w:sz w:val="20"/>
                <w:szCs w:val="20"/>
              </w:rPr>
              <w:fldChar w:fldCharType="end"/>
            </w:r>
            <w:r w:rsidRPr="0041550F">
              <w:rPr>
                <w:rFonts w:ascii="Times New Roman" w:hAnsi="Times New Roman" w:cs="Times New Roman"/>
                <w:sz w:val="20"/>
                <w:szCs w:val="20"/>
              </w:rPr>
              <w:t xml:space="preserve"> provides instructions for developing new stimulus sets.</w:t>
            </w:r>
          </w:p>
        </w:tc>
      </w:tr>
      <w:tr w:rsidR="00CB3871" w:rsidRPr="0041550F" w14:paraId="78C74C54" w14:textId="77777777" w:rsidTr="00FA3F8D">
        <w:trPr>
          <w:trHeight w:val="1549"/>
        </w:trPr>
        <w:tc>
          <w:tcPr>
            <w:tcW w:w="1489" w:type="dxa"/>
            <w:shd w:val="clear" w:color="auto" w:fill="E7E6E6" w:themeFill="background2"/>
          </w:tcPr>
          <w:p w14:paraId="50A9773E"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63360" behindDoc="0" locked="0" layoutInCell="1" allowOverlap="1" wp14:anchorId="4220943E" wp14:editId="33CE8EF6">
                  <wp:simplePos x="0" y="0"/>
                  <wp:positionH relativeFrom="column">
                    <wp:posOffset>127635</wp:posOffset>
                  </wp:positionH>
                  <wp:positionV relativeFrom="paragraph">
                    <wp:posOffset>111923</wp:posOffset>
                  </wp:positionV>
                  <wp:extent cx="618490" cy="618490"/>
                  <wp:effectExtent l="0" t="0" r="0" b="0"/>
                  <wp:wrapSquare wrapText="bothSides"/>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withgea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18490" cy="61849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Task</w:t>
            </w:r>
          </w:p>
        </w:tc>
        <w:tc>
          <w:tcPr>
            <w:tcW w:w="4890" w:type="dxa"/>
            <w:shd w:val="clear" w:color="auto" w:fill="E7E6E6" w:themeFill="background2"/>
            <w:vAlign w:val="center"/>
          </w:tcPr>
          <w:p w14:paraId="791085CE"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Assess factors contributing to reliability.</w:t>
            </w:r>
          </w:p>
          <w:p w14:paraId="09EA1DFC" w14:textId="21AAA7D2"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Develop and refine tasks with acceptable psychometric properties</w:t>
            </w:r>
            <w:r w:rsidR="000005FE" w:rsidRPr="0041550F">
              <w:rPr>
                <w:rFonts w:ascii="Times New Roman" w:hAnsi="Times New Roman" w:cs="Times New Roman"/>
                <w:sz w:val="20"/>
                <w:szCs w:val="20"/>
              </w:rPr>
              <w:t xml:space="preserve"> </w:t>
            </w:r>
            <w:r w:rsidR="004C71DC" w:rsidRPr="0041550F">
              <w:rPr>
                <w:rFonts w:ascii="Times New Roman" w:hAnsi="Times New Roman" w:cs="Times New Roman"/>
                <w:sz w:val="20"/>
                <w:szCs w:val="20"/>
              </w:rPr>
              <w:t>and</w:t>
            </w:r>
            <w:r w:rsidR="000005FE" w:rsidRPr="0041550F">
              <w:rPr>
                <w:rFonts w:ascii="Times New Roman" w:hAnsi="Times New Roman" w:cs="Times New Roman"/>
                <w:sz w:val="20"/>
                <w:szCs w:val="20"/>
              </w:rPr>
              <w:t xml:space="preserve"> avoid those </w:t>
            </w:r>
            <w:r w:rsidR="004C71DC" w:rsidRPr="0041550F">
              <w:rPr>
                <w:rFonts w:ascii="Times New Roman" w:hAnsi="Times New Roman" w:cs="Times New Roman"/>
                <w:sz w:val="20"/>
                <w:szCs w:val="20"/>
              </w:rPr>
              <w:t xml:space="preserve">with </w:t>
            </w:r>
            <w:r w:rsidR="000005FE" w:rsidRPr="0041550F">
              <w:rPr>
                <w:rFonts w:ascii="Times New Roman" w:hAnsi="Times New Roman" w:cs="Times New Roman"/>
                <w:sz w:val="20"/>
                <w:szCs w:val="20"/>
              </w:rPr>
              <w:t>poor reliability</w:t>
            </w:r>
            <w:r w:rsidR="004C71DC" w:rsidRPr="0041550F">
              <w:rPr>
                <w:rFonts w:ascii="Times New Roman" w:hAnsi="Times New Roman" w:cs="Times New Roman"/>
                <w:sz w:val="20"/>
                <w:szCs w:val="20"/>
              </w:rPr>
              <w:t>.</w:t>
            </w:r>
          </w:p>
          <w:p w14:paraId="25BF9700" w14:textId="77777777" w:rsidR="000005FE" w:rsidRPr="0041550F" w:rsidRDefault="000005FE" w:rsidP="000005FE">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Use tasks with demonstrated reliability.</w:t>
            </w:r>
          </w:p>
          <w:p w14:paraId="758D009E" w14:textId="70307BD9"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Develop consensus guides with recommendations for</w:t>
            </w:r>
            <w:r w:rsidR="003F3547" w:rsidRPr="0041550F">
              <w:rPr>
                <w:rFonts w:ascii="Times New Roman" w:hAnsi="Times New Roman" w:cs="Times New Roman"/>
                <w:sz w:val="20"/>
                <w:szCs w:val="20"/>
              </w:rPr>
              <w:t xml:space="preserve"> optimal</w:t>
            </w:r>
            <w:r w:rsidRPr="0041550F">
              <w:rPr>
                <w:rFonts w:ascii="Times New Roman" w:hAnsi="Times New Roman" w:cs="Times New Roman"/>
                <w:sz w:val="20"/>
                <w:szCs w:val="20"/>
              </w:rPr>
              <w:t xml:space="preserve"> task parameters.</w:t>
            </w:r>
          </w:p>
        </w:tc>
        <w:tc>
          <w:tcPr>
            <w:tcW w:w="3669" w:type="dxa"/>
            <w:shd w:val="clear" w:color="auto" w:fill="E7E6E6" w:themeFill="background2"/>
          </w:tcPr>
          <w:p w14:paraId="3D5DB6D1" w14:textId="035BEA77" w:rsidR="005F067D" w:rsidRPr="0041550F" w:rsidRDefault="005F067D" w:rsidP="005F067D">
            <w:pPr>
              <w:spacing w:before="1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5F1E8D" w:rsidRPr="0041550F">
              <w:rPr>
                <w:rFonts w:ascii="Times New Roman" w:hAnsi="Times New Roman" w:cs="Times New Roman"/>
                <w:sz w:val="20"/>
                <w:szCs w:val="20"/>
              </w:rPr>
              <w:instrText>ADDIN CSL_CITATION {"citationItems":[{"id":"ITEM-1","itemData":{"DOI":"10.7554/eLife.46323","ISSN":"2050084X","PMID":"31033438","abstract":"Response inhibition is essential for navigating everyday life. Its derailment is considered integral to numerous neurological and psychiatric disorders, and more generally, to a wide range of behavioral and health problems. Response-inhibition efficiency furthermore correlates with treatment outcome in some of these conditions. The stop-signal task is an essential tool to determine how quickly response inhibition is implemented. Despite its apparent simplicity, there are many features (ranging from task design to data analysis) that vary across studies in ways that can easily compromise the validity of the obtained results. Our goal is to facilitate a more accurate use of the stop-signal task. To this end, we provide 12 easy-to-implement consensus recommendations and point out the problems that can arise when they are not followed. Furthermore, we provide user-friendly open-source resources intended to inform statistical-power considerations, facilitate the correct implementation of the task, and assist in proper data analysis.","author":[{"dropping-particle":"","family":"Verbruggen","given":"Frederick","non-dropping-particle":"","parse-names":false,"suffix":""},{"dropping-particle":"","family":"Aron","given":"Adam R.","non-dropping-particle":"","parse-names":false,"suffix":""},{"dropping-particle":"","family":"Band","given":"Guido P.H.","non-dropping-particle":"","parse-names":false,"suffix":""},{"dropping-particle":"","family":"Beste","given":"Christian","non-dropping-particle":"","parse-names":false,"suffix":""},{"dropping-particle":"","family":"Bissett","given":"Patrick G.","non-dropping-particle":"","parse-names":false,"suffix":""},{"dropping-particle":"","family":"Brockett","given":"Adam T.","non-dropping-particle":"","parse-names":false,"suffix":""},{"dropping-particle":"","family":"Brown","given":"Joshua W.","non-dropping-particle":"","parse-names":false,"suffix":""},{"dropping-particle":"","family":"Chamberlain","given":"Samuel R.","non-dropping-particle":"","parse-names":false,"suffix":""},{"dropping-particle":"","family":"Chambers","given":"Christopher D.","non-dropping-particle":"","parse-names":false,"suffix":""},{"dropping-particle":"","family":"Colonius","given":"Hans","non-dropping-particle":"","parse-names":false,"suffix":""},{"dropping-particle":"","family":"Colzato","given":"Lorenza S.","non-dropping-particle":"","parse-names":false,"suffix":""},{"dropping-particle":"","family":"Corneil","given":"Brian D.","non-dropping-particle":"","parse-names":false,"suffix":""},{"dropping-particle":"","family":"Coxon","given":"James P.","non-dropping-particle":"","parse-names":false,"suffix":""},{"dropping-particle":"","family":"Dupuis","given":"Annie","non-dropping-particle":"","parse-names":false,"suffix":""},{"dropping-particle":"","family":"Eagle","given":"Dawn M.","non-dropping-particle":"","parse-names":false,"suffix":""},{"dropping-particle":"","family":"Garavan","given":"Hugh","non-dropping-particle":"","parse-names":false,"suffix":""},{"dropping-particle":"","family":"Greenhouse","given":"Ian","non-dropping-particle":"","parse-names":false,"suffix":""},{"dropping-particle":"","family":"Heathcote","given":"Andrew","non-dropping-particle":"","parse-names":false,"suffix":""},{"dropping-particle":"","family":"Huster","given":"Rene´ J.","non-dropping-particle":"","parse-names":false,"suffix":""},{"dropping-particle":"","family":"Jahfari","given":"Sara","non-dropping-particle":"","parse-names":false,"suffix":""},{"dropping-particle":"","family":"Kenemans","given":"J. Leon","non-dropping-particle":"","parse-names":false,"suffix":""},{"dropping-particle":"","family":"Leunissen","given":"Inge","non-dropping-particle":"","parse-names":false,"suffix":""},{"dropping-particle":"","family":"Li","given":"Chiang Shan R.","non-dropping-particle":"","parse-names":false,"suffix":""},{"dropping-particle":"","family":"Logan","given":"Gordon D.","non-dropping-particle":"","parse-names":false,"suffix":""},{"dropping-particle":"","family":"Matzke","given":"Dora","non-dropping-particle":"","parse-names":false,"suffix":""},{"dropping-particle":"","family":"Morein-Zamir","given":"Sharon","non-dropping-particle":"","parse-names":false,"suffix":""},{"dropping-particle":"","family":"Murthy","given":"Aditya","non-dropping-particle":"","parse-names":false,"suffix":""},{"dropping-particle":"","family":"Paré","given":"Martin","non-dropping-particle":"","parse-names":false,"suffix":""},{"dropping-particle":"","family":"Poldrack","given":"Russell A.","non-dropping-particle":"","parse-names":false,"suffix":""},{"dropping-particle":"","family":"Ridderinkhof","given":"K. Richard","non-dropping-particle":"","parse-names":false,"suffix":""},{"dropping-particle":"","family":"Robbins","given":"Trevor W.","non-dropping-particle":"","parse-names":false,"suffix":""},{"dropping-particle":"","family":"Roesch","given":"Matthew","non-dropping-particle":"","parse-names":false,"suffix":""},{"dropping-particle":"","family":"Rubia","given":"Katya","non-dropping-particle":"","parse-names":false,"suffix":""},{"dropping-particle":"","family":"Schachar","given":"Russell J.","non-dropping-particle":"","parse-names":false,"suffix":""},{"dropping-particle":"","family":"Schall","given":"Jeffrey D.","non-dropping-particle":"","parse-names":false,"suffix":""},{"dropping-particle":"","family":"Stock","given":"Ann Kathrin","non-dropping-particle":"","parse-names":false,"suffix":""},{"dropping-particle":"","family":"Swann","given":"Nicole C.","non-dropping-particle":"","parse-names":false,"suffix":""},{"dropping-particle":"","family":"Thakkar","given":"Katharine N.","non-dropping-particle":"","parse-names":false,"suffix":""},{"dropping-particle":"","family":"Molen","given":"Maurits W.","non-dropping-particle":"Van Der","parse-names":false,"suffix":""},{"dropping-particle":"","family":"Vermeylen","given":"Luc","non-dropping-particle":"","parse-names":false,"suffix":""},{"dropping-particle":"","family":"Vink","given":"Matthijs","non-dropping-particle":"","parse-names":false,"suffix":""},{"dropping-particle":"","family":"Wessel","given":"Jan R.","non-dropping-particle":"","parse-names":false,"suffix":""},{"dropping-particle":"","family":"Whelan","given":"Robert","non-dropping-particle":"","parse-names":false,"suffix":""},{"dropping-particle":"","family":"Zandbelt","given":"Bram B.","non-dropping-particle":"","parse-names":false,"suffix":""},{"dropping-particle":"","family":"Boehler","given":"C. Nico","non-dropping-particle":"","parse-names":false,"suffix":""}],"container-title":"eLife","id":"ITEM-1","issued":{"date-parts":[["2019"]]},"page":"1-26","title":"A consensus guide to capturing the ability to inhibit actions and impulsive behaviors in the stop-signal task","type":"article-journal","volume":"8"},"uris":["http://www.mendeley.com/documents/?uuid=e999e310-876b-4205-86ae-252c2b7bc17c"]},{"id":"ITEM-2","itemData":{"DOI":"10.1111/add.14997","ISSN":"13600443","PMID":"32003522","abstract":"Background and Aims: Research indicates that high consumers of alcohol exhibit attentional bias (AB) towards alcohol-related cues, suggestive of a cognitive mechanism that might drive substance seeking. Many tasks that measure AB (e.g. visual probe, addiction Stroop), however, are limited by their reliance on non-appetitive control cues, the serial presentation of stimuli and their poor internal reliability. The current study employed a visual conjunction search (VCS) task capable of presenting multiple alcoholic and non-alcoholic appetitive cues simultaneously to assess whether social drinkers attend selectively to alcoholic stimuli. To assess the construct validity of this task, we examined whether alcohol consumption and related problems, subjective craving and drinking motives predict alcohol-specific AB. Design and setting: A VCS task was performed in a laboratory setting, which required participants to detect the presence of appetitive alcoholic (wine, beer) and non-alcoholic (cola, lemonade) targets within arrays of matching and non-matching distractors. Participants: Data from 99 participants were assessed [meanage = 20.77, standard deviation (SD) = 2.98; 64 (65%) females], with 81.8% meeting the threshold for harmful alcohol consumption (meanAUDIT = 12.89, SD = 5.79). Measurements: Self-reports of alcohol consumption and related problems [Alcohol Use Disorders Identification Test (AUDIT)], subjective craving (Alcohol Craving Questionnaire Short Form) and drinking motives (Drinking Motives Questionnaire Short Form) were obtained, and the VCS task measured response times for the correct detection of alcoholic and non-alcoholic targets. Findings: Participants were significantly quicker to detect alcoholic relative to non-alcoholic appetitive targets (P &lt; 0.001, dz = 0.41), which was predicted positively by AUDIT scores (P = 0.013, R2 = 0.06%). The VCS task achieved excellent reliability (α &gt; 0.79), superior to other paradigms. Conclusions: The visual conjunction search task appears to be a highly reliable method for assessing alcohol-related attentional bias, and shows that heavy social drinkers prioritize alcoholic cues in their immediate environment.","author":[{"dropping-particle":"","family":"Pennington","given":"Charlotte R.","non-dropping-particle":"","parse-names":false,"suffix":""},{"dropping-particle":"","family":"Shaw","given":"Daniel J.","non-dropping-particle":"","parse-names":false,"suffix":""},{"dropping-particle":"","family":"Adams","given":"Jennifer","non-dropping-particle":"","parse-names":false,"suffix":""},{"dropping-particle":"","family":"Kavanagh","given":"Phoebe","non-dropping-particle":"","parse-names":false,"suffix":""},{"dropping-particle":"","family":"Reed","given":"Holly","non-dropping-particle":"","parse-names":false,"suffix":""},{"dropping-particle":"","family":"Robinson","given":"Madeleine","non-dropping-particle":"","parse-names":false,"suffix":""},{"dropping-particle":"","family":"Shave","given":"Emily","non-dropping-particle":"","parse-names":false,"suffix":""},{"dropping-particle":"","family":"White","given":"Hollie","non-dropping-particle":"","parse-names":false,"suffix":""}],"container-title":"Addiction","id":"ITEM-2","issue":"9","issued":{"date-parts":[["2020"]]},"page":"1650-1659","title":"Where's the wine? Heavy social drinkers show attentional bias towards alcohol in a visual conjunction search task","type":"article-journal","volume":"115"},"uris":["http://www.mendeley.com/documents/?uuid=562d8561-63cc-443e-9173-9f3e8ec27161"]},{"id":"ITEM-3","itemData":{"DOI":"10.1016/j.addbeh.2019.106117","ISSN":"18736327","PMID":"31522132","abstract":"Cognitive -motivational models point to attention bias (AB) as an important factor in the persistence of problematic drinking behavior. Unfortunately, the measures that have been used to examine AB in addiction typically showed poor psychometric properties. To bring research on AB a critical step further it would be crucial to develop tasks with acceptable reliability and construct validity. Recently, Lazarov and colleagues (2016) developed a multi-stimulus free-viewing task (participants were free to look at any part of the screen and there was no secondary task involved) that showed excellent psychometric properties in the context of social anxiety as well as depression. We, therefore, adapted this task and examined its psychometric quality within the context of alcohol use. Participants with varying levels of alcohol use (N = 100) were presented with 54 matrices each containing 8 alcoholic and 8 non-alcoholic drinks. Each matrix was presented for 6 s. First fixation (100 ms) location and latency and total dwell time were assessed for alcohol and soda pictures. Assessment of AB, craving, and alcohol use (problems) was repeated after 3–8 days. Specifically, the dwell-time based AB-measure showed excellent internal reliability and considerable stability. Supporting the validity of the current AB-measures, it was found that participants with higher scores on craving and alcohol problems (i) dwelt longer on alcohol stimuli, and (ii) more often showed a first fixation on alcohol, whereas (iii) stronger craving was associated with shorter latency of first alcohol fixations. The AB-measure showed promising psychometric properties. Thus, this free-viewing eye-tracking task seems a welcome new tool for being used in future research on AB in addiction.","author":[{"dropping-particle":"","family":"Soleymani","given":"Ali","non-dropping-particle":"","parse-names":false,"suffix":""},{"dropping-particle":"","family":"Ivanov","given":"Yavor","non-dropping-particle":"","parse-names":false,"suffix":""},{"dropping-particle":"","family":"Mathot","given":"Sebastiaan","non-dropping-particle":"","parse-names":false,"suffix":""},{"dropping-particle":"","family":"Jong","given":"Peter J.","non-dropping-particle":"de","parse-names":false,"suffix":""}],"container-title":"Addictive Behaviors","id":"ITEM-3","issue":"May 2019","issued":{"date-parts":[["2020"]]},"page":"106117","publisher":"Elsevier","title":"Free-viewing multi-stimulus eye tracking task to index attention bias for alcohol versus soda cues: Satisfactory reliability and criterion validity","type":"article-journal","volume":"100"},"uris":["http://www.mendeley.com/documents/?uuid=9b2eea61-5a97-4976-85dd-45b9588ff316"]},{"id":"ITEM-4","itemData":{"DOI":"10.1016/j.brat.2021.103805","ISSN":"1873622X","abstract":"Cognitive models contend that attentional bias to negative information contributes to elevated anxiety vulnerability and dysfunction. The most common approach for assessing such bias is the attentional probe task. In this task, participants are presented with stimulus pairs, usually comprising a negative and benign member. A single visual probe subsequently appears in the locus where either stimulus was displayed, and remains on-screen until the participant identifies it. Attentional distribution is inferred from relative speed to identify probes in the location of each stimulus. Recently, investigators have raised concerns about the psychometric reliability of this attentional probe task as a measure of attentional bias, and have called for the development of new tasks with the capacity to more reliably assess variation in biased attentional responding to target stimuli. In response to this call, we report the development of a new dual probe attentional assessment approach, in which two probes are briefly presented on each trial, and attentional distribution is inferred from relative accuracy to identify probes appearing in each screen location. Across four studies, we show that this dual probe approach demonstrates much higher psychometric reliability than the single probe task, and can sensitively detect anxiety-linked attentional bias to negative information.","author":[{"dropping-particle":"","family":"Grafton","given":"Ben","non-dropping-particle":"","parse-names":false,"suffix":""},{"dropping-particle":"","family":"Teng","given":"Stephanie","non-dropping-particle":"","parse-names":false,"suffix":""},{"dropping-particle":"","family":"MacLeod","given":"Colin","non-dropping-particle":"","parse-names":false,"suffix":""}],"container-title":"Behaviour Research and Therapy","id":"ITEM-4","issue":"January","issued":{"date-parts":[["2021"]]},"page":"103805","publisher":"Elsevier Ltd","title":"Two probes and better than one: Development of a psychometrically reliable variant of the attentional probe task","type":"article-journal","volume":"138"},"uris":["http://www.mendeley.com/documents/?uuid=2e2abe06-405c-495e-8064-d30dd1c6f450"]},{"id":"ITEM-5","itemData":{"DOI":"10.3389/fpsyg.2021.630461","author":[{"dropping-particle":"","family":"Heitmann","given":"Janika","non-dropping-particle":"","parse-names":false,"suffix":""},{"dropping-particle":"","family":"Jonker","given":"Nienke C","non-dropping-particle":"","parse-names":false,"suffix":""},{"dropping-particle":"De","family":"Jong","given":"Peter J","non-dropping-particle":"","parse-names":false,"suffix":""},{"dropping-particle":"","family":"Gladwin","given":"Thomas Edward","non-dropping-particle":"","parse-names":false,"suffix":""}],"container-title":"Frontiers in Psychology","id":"ITEM-5","issue":"February","issued":{"date-parts":[["2021"]]},"page":"1-11","title":"A Promising Candidate to Reliably Index Attentional Bias Toward Alcohol Cues – An Adapted Odd-One-Out Visual Search Task","type":"article-journal","volume":"12"},"uris":["http://www.mendeley.com/documents/?uuid=31b9d48a-aae7-4901-b89d-f4cca1371f20"]},{"id":"ITEM-6","itemData":{"DOI":"10.1037/adb0000414","ISSN":"19391501","PMID":"30475013","abstract":"The visual probe task (VPT) is a computerized task used to measure attentional bias to substancerelated stimuli. Little research has examined the psychometric properties of the VPT, despite concerns it demonstrates poor test'retest reliability and internal consistency. These issues can reduce confidence in inferences based on VPT performance. As such, we attempted to identify parameters under which the reliability of the alcohol VPT might be improved by applying recent empirical recommendations for outlier handling, bias calculation, and task design from the anxiety literature. We reanalyzed data from 3 previously published studies in our laboratory and 2 newly collected data sets. We compared tasks which presented images on the left/right of the screen to above/below, whether participants responded to the location or content of the probe, and whether general alcohol-related images or images personalized to the individual were used. In each VPT we also applied a priori outlier removal (2 and 3 standard deviations and median absolute difference) and data-driven outlier removal (winsorizing), in addition to calculating trial-level bias scores. Across all studies and tasks internal consistency and test'retest reliability of attentional bias measures were inadequate. There was no consistent improvement in internal consistency or test'retest reliability as a function of outlier removal methods. We were unable to demonstrate adequate reliability of the alcohol VPT, which further supports observations that these tasks may not yield reliable measures. Future research should focus on improving the reliability of these tasks or abandoning them in favor of more reliable alternatives.","author":[{"dropping-particle":"","family":"Jones","given":"Andrew","non-dropping-particle":"","parse-names":false,"suffix":""},{"dropping-particle":"","family":"Christiansen","given":"Paul","non-dropping-particle":"","parse-names":false,"suffix":""},{"dropping-particle":"","family":"Field","given":"Matt","non-dropping-particle":"","parse-names":false,"suffix":""}],"container-title":"Psychology of Addictive Behaviors","id":"ITEM-6","issue":"8","issued":{"date-parts":[["2018"]]},"page":"922-932","title":"Failed Attempts to Improve the Reliability of the Alcohol Visual Probe Task Following Empirical Recommendations","type":"article-journal","volume":"32"},"uris":["http://www.mendeley.com/documents/?uuid=a035d482-cc55-4632-a4d4-6d99ecac2feb"]},{"id":"ITEM-7","itemData":{"DOI":"10.1016/j.bpsc.2020.05.004","ISSN":"24519030","PMID":"32605726","author":[{"dropping-particle":"","family":"Hedge","given":"Craig","non-dropping-particle":"","parse-names":false,"suffix":""},{"dropping-particle":"","family":"Bompas","given":"Aline","non-dropping-particle":"","parse-names":false,"suffix":""},{"dropping-particle":"","family":"Sumner","given":"Petroc","non-dropping-particle":"","parse-names":false,"suffix":""}],"container-title":"Biological Psychiatry: Cognitive Neuroscience and Neuroimaging","id":"ITEM-7","issue":"9","issued":{"date-parts":[["2020"]]},"page":"837-839","publisher":"Society of Biological Psychiatry","title":"Task Reliability Considerations in Computational Psychiatry","type":"article-journal","volume":"5"},"uris":["http://www.mendeley.com/documents/?uuid=c6f96616-9db1-4a54-bb7f-eb18d9701cba"]}],"mendeley":{"formattedCitation":"(18,42,58,61,70–72)","plainTextFormattedCitation":"(18,42,58,61,70–72)","previouslyFormattedCitation":"(18,42,58,61,70–72)"},"properties":{"noteIndex":0},"schema":"https://github.com/citation-style-language/schema/raw/master/csl-citation.json"}</w:instrText>
            </w:r>
            <w:r w:rsidRPr="0041550F">
              <w:rPr>
                <w:rFonts w:ascii="Times New Roman" w:hAnsi="Times New Roman" w:cs="Times New Roman"/>
                <w:sz w:val="20"/>
                <w:szCs w:val="20"/>
              </w:rPr>
              <w:fldChar w:fldCharType="separate"/>
            </w:r>
            <w:r w:rsidR="00CF7500" w:rsidRPr="0041550F">
              <w:rPr>
                <w:rFonts w:ascii="Times New Roman" w:hAnsi="Times New Roman" w:cs="Times New Roman"/>
                <w:noProof/>
                <w:sz w:val="20"/>
                <w:szCs w:val="20"/>
              </w:rPr>
              <w:t>(18,42,58,61,70–72)</w:t>
            </w:r>
            <w:r w:rsidRPr="0041550F">
              <w:rPr>
                <w:rFonts w:ascii="Times New Roman" w:hAnsi="Times New Roman" w:cs="Times New Roman"/>
                <w:sz w:val="20"/>
                <w:szCs w:val="20"/>
              </w:rPr>
              <w:fldChar w:fldCharType="end"/>
            </w:r>
          </w:p>
          <w:p w14:paraId="4F3B4EDC" w14:textId="77777777" w:rsidR="005F067D" w:rsidRPr="0041550F" w:rsidRDefault="005F067D" w:rsidP="005F067D">
            <w:pPr>
              <w:rPr>
                <w:rFonts w:ascii="Times New Roman" w:hAnsi="Times New Roman" w:cs="Times New Roman"/>
                <w:sz w:val="20"/>
                <w:szCs w:val="20"/>
              </w:rPr>
            </w:pPr>
          </w:p>
          <w:p w14:paraId="314D2D15" w14:textId="77777777" w:rsidR="005F067D" w:rsidRPr="0041550F" w:rsidRDefault="005F067D" w:rsidP="005F067D">
            <w:pPr>
              <w:rPr>
                <w:rFonts w:ascii="Times New Roman" w:hAnsi="Times New Roman" w:cs="Times New Roman"/>
                <w:sz w:val="20"/>
                <w:szCs w:val="20"/>
              </w:rPr>
            </w:pPr>
          </w:p>
        </w:tc>
      </w:tr>
      <w:tr w:rsidR="00CB3871" w:rsidRPr="0041550F" w14:paraId="5BBAA541" w14:textId="77777777" w:rsidTr="004C71DC">
        <w:trPr>
          <w:trHeight w:val="1544"/>
        </w:trPr>
        <w:tc>
          <w:tcPr>
            <w:tcW w:w="1489" w:type="dxa"/>
            <w:shd w:val="clear" w:color="auto" w:fill="FFFFFF" w:themeFill="background1"/>
          </w:tcPr>
          <w:p w14:paraId="10C81A38"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59264" behindDoc="0" locked="0" layoutInCell="1" allowOverlap="1" wp14:anchorId="20A0C619" wp14:editId="6D96603E">
                  <wp:simplePos x="0" y="0"/>
                  <wp:positionH relativeFrom="column">
                    <wp:posOffset>93345</wp:posOffset>
                  </wp:positionH>
                  <wp:positionV relativeFrom="paragraph">
                    <wp:posOffset>110794</wp:posOffset>
                  </wp:positionV>
                  <wp:extent cx="619200" cy="619200"/>
                  <wp:effectExtent l="0" t="0" r="0" b="0"/>
                  <wp:wrapSquare wrapText="bothSides"/>
                  <wp:docPr id="1" name="Graphic 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watch.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Measures</w:t>
            </w:r>
          </w:p>
        </w:tc>
        <w:tc>
          <w:tcPr>
            <w:tcW w:w="4890" w:type="dxa"/>
            <w:shd w:val="clear" w:color="auto" w:fill="FFFFFF" w:themeFill="background1"/>
            <w:vAlign w:val="center"/>
          </w:tcPr>
          <w:p w14:paraId="67A298CE"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Justify choice of measures according to established consensus.</w:t>
            </w:r>
          </w:p>
          <w:p w14:paraId="63CCF518" w14:textId="7777777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Explicitly acknowledge the limitations of certain indices.</w:t>
            </w:r>
          </w:p>
        </w:tc>
        <w:tc>
          <w:tcPr>
            <w:tcW w:w="3669" w:type="dxa"/>
            <w:shd w:val="clear" w:color="auto" w:fill="FFFFFF" w:themeFill="background1"/>
          </w:tcPr>
          <w:p w14:paraId="48E386E4" w14:textId="77777777" w:rsidR="005F067D" w:rsidRPr="0041550F" w:rsidRDefault="005F067D" w:rsidP="005F067D">
            <w:pPr>
              <w:spacing w:before="20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Pr="0041550F">
              <w:rPr>
                <w:rFonts w:ascii="Times New Roman" w:hAnsi="Times New Roman" w:cs="Times New Roman"/>
                <w:sz w:val="20"/>
                <w:szCs w:val="20"/>
              </w:rPr>
              <w:instrText>ADDIN CSL_CITATION {"citationItems":[{"id":"ITEM-1","itemData":{"DOI":"10.1037/bul0000192","ISSN":"00332909","PMID":"30896187","abstract":"Reaction time is believed to be a good indicator of the speed and efficiency of mental processes and is a ubiquitous variable in the behavioral sciences. Despite this popularity, there are numerous issues associated with using reaction time (RT), specifically in differential and developmental research. Here, we identify and focus on two main problems-unreliability and sensitivity to speed-accuracy interactions. The use of difference scores is a primary factor that leads to many RT measures having demonstrably low reliability, and RT measures in general often do not properly account for speed-accuracy interactions. Both factors jeopardize the validity and interpretability of results based on RT. Here, we evaluate conceptually and empirically how these issues affect individual differences research. Although the empirical evidence we provide are primarily within the domains of attention control and task switching, we highlight examples from various other areas of psychological inquiry. We also discuss many of the statistical and methodological alternatives available to researchers conducting correlational studies. Ultimately, we encourage researchers comparing individuals of differing cognitive and developmental levels to strongly consider using these alternatives in lieu of RT, specifically RT difference scores.","author":[{"dropping-particle":"","family":"Draheim","given":"Christopher","non-dropping-particle":"","parse-names":false,"suffix":""},{"dropping-particle":"","family":"Mashburn","given":"Cody A.","non-dropping-particle":"","parse-names":false,"suffix":""},{"dropping-particle":"","family":"Martin","given":"Jessie D.","non-dropping-particle":"","parse-names":false,"suffix":""},{"dropping-particle":"","family":"Engle","given":"Randall W.","non-dropping-particle":"","parse-names":false,"suffix":""}],"container-title":"Psychological Bulletin","id":"ITEM-1","issue":"5","issued":{"date-parts":[["2019"]]},"page":"508-535","title":"Reaction time in differential and developmental research: A review and commentary on the problems and alternatives","type":"article-journal","volume":"145"},"uris":["http://www.mendeley.com/documents/?uuid=98bf3dfc-5c42-4be7-be0e-33e24dfbe99f"]},{"id":"ITEM-2","itemData":{"DOI":"10.1037/bul0000164","ISSN":"00332909","PMID":"30265012","abstract":"The underpinning assumption of much research on cognitive individual differences (or group differences) is that task performance indexes cognitive ability in that domain. In many tasks performance is measured by differences (costs) between conditions, which are widely assumed to index a psychological process of interest rather than extraneous factors such as speed-accuracy trade-offs (e.g., Stroop, implicit association task, lexical decision, antisaccade, Simon, Navon, flanker, and task switching). Relatedly, reaction time (RT) costs or error costs are interpreted similarly and used interchangeably in the literature. All of this assumes a strong correlation between RT-costs and error-costs from the same psychological effect. We conducted a metaanalysis to test this, with 114 effects across a range of well-known tasks. Counterintuitively, we found a general pattern of weak, and often no, association between RT and error costs (mean r = .17, range -.45 to .78). This general problem is accounted for by the theoretical framework of evidence accumulation models, which capture individual differences in (at least) 2 distinct ways. Differences affecting accumulation rate produce positive correlation. But this is cancelled out if individuals also differ in response threshold, which produces negative correlations. In the models, subtractions between conditions do not isolate processing costs from caution. To demonstrate the explanatory power of synthesizing the traditional subtraction method within a broader decision model framework, we confirm 2 predictions with new data. Thus, using error costs or RT costs is more than a pragmatic choice; the decision carries theoretical consequence that can be understood through the accumulation model framework.","author":[{"dropping-particle":"","family":"Hedge","given":"Craig","non-dropping-particle":"","parse-names":false,"suffix":""},{"dropping-particle":"","family":"Powell","given":"Georgina","non-dropping-particle":"","parse-names":false,"suffix":""},{"dropping-particle":"","family":"Bompas","given":"Aline","non-dropping-particle":"","parse-names":false,"suffix":""},{"dropping-particle":"","family":"Vivian-Griffiths","given":"Solveiga","non-dropping-particle":"","parse-names":false,"suffix":""},{"dropping-particle":"","family":"Sumner","given":"Petroc","non-dropping-particle":"","parse-names":false,"suffix":""}],"container-title":"Psychological Bulletin","id":"ITEM-2","issue":"11","issued":{"date-parts":[["2018"]]},"page":"1200-1227","title":"Low and variable correlation between reaction time costs and accuracy costs explained by accumulation models: Meta-analysis and simulations","type":"article-journal","volume":"144"},"uris":["http://www.mendeley.com/documents/?uuid=20dccf43-8a73-4014-89e3-500b6188aa5d"]},{"id":"ITEM-3","itemData":{"DOI":"10.3758/s13423-013-0404-5","ISSN":"10699384","PMID":"23955122","abstract":"We used a general stage-based model of reaction time (RT) to investigate the psychometric properties of mean RTs and experimental effect sizes (i.e., differences in mean RTs). Using the model, formulas were derived for the reliabilities of mean RTs and RT difference scores, and these formulas provide guidance about the number of trials per participant needed to obtain reliable estimates of these measures. In addition, formulas were derived for various different types of correlations computed in RT research (e.g., correlations between a mean RT and an external non-RT measure, between two mean RTs, between a mean RT and an RT effect size). The analysis revealed that observed RT-based correlations depend on many parameters of the underlying processes contributing to RT. We conclude that these correlations often fail to support the inferences drawn from them and that their proper interpretation is far more complex than is generally acknowledged. © 2013 Psychonomic Society, Inc.","author":[{"dropping-particle":"","family":"Miller","given":"Jeff","non-dropping-particle":"","parse-names":false,"suffix":""},{"dropping-particle":"","family":"Ulrich","given":"Rolf","non-dropping-particle":"","parse-names":false,"suffix":""}],"container-title":"Psychonomic Bulletin and Review","id":"ITEM-3","issue":"5","issued":{"date-parts":[["2013"]]},"page":"819-858","title":"Mental chronometry and individual differences: Modeling reliabilities and correlations of reaction time means and effect sizes","type":"article-journal","volume":"20"},"uris":["http://www.mendeley.com/documents/?uuid=f7a2017d-46d9-4efa-88ed-79ae03c09fbc"]},{"id":"ITEM-4","itemData":{"DOI":"10.3389/fnins.2014.00150","ISSN":"1662453X","abstract":"There are few behavioral effects as ubiquitous as the speed-accuracy tradeoff (SAT). From insects to rodents to primates, the tendency for decision speed to covary with decision accuracy seems an inescapable property of choice behavior. Recently, the SAT has received renewed interest, as neuroscience approaches begin to uncover its neural underpinnings and computational models are compelled to incorporate it as a necessary benchmark. The present work provides a comprehensive overview of SAT. First, I trace its history as a tractable behavioral phenomenon and the role it has played in shaping mathematical descriptions of the decision process. Second, I present a \"users guide\" of SAT methodology, including a critical review of common experimental manipulations and analysis techniques and a treatment of the typical behavioral patterns that emerge when SAT is manipulated directly. Finally, I review applications of this methodology in several domains. © 2014 Heitz.","author":[{"dropping-particle":"","family":"Heitz","given":"Richard P.","non-dropping-particle":"","parse-names":false,"suffix":""}],"container-title":"Frontiers in Neuroscience","id":"ITEM-4","issue":"8 JUN","issued":{"date-parts":[["2014"]]},"page":"1-19","title":"The speed-accuracy tradeoff: History, physiology, methodology, and behavior","type":"article-journal","volume":"8"},"uris":["http://www.mendeley.com/documents/?uuid=d32677f1-0362-4a39-9d39-028503a7c628"]},{"id":"ITEM-5","itemData":{"ISBN":"9789896540821","ISSN":"00223530","PMID":"25246403","abstract":"Predicting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approach.","author":[{"dropping-particle":"","family":"Bastian","given":"Caludia C.","non-dropping-particle":"von","parse-names":false,"suffix":""},{"dropping-particle":"","family":"Blais","given":"Chris","non-dropping-particle":"","parse-names":false,"suffix":""},{"dropping-particle":"","family":"Brewer","given":"Gene A.","non-dropping-particle":"","parse-names":false,"suffix":""},{"dropping-particle":"","family":"Gyukovics","given":"Máté","non-dropping-particle":"","parse-names":false,"suffix":""},{"dropping-particle":"","family":"Hedge","given":"Craig","non-dropping-particle":"","parse-names":false,"suffix":""},{"dropping-particle":"","family":"Kałamała","given":"Patrycja","non-dropping-particle":"","parse-names":false,"suffix":""},{"dropping-particle":"","family":"Meier","given":"Matt E.","non-dropping-particle":"","parse-names":false,"suffix":""},{"dropping-particle":"","family":"Oberauer","given":"Klaus","non-dropping-particle":"","parse-names":false,"suffix":""},{"dropping-particle":"","family":"Rey-Mermet","given":"Alodie","non-dropping-particle":"","parse-names":false,"suffix":""},{"dropping-particle":"","family":"Rouder","given":"Jeffrey N.","non-dropping-particle":"","parse-names":false,"suffix":""},{"dropping-particle":"","family":"Souza","given":"Alessandra S.","non-dropping-particle":"","parse-names":false,"suffix":""},{"dropping-particle":"","family":"Bartsch","given":"Lea M.","non-dropping-particle":"","parse-names":false,"suffix":""},{"dropping-particle":"","family":"Conway","given":"Andrew R.","non-dropping-particle":"","parse-names":false,"suffix":""},{"dropping-particle":"","family":"Draheim","given":"Christopher","non-dropping-particle":"","parse-names":false,"suffix":""},{"dropping-particle":"","family":"Engle","given":"Randall W.","non-dropping-particle":"","parse-names":false,"suffix":""},{"dropping-particle":"","family":"Friedman","given":"Naomi P.","non-dropping-particle":"","parse-names":false,"suffix":""},{"dropping-particle":"","family":"Frischkorn","given":"Gidon T.","non-dropping-particle":"","parse-names":false,"suffix":""},{"dropping-particle":"","family":"Gustavon","given":"Daniel E.","non-dropping-particle":"","parse-names":false,"suffix":""},{"dropping-particle":"","family":"Koch","given":"Iring","non-dropping-particle":"","parse-names":false,"suffix":""},{"dropping-particle":"","family":"Redick","given":"Thomas S.","non-dropping-particle":"","parse-names":false,"suffix":""},{"dropping-particle":"","family":"Smeekens","given":"Bridget A.","non-dropping-particle":"","parse-names":false,"suffix":""},{"dropping-particle":"","family":"Whitehead","given":"Peter S.","non-dropping-particle":"","parse-names":false,"suffix":""},{"dropping-particle":"","family":"Wiemers","given":"Elizabeth A.","non-dropping-particle":"","parse-names":false,"suffix":""}],"id":"ITEM-5","issued":{"date-parts":[["2020"]]},"title":"Advancing the understanding of individual differences in attentional control: Theoretical, methodological, and analytical considerations","type":"article-journal"},"uris":["http://www.mendeley.com/documents/?uuid=1c8bdd8e-5846-438f-b575-e3ecb8c64beb"]}],"mendeley":{"formattedCitation":"(17,47–50)","plainTextFormattedCitation":"(17,47–50)","previouslyFormattedCitation":"(17,47–50)"},"properties":{"noteIndex":0},"schema":"https://github.com/citation-style-language/schema/raw/master/csl-citation.json"}</w:instrText>
            </w:r>
            <w:r w:rsidRPr="0041550F">
              <w:rPr>
                <w:rFonts w:ascii="Times New Roman" w:hAnsi="Times New Roman" w:cs="Times New Roman"/>
                <w:sz w:val="20"/>
                <w:szCs w:val="20"/>
              </w:rPr>
              <w:fldChar w:fldCharType="separate"/>
            </w:r>
            <w:r w:rsidRPr="0041550F">
              <w:rPr>
                <w:rFonts w:ascii="Times New Roman" w:hAnsi="Times New Roman" w:cs="Times New Roman"/>
                <w:noProof/>
                <w:sz w:val="20"/>
                <w:szCs w:val="20"/>
              </w:rPr>
              <w:t>(17,47–50)</w:t>
            </w:r>
            <w:r w:rsidRPr="0041550F">
              <w:rPr>
                <w:rFonts w:ascii="Times New Roman" w:hAnsi="Times New Roman" w:cs="Times New Roman"/>
                <w:sz w:val="20"/>
                <w:szCs w:val="20"/>
              </w:rPr>
              <w:fldChar w:fldCharType="end"/>
            </w:r>
          </w:p>
        </w:tc>
      </w:tr>
      <w:tr w:rsidR="00CB3871" w:rsidRPr="0041550F" w14:paraId="20222910" w14:textId="77777777" w:rsidTr="004C71DC">
        <w:trPr>
          <w:trHeight w:val="1540"/>
        </w:trPr>
        <w:tc>
          <w:tcPr>
            <w:tcW w:w="1489" w:type="dxa"/>
            <w:shd w:val="clear" w:color="auto" w:fill="E7E6E6" w:themeFill="background2"/>
          </w:tcPr>
          <w:p w14:paraId="226292F2" w14:textId="77777777" w:rsidR="005F067D" w:rsidRPr="0041550F" w:rsidRDefault="005F067D" w:rsidP="005F067D">
            <w:pPr>
              <w:jc w:val="center"/>
              <w:rPr>
                <w:rFonts w:ascii="Times New Roman" w:hAnsi="Times New Roman" w:cs="Times New Roman"/>
                <w:b/>
                <w:bCs/>
              </w:rPr>
            </w:pPr>
            <w:r w:rsidRPr="0041550F">
              <w:rPr>
                <w:rFonts w:ascii="Times New Roman" w:hAnsi="Times New Roman" w:cs="Times New Roman"/>
                <w:b/>
                <w:bCs/>
                <w:noProof/>
              </w:rPr>
              <w:drawing>
                <wp:anchor distT="0" distB="0" distL="114300" distR="114300" simplePos="0" relativeHeight="251660288" behindDoc="0" locked="0" layoutInCell="1" allowOverlap="1" wp14:anchorId="6C9092B0" wp14:editId="1029770F">
                  <wp:simplePos x="0" y="0"/>
                  <wp:positionH relativeFrom="column">
                    <wp:posOffset>94615</wp:posOffset>
                  </wp:positionH>
                  <wp:positionV relativeFrom="paragraph">
                    <wp:posOffset>83489</wp:posOffset>
                  </wp:positionV>
                  <wp:extent cx="619200" cy="619200"/>
                  <wp:effectExtent l="0" t="0" r="0" b="0"/>
                  <wp:wrapSquare wrapText="bothSides"/>
                  <wp:docPr id="12" name="Graphic 12" descr="Bar graph with down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downwardtrend_lt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noProof/>
              </w:rPr>
              <w:t>A</w:t>
            </w:r>
            <w:proofErr w:type="spellStart"/>
            <w:r w:rsidRPr="0041550F">
              <w:rPr>
                <w:rFonts w:ascii="Times New Roman" w:hAnsi="Times New Roman" w:cs="Times New Roman"/>
                <w:b/>
                <w:bCs/>
              </w:rPr>
              <w:t>nalysis</w:t>
            </w:r>
            <w:proofErr w:type="spellEnd"/>
          </w:p>
        </w:tc>
        <w:tc>
          <w:tcPr>
            <w:tcW w:w="4890" w:type="dxa"/>
            <w:shd w:val="clear" w:color="auto" w:fill="E7E6E6" w:themeFill="background2"/>
            <w:vAlign w:val="center"/>
          </w:tcPr>
          <w:p w14:paraId="3AAC09B5" w14:textId="7B513609" w:rsidR="00FA3F8D" w:rsidRPr="0041550F" w:rsidRDefault="005F067D" w:rsidP="00FA3F8D">
            <w:pPr>
              <w:pStyle w:val="ListParagraph"/>
              <w:numPr>
                <w:ilvl w:val="0"/>
                <w:numId w:val="4"/>
              </w:numPr>
              <w:ind w:left="246" w:hanging="283"/>
              <w:rPr>
                <w:rFonts w:ascii="Times New Roman" w:hAnsi="Times New Roman" w:cs="Times New Roman"/>
                <w:sz w:val="20"/>
                <w:szCs w:val="20"/>
              </w:rPr>
            </w:pPr>
            <w:r w:rsidRPr="0041550F">
              <w:rPr>
                <w:rFonts w:ascii="Times New Roman" w:hAnsi="Times New Roman" w:cs="Times New Roman"/>
                <w:sz w:val="20"/>
                <w:szCs w:val="20"/>
              </w:rPr>
              <w:t>Include complementary analysis techniques (e.g., modelling) that can afford greater reliability and offer new insights.</w:t>
            </w:r>
          </w:p>
        </w:tc>
        <w:tc>
          <w:tcPr>
            <w:tcW w:w="3669" w:type="dxa"/>
            <w:shd w:val="clear" w:color="auto" w:fill="E7E6E6" w:themeFill="background2"/>
          </w:tcPr>
          <w:p w14:paraId="74FD3CA4" w14:textId="630087DE" w:rsidR="005F067D" w:rsidRPr="0041550F" w:rsidRDefault="005F067D" w:rsidP="005F067D">
            <w:pPr>
              <w:spacing w:before="420"/>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DD59D7" w:rsidRPr="0041550F">
              <w:rPr>
                <w:rFonts w:ascii="Times New Roman" w:hAnsi="Times New Roman" w:cs="Times New Roman"/>
                <w:sz w:val="20"/>
                <w:szCs w:val="20"/>
              </w:rPr>
              <w:instrText>ADDIN CSL_CITATION {"citationItems":[{"id":"ITEM-1","itemData":{"DOI":"10.3758/s13423-017-1417-2","ISBN":"1342301714","ISSN":"15315320","PMID":"29450793","abstract":"Most data analyses rely on models. To complement statistical models, psychologists have developed cognitive models, which translate observed variables into psychologically interesting constructs. Response time models, in particular, assume that response time and accuracy are the observed expression of latent variables including 1) ease of processing, 2) response caution, 3) response bias, and 4) non-decision time. Inferences about these psychological factors, hinge upon the validity of the models’ parameters. Here, we use a blinded, collaborative approach to assess the validity of such model-based inferences. Seventeen teams of researchers analyzed the same 14 data sets. In each of these two-condition data sets, we manipulated properties of participants’ behavior in a two-alternative forced choice task. The contributing teams were blind to the manipulations, and had to infer what aspect of behavior was changed using their method of choice. The contributors chose to employ a variety of models, estimation methods, and inference procedures. Our results show that, although conclusions were similar across different methods, these \"modeler’s degrees of freedom\" did affect their inferences. Interestingly, many of the simpler approaches yielded as robust and accurate inferences as the more complex methods. We recommend that, in general, cognitive models become a typical analysis tool for response time data. In particular, we argue that the simpler models and procedures are sufficient for standard experimental designs. We finish by outlining situations in which more complicated models and methods may be necessary, and discuss potential pitfalls when interpreting the output from response time models.","author":[{"dropping-particle":"","family":"Dutilh","given":"Gilles","non-dropping-particle":"","parse-names":false,"suffix":""},{"dropping-particle":"","family":"Annis","given":"Jeffrey","non-dropping-particle":"","parse-names":false,"suffix":""},{"dropping-particle":"","family":"Brown","given":"Scott D.","non-dropping-particle":"","parse-names":false,"suffix":""},{"dropping-particle":"","family":"Cassey","given":"Peter","non-dropping-particle":"","parse-names":false,"suffix":""},{"dropping-particle":"","family":"Evans","given":"Nathan J.","non-dropping-particle":"","parse-names":false,"suffix":""},{"dropping-particle":"","family":"Grasman","given":"Raoul P.P.P.","non-dropping-particle":"","parse-names":false,"suffix":""},{"dropping-particle":"","family":"Hawkins","given":"Guy E.","non-dropping-particle":"","parse-names":false,"suffix":""},{"dropping-particle":"","family":"Heathcote","given":"Andrew","non-dropping-particle":"","parse-names":false,"suffix":""},{"dropping-particle":"","family":"Holmes","given":"William R.","non-dropping-particle":"","parse-names":false,"suffix":""},{"dropping-particle":"","family":"Krypotos","given":"Angelos Miltiadis","non-dropping-particle":"","parse-names":false,"suffix":""},{"dropping-particle":"","family":"Kupitz","given":"Colin N.","non-dropping-particle":"","parse-names":false,"suffix":""},{"dropping-particle":"","family":"Leite","given":"Fábio P.","non-dropping-particle":"","parse-names":false,"suffix":""},{"dropping-particle":"","family":"Lerche","given":"Veronika","non-dropping-particle":"","parse-names":false,"suffix":""},{"dropping-particle":"","family":"Lin","given":"Yi Shin","non-dropping-particle":"","parse-names":false,"suffix":""},{"dropping-particle":"","family":"Logan","given":"Gordon D.","non-dropping-particle":"","parse-names":false,"suffix":""},{"dropping-particle":"","family":"Palmeri","given":"Thomas J.","non-dropping-particle":"","parse-names":false,"suffix":""},{"dropping-particle":"","family":"Starns","given":"Jeffrey J.","non-dropping-particle":"","parse-names":false,"suffix":""},{"dropping-particle":"","family":"Trueblood","given":"Jennifer S.","non-dropping-particle":"","parse-names":false,"suffix":""},{"dropping-particle":"","family":"Maanen","given":"Leendert","non-dropping-particle":"van","parse-names":false,"suffix":""},{"dropping-particle":"","family":"Ravenzwaaij","given":"Don","non-dropping-particle":"van","parse-names":false,"suffix":""},{"dropping-particle":"","family":"Vandekerckhove","given":"Joachim","non-dropping-particle":"","parse-names":false,"suffix":""},{"dropping-particle":"","family":"Visser","given":"Ingmar","non-dropping-particle":"","parse-names":false,"suffix":""},{"dropping-particle":"","family":"Voss","given":"Andreas","non-dropping-particle":"","parse-names":false,"suffix":""},{"dropping-particle":"","family":"White","given":"Corey N.","non-dropping-particle":"","parse-names":false,"suffix":""},{"dropping-particle":"V.","family":"Wiecki","given":"Thomas","non-dropping-particle":"","parse-names":false,"suffix":""},{"dropping-particle":"","family":"Rieskamp","given":"Jörg","non-dropping-particle":"","parse-names":false,"suffix":""},{"dropping-particle":"","family":"Donkin","given":"Chris","non-dropping-particle":"","parse-names":false,"suffix":""}],"container-title":"Psychonomic Bulletin and Review","id":"ITEM-1","issue":"4","issued":{"date-parts":[["2019"]]},"page":"1051-1069","title":"The Quality of Response Time Data Inference: A Blinded, Collaborative Assessment of the Validity of Cognitive Models","type":"article-journal","volume":"26"},"uris":["http://www.mendeley.com/documents/?uuid=5c35359e-f97f-4362-ba96-cb10e1164eed"]},{"id":"ITEM-2","itemData":{"DOI":"10.1177/1745691620970585","ISSN":"17456924","abstract":"Psychology endeavors to develop theories of human capacities and behaviors on the basis of a variety of methodologies and dependent measures. We argue that one of the most divisive factors in psychological science is whether researchers choose to use computational modeling of theories (over and above data) during the scientific-inference process. Modeling is undervalued yet holds promise for advancing psychological science. The inherent demands of computational modeling guide us toward better science by forcing us to conceptually analyze, specify, and formalize intuitions that otherwise remain unexamined—what we dub open theory. Constraining our inference process through modeling enables us to build explanatory and predictive theories. Here, we present scientific inference in psychology as a path function in which each step shapes the next. Computational modeling can constrain these steps, thus advancing scientific inference over and above the stewardship of experimental practice (e.g., preregistration). If psychology continues to eschew computational modeling, we predict more replicability crises and persistent failure at coherent theory building. This is because without formal modeling we lack open and transparent theorizing. We also explain how to formalize, specify, and implement a computational model, emphasizing that the advantages of modeling can be achieved by anyone with benefit to all.","author":[{"dropping-particle":"","family":"Guest","given":"Olivia","non-dropping-particle":"","parse-names":false,"suffix":""},{"dropping-particle":"","family":"Martin","given":"Andrea E.","non-dropping-particle":"","parse-names":false,"suffix":""}],"container-title":"Perspectives on Psychological Science","id":"ITEM-2","issued":{"date-parts":[["2021"]]},"title":"How Computational Modeling Can Force Theory Building in Psychological Science","type":"article-journal"},"uris":["http://www.mendeley.com/documents/?uuid=e1c342c7-a553-42c5-9caa-7b32fa948e64"]},{"id":"ITEM-3","itemData":{"DOI":"10.1162/neco.2008.12-06-420","ISSN":"08997667","PMID":"18085991","abstract":"The diffusion decision model allows detailed explanations of behavior in two-choice discrimination tasks. In this article, the model is reviewed to show how it translates behavioral data - accuracy, mean response times, and response time distributions-into components of cognitive processing. Three experiments are used to illustrate experimental manipulations of three components: stimulus difficulty affects the quality of information on which a decision is based; instructions emphasizing either speed or accuracy affect the criterial amounts of information that a subject requires before initiating a response; and the relative proportions of the two stimuli affect biases in drift rate and starting point. The experiments also illustrate the strong constraints that ensure the model is empirically testable and potentially falsifiable. The broad range of applications of the model is also reviewed, including research in the domains of aging and neurophysiology. © 2007 Massachusetts Institute of Technology.","author":[{"dropping-particle":"","family":"Ratcliff","given":"Roger","non-dropping-particle":"","parse-names":false,"suffix":""},{"dropping-particle":"","family":"McKoon","given":"Gail","non-dropping-particle":"","parse-names":false,"suffix":""}],"container-title":"Neural Computation","id":"ITEM-3","issue":"4","issued":{"date-parts":[["2008"]]},"page":"873-922","title":"The diffusion decision model: Theory and data for two-choice decision tasks","type":"article-journal","volume":"20"},"uris":["http://www.mendeley.com/documents/?uuid=835f1894-633c-4809-a9be-378cdf52c211"]},{"id":"ITEM-4","itemData":{"DOI":"doi:10.1016/j.tics.2016.01.007","author":[{"dropping-particle":"","family":"Ratcliff, Roger, Philip L. Smith, Scott D. Brown","given":"Gail McKoon","non-dropping-particle":"","parse-names":false,"suffix":""}],"container-title":"Trends in Cognitive Science","id":"ITEM-4","issue":"4","issued":{"date-parts":[["2016"]]},"page":"260–281","title":"Diffusion Decision Model: Current Issues and History","type":"article-journal","volume":"20"},"uris":["http://www.mendeley.com/documents/?uuid=b9d89d14-3420-44ab-97ff-75ef3f0f0ad6"]},{"id":"ITEM-5","itemData":{"DOI":"10.3758/s13428-020-01372-w","ISSN":"15543528","abstract":"Response time and accuracy are fundamental measures of behavioral science, but discerning participants’ underlying abilities can be masked by speed–accuracy trade-offs (SATOs). SATOs are often inadequately addressed in experiment analyses which focus on a single variable or which involve a suboptimal analytic correction. Models of decision-making, such as the drift diffusion model (DDM), provide a principled account of the decision-making process, allowing the recovery of SATO-unconfounded decision parameters from observed behavioral variables. For plausible parameters of a typical between-groups experiment, we simulate experimental data, for both real and null group differences in participants’ ability to discriminate stimuli (represented by differences in the drift rate parameter of the DDM used to generate the simulated data), for both systematic and null SATOs. We then use the DDM to fit the generated data. This allows the direct comparison of the specificity and sensitivity for testing of group differences of different measures (accuracy, reaction time, and the drift rate from the model fitting). Our purpose here is not to make a theoretical innovation in decision modeling, but to use established decision models to demonstrate and quantify the benefits of decision modeling for experimentalists. We show, in terms of reduction of required sample size, how decision modeling can allow dramatically more efficient data collection for set statistical power; we confirm and depict the non-linear speed–accuracy relation; and we show how accuracy can be a more sensitive measure than response time given decision parameters which reasonably reflect a typical experiment.","author":[{"dropping-particle":"","family":"Stafford","given":"Tom","non-dropping-particle":"","parse-names":false,"suffix":""},{"dropping-particle":"","family":"Pirrone","given":"Angelo","non-dropping-particle":"","parse-names":false,"suffix":""},{"dropping-particle":"","family":"Croucher","given":"Mike","non-dropping-particle":"","parse-names":false,"suffix":""},{"dropping-particle":"","family":"Krystalli","given":"Anna","non-dropping-particle":"","parse-names":false,"suffix":""}],"container-title":"Behavior Research Methods","id":"ITEM-5","issued":{"date-parts":[["2020"]]},"publisher":"Behavior Research Methods","title":"Quantifying the benefits of using decision models with response time and accuracy data","type":"article-journal"},"uris":["http://www.mendeley.com/documents/?uuid=c88706f0-a970-4df3-be35-7b914b336aeb"]},{"id":"ITEM-6","itemData":{"DOI":"doi: 10.1037/adb0000518","author":[{"dropping-particle":"","family":"Matt Field, Nick Heather, James G Murphy, Tom Stafford, Jalie A Tucker","given":"Katie Witkiewitz","non-dropping-particle":"","parse-names":false,"suffix":""}],"container-title":"Psychology of Addictive Behaviors","id":"ITEM-6","issue":"1","issued":{"date-parts":[["2020"]]},"page":"182-193","title":"Recovery from addiction: Behavioral economics and value-based decision making","type":"article-journal","volume":"34"},"uris":["http://www.mendeley.com/documents/?uuid=7f8cf366-6446-43ad-8537-600b26335f7c"]},{"id":"ITEM-7","itemData":{"DOI":"10.1007/s00426-016-0770-5","ISSN":"14302772","PMID":"27107855","abstract":"In the recent years, there is a growing interest to use the Ratcliff Diffusion Model (1978) for diagnostic purposes as the parameters of the model capture interindividual differences in specific cognitive processes. The parameters are estimated using reaction time data from binary classification tasks. For a potential diagnostic application of parameter values sufficient reliability is a necessary precondition. In two studies, each with two sessions separated by 1 week, the retest reliability of the diffusion model parameters was assessed. In Study 1, 105 participants completed a lexical decision task and a recognition memory task. In Study 2, 128 participants worked on an associative priming task. Results show that the reliability of the main parameters of the Ratcliff Diffusion Model (in particular of the speed of information accumulation and the threshold separation with rs &gt; 0.70 for all three tasks) is satisfying. Besides, we analyzed the influence of the number of trials on the retest reliability using different estimation methods (Kolmogorov–Smirnov, Maximum Likelihood, Chi-square and EZ) and both empirical and simulated datasets.","author":[{"dropping-particle":"","family":"Lerche","given":"Veronika","non-dropping-particle":"","parse-names":false,"suffix":""},{"dropping-particle":"","family":"Voss","given":"Andreas","non-dropping-particle":"","parse-names":false,"suffix":""}],"container-title":"Psychological Research","id":"ITEM-7","issue":"3","issued":{"date-parts":[["2017"]]},"page":"629-652","publisher":"Springer Berlin Heidelberg","title":"Retest reliability of the parameters of the Ratcliff diffusion model","type":"article-journal","volume":"81"},"uris":["http://www.mendeley.com/documents/?uuid=e3c01193-cdcb-4565-bdfe-aaa017b0071c"]},{"id":"ITEM-8","itemData":{"author":[{"dropping-particle":"","family":"Rebecca B. Price, Vanessa Brown","given":"Greg J. Siegle","non-dropping-particle":"","parse-names":false,"suffix":""}],"container-title":"Biological Psychiatry","id":"ITEM-8","issued":{"date-parts":[["2019"]]},"page":"606-612","title":"Computational modeling applied to the Dot-Probe Task yields improved reliability and mechanistic insights","type":"article-journal","volume":"85"},"uris":["http://www.mendeley.com/documents/?uuid=6fbe9566-15f8-4ab7-9d0c-1c0f72448756"]},{"id":"ITEM-9","itemData":{"DOI":"10.1037/neu0000320","ISSN":"19311559","PMID":"27732040","abstract":"Objective: Two-alternative forced-choice tasks are widely used to gain insight into specific areas of enhancement or impairment in individuals with autism spectrum disorder (ASD). Data arising from these tasks have been used to support myriad theories regarding the integrity, or otherwise, of particular brain areas or cognitive processes in ASD. The drift diffusion model (DDM) provides an account of the underlying processes which give rise to accuracy and reaction time (RT) distributions, and parameterizes these processes in terms which have direct psychological interpretation. Importantly, the DDM provides further insight into the origin of potential group differences in task performance. Here, for the first time, we used the DDM to investigate perceptual decision making in ASD. Method: Adults with (N = 25) and without ASD (N = 32) performed an orientation discrimination task. A drift diffusion model was applied to the full RT distributions. Results: Participants with ASD responded more slowly than controls, the groups did not differ in accuracy. Modeled parameters indicated that: (a) participants with ASD were more cautious than controls (wider boundary separation); (b) nondecision time was increased in ASD;and (c) the quality of evidence extracted from the stimulus (drift rate) did not vary between groups. Conclusions: Taking the behavioral data in isolation would suggest reduced perceptual sensitivity in ASD. However, DDM results indicated that despite response slowing, there was no evidence of differential perceptual sensitivity between participants with and without ASD. Future use of the DDM in investigations of perception and cognition in ASD is highly recommended.","author":[{"dropping-particle":"","family":"Pirrone","given":"Angelo","non-dropping-particle":"","parse-names":false,"suffix":""},{"dropping-particle":"","family":"Dickinson","given":"Abigail","non-dropping-particle":"","parse-names":false,"suffix":""},{"dropping-particle":"","family":"Gomez","given":"Rosanna","non-dropping-particle":"","parse-names":false,"suffix":""},{"dropping-particle":"","family":"Stafford","given":"Tom","non-dropping-particle":"","parse-names":false,"suffix":""},{"dropping-particle":"","family":"Milne","given":"Elizabeth","non-dropping-particle":"","parse-names":false,"suffix":""}],"container-title":"Neuropsychology","id":"ITEM-9","issue":"2","issued":{"date-parts":[["2017"]]},"page":"173-180","title":"Understanding perceptual judgment in autism spectrum disorder using the drift diffusion model","type":"article-journal","volume":"31"},"uris":["http://www.mendeley.com/documents/?uuid=d1ac08c9-ff26-4e26-8020-a8ef6159f435"]}],"mendeley":{"formattedCitation":"(51,73–80)","plainTextFormattedCitation":"(51,73–80)","previouslyFormattedCitation":"(51,73–80)"},"properties":{"noteIndex":0},"schema":"https://github.com/citation-style-language/schema/raw/master/csl-citation.json"}</w:instrText>
            </w:r>
            <w:r w:rsidRPr="0041550F">
              <w:rPr>
                <w:rFonts w:ascii="Times New Roman" w:hAnsi="Times New Roman" w:cs="Times New Roman"/>
                <w:sz w:val="20"/>
                <w:szCs w:val="20"/>
              </w:rPr>
              <w:fldChar w:fldCharType="separate"/>
            </w:r>
            <w:r w:rsidR="00934548" w:rsidRPr="0041550F">
              <w:rPr>
                <w:rFonts w:ascii="Times New Roman" w:hAnsi="Times New Roman" w:cs="Times New Roman"/>
                <w:noProof/>
                <w:sz w:val="20"/>
                <w:szCs w:val="20"/>
              </w:rPr>
              <w:t>(51,73–80)</w:t>
            </w:r>
            <w:r w:rsidRPr="0041550F">
              <w:rPr>
                <w:rFonts w:ascii="Times New Roman" w:hAnsi="Times New Roman" w:cs="Times New Roman"/>
                <w:sz w:val="20"/>
                <w:szCs w:val="20"/>
              </w:rPr>
              <w:fldChar w:fldCharType="end"/>
            </w:r>
          </w:p>
          <w:p w14:paraId="320C6241" w14:textId="77777777" w:rsidR="005F067D" w:rsidRPr="0041550F" w:rsidRDefault="005F067D" w:rsidP="005F067D">
            <w:pPr>
              <w:rPr>
                <w:rFonts w:ascii="Times New Roman" w:hAnsi="Times New Roman" w:cs="Times New Roman"/>
                <w:sz w:val="20"/>
                <w:szCs w:val="20"/>
              </w:rPr>
            </w:pPr>
          </w:p>
        </w:tc>
      </w:tr>
      <w:tr w:rsidR="00CB3871" w:rsidRPr="0041550F" w14:paraId="786F0895" w14:textId="77777777" w:rsidTr="00270C54">
        <w:trPr>
          <w:trHeight w:val="1400"/>
        </w:trPr>
        <w:tc>
          <w:tcPr>
            <w:tcW w:w="1489" w:type="dxa"/>
          </w:tcPr>
          <w:p w14:paraId="598E0F4C" w14:textId="77777777" w:rsidR="005F067D" w:rsidRPr="0041550F" w:rsidRDefault="005F067D" w:rsidP="005F067D">
            <w:pPr>
              <w:jc w:val="center"/>
              <w:rPr>
                <w:rFonts w:ascii="Times New Roman" w:hAnsi="Times New Roman" w:cs="Times New Roman"/>
                <w:b/>
                <w:bCs/>
                <w:noProof/>
              </w:rPr>
            </w:pPr>
            <w:r w:rsidRPr="0041550F">
              <w:rPr>
                <w:rFonts w:ascii="Times New Roman" w:hAnsi="Times New Roman" w:cs="Times New Roman"/>
                <w:b/>
                <w:bCs/>
                <w:noProof/>
              </w:rPr>
              <w:drawing>
                <wp:anchor distT="0" distB="0" distL="114300" distR="114300" simplePos="0" relativeHeight="251661312" behindDoc="0" locked="0" layoutInCell="1" allowOverlap="1" wp14:anchorId="33972ABF" wp14:editId="5F090AF0">
                  <wp:simplePos x="0" y="0"/>
                  <wp:positionH relativeFrom="column">
                    <wp:posOffset>97486</wp:posOffset>
                  </wp:positionH>
                  <wp:positionV relativeFrom="paragraph">
                    <wp:posOffset>140335</wp:posOffset>
                  </wp:positionV>
                  <wp:extent cx="619125" cy="619125"/>
                  <wp:effectExtent l="0" t="0" r="0" b="9525"/>
                  <wp:wrapSquare wrapText="bothSides"/>
                  <wp:docPr id="16" name="Graphic 1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Pr="0041550F">
              <w:rPr>
                <w:rFonts w:ascii="Times New Roman" w:hAnsi="Times New Roman" w:cs="Times New Roman"/>
                <w:b/>
                <w:bCs/>
              </w:rPr>
              <w:t>Disclosure</w:t>
            </w:r>
          </w:p>
        </w:tc>
        <w:tc>
          <w:tcPr>
            <w:tcW w:w="4890" w:type="dxa"/>
            <w:vAlign w:val="center"/>
          </w:tcPr>
          <w:p w14:paraId="39EDB133" w14:textId="77777777" w:rsidR="005F067D" w:rsidRPr="0041550F" w:rsidRDefault="005F067D" w:rsidP="005F067D">
            <w:pPr>
              <w:pStyle w:val="ListParagraph"/>
              <w:ind w:left="246" w:hanging="283"/>
              <w:rPr>
                <w:rFonts w:ascii="Times New Roman" w:hAnsi="Times New Roman" w:cs="Times New Roman"/>
                <w:sz w:val="20"/>
                <w:szCs w:val="20"/>
              </w:rPr>
            </w:pPr>
          </w:p>
          <w:p w14:paraId="6EB3BC27" w14:textId="68071657"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 xml:space="preserve">Report stimuli selection, </w:t>
            </w:r>
            <w:proofErr w:type="gramStart"/>
            <w:r w:rsidRPr="0041550F">
              <w:rPr>
                <w:rFonts w:ascii="Times New Roman" w:hAnsi="Times New Roman" w:cs="Times New Roman"/>
                <w:sz w:val="20"/>
                <w:szCs w:val="20"/>
              </w:rPr>
              <w:t>validation</w:t>
            </w:r>
            <w:proofErr w:type="gramEnd"/>
            <w:r w:rsidRPr="0041550F">
              <w:rPr>
                <w:rFonts w:ascii="Times New Roman" w:hAnsi="Times New Roman" w:cs="Times New Roman"/>
                <w:sz w:val="20"/>
                <w:szCs w:val="20"/>
              </w:rPr>
              <w:t xml:space="preserve"> and reliability</w:t>
            </w:r>
            <w:r w:rsidR="008D6521" w:rsidRPr="0041550F">
              <w:rPr>
                <w:rFonts w:ascii="Times New Roman" w:hAnsi="Times New Roman" w:cs="Times New Roman"/>
                <w:sz w:val="20"/>
                <w:szCs w:val="20"/>
              </w:rPr>
              <w:t xml:space="preserve"> as standard practice</w:t>
            </w:r>
            <w:r w:rsidRPr="0041550F">
              <w:rPr>
                <w:rFonts w:ascii="Times New Roman" w:hAnsi="Times New Roman" w:cs="Times New Roman"/>
                <w:sz w:val="20"/>
                <w:szCs w:val="20"/>
              </w:rPr>
              <w:t>.</w:t>
            </w:r>
          </w:p>
          <w:p w14:paraId="00462114" w14:textId="54F91DF2" w:rsidR="005F067D" w:rsidRPr="0041550F" w:rsidRDefault="005F067D" w:rsidP="005F067D">
            <w:pPr>
              <w:pStyle w:val="ListParagraph"/>
              <w:numPr>
                <w:ilvl w:val="0"/>
                <w:numId w:val="3"/>
              </w:numPr>
              <w:ind w:left="246" w:hanging="283"/>
              <w:rPr>
                <w:rFonts w:ascii="Times New Roman" w:hAnsi="Times New Roman" w:cs="Times New Roman"/>
                <w:sz w:val="20"/>
                <w:szCs w:val="20"/>
              </w:rPr>
            </w:pPr>
            <w:r w:rsidRPr="0041550F">
              <w:rPr>
                <w:rFonts w:ascii="Times New Roman" w:hAnsi="Times New Roman" w:cs="Times New Roman"/>
                <w:sz w:val="20"/>
                <w:szCs w:val="20"/>
              </w:rPr>
              <w:t>Report design and analysis decisions</w:t>
            </w:r>
            <w:r w:rsidR="00BE41B1" w:rsidRPr="0041550F">
              <w:rPr>
                <w:rFonts w:ascii="Times New Roman" w:hAnsi="Times New Roman" w:cs="Times New Roman"/>
                <w:sz w:val="20"/>
                <w:szCs w:val="20"/>
              </w:rPr>
              <w:t xml:space="preserve"> </w:t>
            </w:r>
            <w:r w:rsidRPr="0041550F">
              <w:rPr>
                <w:rFonts w:ascii="Times New Roman" w:hAnsi="Times New Roman" w:cs="Times New Roman"/>
                <w:sz w:val="20"/>
                <w:szCs w:val="20"/>
              </w:rPr>
              <w:t>through study preregistration or Registered Reports.</w:t>
            </w:r>
          </w:p>
          <w:p w14:paraId="1D6FA7F4" w14:textId="77777777" w:rsidR="005F067D" w:rsidRPr="0041550F" w:rsidRDefault="005F067D" w:rsidP="005F067D">
            <w:pPr>
              <w:pStyle w:val="ListParagraph"/>
              <w:numPr>
                <w:ilvl w:val="0"/>
                <w:numId w:val="4"/>
              </w:numPr>
              <w:ind w:left="246" w:hanging="283"/>
              <w:rPr>
                <w:rFonts w:ascii="Times New Roman" w:hAnsi="Times New Roman" w:cs="Times New Roman"/>
                <w:sz w:val="20"/>
                <w:szCs w:val="20"/>
              </w:rPr>
            </w:pPr>
            <w:r w:rsidRPr="0041550F">
              <w:rPr>
                <w:rFonts w:ascii="Times New Roman" w:hAnsi="Times New Roman" w:cs="Times New Roman"/>
                <w:sz w:val="20"/>
                <w:szCs w:val="20"/>
              </w:rPr>
              <w:t xml:space="preserve">Make materials, </w:t>
            </w:r>
            <w:proofErr w:type="gramStart"/>
            <w:r w:rsidRPr="0041550F">
              <w:rPr>
                <w:rFonts w:ascii="Times New Roman" w:hAnsi="Times New Roman" w:cs="Times New Roman"/>
                <w:sz w:val="20"/>
                <w:szCs w:val="20"/>
              </w:rPr>
              <w:t>scripts</w:t>
            </w:r>
            <w:proofErr w:type="gramEnd"/>
            <w:r w:rsidRPr="0041550F">
              <w:rPr>
                <w:rFonts w:ascii="Times New Roman" w:hAnsi="Times New Roman" w:cs="Times New Roman"/>
                <w:sz w:val="20"/>
                <w:szCs w:val="20"/>
              </w:rPr>
              <w:t xml:space="preserve"> and data openly available.</w:t>
            </w:r>
          </w:p>
          <w:p w14:paraId="5F8AEB25" w14:textId="77777777" w:rsidR="005F067D" w:rsidRPr="0041550F" w:rsidRDefault="005F067D" w:rsidP="005F067D">
            <w:pPr>
              <w:ind w:left="246" w:hanging="283"/>
              <w:rPr>
                <w:rFonts w:ascii="Times New Roman" w:hAnsi="Times New Roman" w:cs="Times New Roman"/>
                <w:sz w:val="20"/>
                <w:szCs w:val="20"/>
              </w:rPr>
            </w:pPr>
          </w:p>
        </w:tc>
        <w:tc>
          <w:tcPr>
            <w:tcW w:w="3669" w:type="dxa"/>
          </w:tcPr>
          <w:p w14:paraId="6F6BD8CF" w14:textId="77777777" w:rsidR="005F067D" w:rsidRPr="0041550F" w:rsidRDefault="005F067D" w:rsidP="005F067D">
            <w:pPr>
              <w:rPr>
                <w:rFonts w:ascii="Times New Roman" w:hAnsi="Times New Roman" w:cs="Times New Roman"/>
                <w:sz w:val="20"/>
                <w:szCs w:val="20"/>
              </w:rPr>
            </w:pPr>
          </w:p>
          <w:p w14:paraId="17696C65" w14:textId="3243B4AC" w:rsidR="005F067D" w:rsidRPr="0041550F" w:rsidRDefault="005F067D" w:rsidP="005F067D">
            <w:pPr>
              <w:rPr>
                <w:rFonts w:ascii="Times New Roman" w:hAnsi="Times New Roman" w:cs="Times New Roman"/>
                <w:sz w:val="20"/>
                <w:szCs w:val="20"/>
              </w:rPr>
            </w:pPr>
            <w:r w:rsidRPr="0041550F">
              <w:rPr>
                <w:rFonts w:ascii="Times New Roman" w:hAnsi="Times New Roman" w:cs="Times New Roman"/>
                <w:sz w:val="20"/>
                <w:szCs w:val="20"/>
              </w:rPr>
              <w:fldChar w:fldCharType="begin" w:fldLock="1"/>
            </w:r>
            <w:r w:rsidR="00DD59D7" w:rsidRPr="0041550F">
              <w:rPr>
                <w:rFonts w:ascii="Times New Roman" w:hAnsi="Times New Roman" w:cs="Times New Roman"/>
                <w:sz w:val="20"/>
                <w:szCs w:val="20"/>
              </w:rPr>
              <w:instrText>ADDIN CSL_CITATION {"citationItems":[{"id":"ITEM-1","itemData":{"DOI":"10.1177/2515245919879695","ISBN":"2515245919","ISSN":"2515-2459","abstract":"Psychological science relies on behavioral measures to assess cognitive processing; however, the field has not yet developed a tradition of routinely examining the reliability of these behavioral measures. Reliable measures are essential to draw robust inferences from statistical analyses, and subpar reliability has severe implications for measures’ validity and interpretation. Without examining and reporting the reliability of measurements used in an analysis, it is nearly impossible to ascertain whether results are robust or have arisen largely from measurement error. In this article, we propose that researchers adopt a standard practice of estimating and reporting the reliability of behavioral assessments of cognitive processing. We illustrate the need for this practice using an example from experimental psychopathology, the dot-probe task, although we argue that reporting reliability is relevant across fields (e.g., social cognition and cognitive psychology). We explore several implications of low measurement reliability and the detrimental impact that failure to assess measurement reliability has on interpretability and comparison of results and therefore research quality. We argue that researchers in the field of cognition need to report measurement reliability as routine practice so that more reliable assessment tools can be developed. To provide some guidance on estimating and reporting reliability, we describe the use of bootstrapped split-half estimation and intraclass correlation coefficients to estimate internal consistency and test-retest reliability, respectively. For future researchers to build upon current results, it is imperative that all researchers provide psychometric information sufficient for estimating the accuracy of inferences and informing further development of cognitive-behavioral assessments.","author":[{"dropping-particle":"","family":"Parsons","given":"Sam","non-dropping-particle":"","parse-names":false,"suffix":""},{"dropping-particle":"","family":"Kruijt","given":"Anne-Wil","non-dropping-particle":"","parse-names":false,"suffix":""},{"dropping-particle":"","family":"Fox","given":"Elaine","non-dropping-particle":"","parse-names":false,"suffix":""}],"container-title":"Advances in Methods and Practices in Psychological Science","id":"ITEM-1","issue":"4","issued":{"date-parts":[["2019"]]},"page":"378-395","title":"Psychological Science Needs a Standard Practice of Reporting the Reliability of Cognitive-Behavioral Measurements","type":"article-journal","volume":"2"},"uris":["http://www.mendeley.com/documents/?uuid=7cf16994-8793-48f1-8295-c58dfc3bc700"]},{"id":"ITEM-2","itemData":{"DOI":"10.31234/osf.io/vzjdp","author":[{"dropping-particle":"","family":"Kathawalla","given":"Ummul-Kiram","non-dropping-particle":"","parse-names":false,"suffix":""},{"dropping-particle":"","family":"Silverstein","given":"Priya","non-dropping-particle":"","parse-names":false,"suffix":""},{"dropping-particle":"","family":"Syed","given":"Moin","non-dropping-particle":"","parse-names":false,"suffix":""}],"id":"ITEM-2","issued":{"date-parts":[["2020"]]},"page":"1-34","title":"Easing Into Open Science: A Guide for Graduate Students and Their Advisors","type":"article-journal"},"uris":["http://www.mendeley.com/documents/?uuid=eb342b56-7217-4039-8102-e557ff637532"]},{"id":"ITEM-3","itemData":{"DOI":"10.1177/2515245918757689","ISSN":"2515-2459","abstract":"Sharing data, materials, and analysis scripts with reviewers and readers is valued in psychological science. To facilitate this sharing, files should be stored in a stable location, referenced with unique identifiers, and cited in published work associated with them. This Tutorial provides a step-by-step guide to using OSF to meet the needs for sharing psychological data.","author":[{"dropping-particle":"","family":"Soderberg","given":"Courtney K.","non-dropping-particle":"","parse-names":false,"suffix":""}],"container-title":"Advances in Methods and Practices in Psychological Science","id":"ITEM-3","issue":"December 2017","issued":{"date-parts":[["2018"]]},"page":"251524591875768","title":"Using OSF to Share Data: A Step-by-Step Guide","type":"article-journal"},"uris":["http://www.mendeley.com/documents/?uuid=d6ea8fce-3c43-4812-a23a-f26477caf4bf"]},{"id":"ITEM-4","itemData":{"DOI":"10.1016/j.tins.2019.07.003","ISSN":"1878108X","PMID":"31470913","abstract":"Recent open science efforts to improve rigor and reliability have sparked great enthusiasm. Among these, the Registered Report publication format integrates best practices in hypothesis-driven research with peer review that occurs before the research is conducted. Here, we detail practical recommendations to help researchers negotiate the mechanics of this developing format.","author":[{"dropping-particle":"","family":"Kiyonaga","given":"Anastasia","non-dropping-particle":"","parse-names":false,"suffix":""},{"dropping-particle":"","family":"Scimeca","given":"Jason M.","non-dropping-particle":"","parse-names":false,"suffix":""}],"container-title":"Trends in Neurosciences","id":"ITEM-4","issue":"9","issued":{"date-parts":[["2019"]]},"page":"568-572","publisher":"Elsevier Ltd","title":"Practical Considerations for Navigating Registered Reports","type":"article-journal","volume":"42"},"uris":["http://www.mendeley.com/documents/?uuid=7e7be135-a88b-4bb3-96c7-9ac70d9ee609"]}],"mendeley":{"formattedCitation":"(16,81–83)","plainTextFormattedCitation":"(16,81–83)","previouslyFormattedCitation":"(16,81–83)"},"properties":{"noteIndex":0},"schema":"https://github.com/citation-style-language/schema/raw/master/csl-citation.json"}</w:instrText>
            </w:r>
            <w:r w:rsidRPr="0041550F">
              <w:rPr>
                <w:rFonts w:ascii="Times New Roman" w:hAnsi="Times New Roman" w:cs="Times New Roman"/>
                <w:sz w:val="20"/>
                <w:szCs w:val="20"/>
              </w:rPr>
              <w:fldChar w:fldCharType="separate"/>
            </w:r>
            <w:r w:rsidR="00934548" w:rsidRPr="0041550F">
              <w:rPr>
                <w:rFonts w:ascii="Times New Roman" w:hAnsi="Times New Roman" w:cs="Times New Roman"/>
                <w:noProof/>
                <w:sz w:val="20"/>
                <w:szCs w:val="20"/>
              </w:rPr>
              <w:t>(16,81–83)</w:t>
            </w:r>
            <w:r w:rsidRPr="0041550F">
              <w:rPr>
                <w:rFonts w:ascii="Times New Roman" w:hAnsi="Times New Roman" w:cs="Times New Roman"/>
                <w:sz w:val="20"/>
                <w:szCs w:val="20"/>
              </w:rPr>
              <w:fldChar w:fldCharType="end"/>
            </w:r>
          </w:p>
          <w:p w14:paraId="42702772" w14:textId="77777777" w:rsidR="005F067D" w:rsidRPr="0041550F" w:rsidRDefault="00986E36" w:rsidP="005F067D">
            <w:pPr>
              <w:rPr>
                <w:rFonts w:ascii="Times New Roman" w:eastAsia="Times New Roman" w:hAnsi="Times New Roman" w:cs="Times New Roman"/>
                <w:color w:val="1155CC"/>
                <w:sz w:val="20"/>
                <w:szCs w:val="20"/>
                <w:u w:val="single"/>
              </w:rPr>
            </w:pPr>
            <w:hyperlink r:id="rId23">
              <w:r w:rsidR="005F067D" w:rsidRPr="0041550F">
                <w:rPr>
                  <w:rFonts w:ascii="Times New Roman" w:eastAsia="Times New Roman" w:hAnsi="Times New Roman" w:cs="Times New Roman"/>
                  <w:color w:val="1155CC"/>
                  <w:sz w:val="20"/>
                  <w:szCs w:val="20"/>
                  <w:u w:val="single"/>
                </w:rPr>
                <w:t>www.osf.io</w:t>
              </w:r>
            </w:hyperlink>
          </w:p>
          <w:p w14:paraId="63A62890" w14:textId="77777777" w:rsidR="005F067D" w:rsidRPr="0041550F" w:rsidRDefault="005F067D" w:rsidP="005F067D">
            <w:pPr>
              <w:rPr>
                <w:rFonts w:ascii="Times New Roman" w:hAnsi="Times New Roman" w:cs="Times New Roman"/>
                <w:sz w:val="20"/>
                <w:szCs w:val="20"/>
              </w:rPr>
            </w:pPr>
          </w:p>
        </w:tc>
      </w:tr>
      <w:bookmarkEnd w:id="21"/>
    </w:tbl>
    <w:p w14:paraId="7D369B25" w14:textId="77777777" w:rsidR="0033778B" w:rsidRPr="0041550F" w:rsidRDefault="0033778B" w:rsidP="0033778B">
      <w:pPr>
        <w:widowControl w:val="0"/>
        <w:tabs>
          <w:tab w:val="left" w:pos="402"/>
        </w:tabs>
        <w:spacing w:line="480" w:lineRule="auto"/>
      </w:pPr>
    </w:p>
    <w:p w14:paraId="00000045" w14:textId="4FFC64E7" w:rsidR="00CB2059" w:rsidRPr="0041550F" w:rsidRDefault="00C3572E">
      <w:pPr>
        <w:widowControl w:val="0"/>
        <w:spacing w:line="480" w:lineRule="auto"/>
        <w:jc w:val="center"/>
        <w:rPr>
          <w:rFonts w:ascii="Times New Roman" w:eastAsia="Times New Roman" w:hAnsi="Times New Roman" w:cs="Times New Roman"/>
          <w:b/>
          <w:sz w:val="24"/>
          <w:szCs w:val="24"/>
        </w:rPr>
      </w:pPr>
      <w:r w:rsidRPr="0041550F">
        <w:br w:type="column"/>
      </w:r>
      <w:r w:rsidRPr="0041550F">
        <w:rPr>
          <w:rFonts w:ascii="Times New Roman" w:eastAsia="Times New Roman" w:hAnsi="Times New Roman" w:cs="Times New Roman"/>
          <w:b/>
          <w:sz w:val="24"/>
          <w:szCs w:val="24"/>
        </w:rPr>
        <w:lastRenderedPageBreak/>
        <w:t>References</w:t>
      </w:r>
    </w:p>
    <w:p w14:paraId="092B20AA" w14:textId="20A99FDA" w:rsidR="00E948D4" w:rsidRPr="0041550F" w:rsidRDefault="0072560E"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eastAsia="Times New Roman" w:hAnsi="Times New Roman" w:cs="Times New Roman"/>
          <w:sz w:val="24"/>
          <w:szCs w:val="24"/>
        </w:rPr>
        <w:fldChar w:fldCharType="begin" w:fldLock="1"/>
      </w:r>
      <w:r w:rsidRPr="0041550F">
        <w:rPr>
          <w:rFonts w:ascii="Times New Roman" w:eastAsia="Times New Roman" w:hAnsi="Times New Roman" w:cs="Times New Roman"/>
          <w:sz w:val="24"/>
          <w:szCs w:val="24"/>
        </w:rPr>
        <w:instrText xml:space="preserve">ADDIN Mendeley Bibliography CSL_BIBLIOGRAPHY </w:instrText>
      </w:r>
      <w:r w:rsidRPr="0041550F">
        <w:rPr>
          <w:rFonts w:ascii="Times New Roman" w:eastAsia="Times New Roman" w:hAnsi="Times New Roman" w:cs="Times New Roman"/>
          <w:sz w:val="24"/>
          <w:szCs w:val="24"/>
        </w:rPr>
        <w:fldChar w:fldCharType="separate"/>
      </w:r>
      <w:r w:rsidR="00E948D4" w:rsidRPr="0041550F">
        <w:rPr>
          <w:rFonts w:ascii="Times New Roman" w:hAnsi="Times New Roman" w:cs="Times New Roman"/>
          <w:noProof/>
          <w:sz w:val="24"/>
          <w:szCs w:val="24"/>
        </w:rPr>
        <w:t xml:space="preserve">1. </w:t>
      </w:r>
      <w:r w:rsidR="00E948D4" w:rsidRPr="0041550F">
        <w:rPr>
          <w:rFonts w:ascii="Times New Roman" w:hAnsi="Times New Roman" w:cs="Times New Roman"/>
          <w:noProof/>
          <w:sz w:val="24"/>
          <w:szCs w:val="24"/>
        </w:rPr>
        <w:tab/>
      </w:r>
      <w:r w:rsidR="00137FEF" w:rsidRPr="0041550F">
        <w:rPr>
          <w:rFonts w:ascii="Times New Roman" w:hAnsi="Times New Roman" w:cs="Times New Roman"/>
          <w:noProof/>
          <w:sz w:val="24"/>
          <w:szCs w:val="24"/>
        </w:rPr>
        <w:t xml:space="preserve">Di Lemma LCG, Field M. Cue avoidance training and inhibitory control training for the reduction of alcohol consumption: a comparison of effectiveness and investigation of their mechanisms of action. </w:t>
      </w:r>
      <w:r w:rsidR="00137FEF" w:rsidRPr="0041550F">
        <w:rPr>
          <w:rFonts w:ascii="Times New Roman" w:hAnsi="Times New Roman" w:cs="Times New Roman"/>
          <w:i/>
          <w:iCs/>
          <w:noProof/>
          <w:sz w:val="24"/>
          <w:szCs w:val="24"/>
        </w:rPr>
        <w:t>Psychopharmacology</w:t>
      </w:r>
      <w:r w:rsidR="00137FEF" w:rsidRPr="0041550F">
        <w:rPr>
          <w:rFonts w:ascii="Times New Roman" w:hAnsi="Times New Roman" w:cs="Times New Roman"/>
          <w:noProof/>
          <w:sz w:val="24"/>
          <w:szCs w:val="24"/>
        </w:rPr>
        <w:t>. 2017;234(16):2489–98. Available from: https://doi.org/10.1007/s00213-017-4639-0</w:t>
      </w:r>
    </w:p>
    <w:p w14:paraId="5690C165" w14:textId="4F915C8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Wiers RW, Stacy AW. Implicit cognition and addiction: An introduction. </w:t>
      </w:r>
      <w:r w:rsidR="00137FEF" w:rsidRPr="0041550F">
        <w:rPr>
          <w:rFonts w:ascii="Times New Roman" w:eastAsia="Times New Roman" w:hAnsi="Times New Roman" w:cs="Times New Roman"/>
          <w:i/>
          <w:sz w:val="24"/>
          <w:szCs w:val="24"/>
        </w:rPr>
        <w:t>Current Directions in Psychological Science</w:t>
      </w:r>
      <w:r w:rsidR="00137FEF" w:rsidRPr="0041550F">
        <w:rPr>
          <w:rFonts w:ascii="Times New Roman" w:eastAsia="Times New Roman" w:hAnsi="Times New Roman" w:cs="Times New Roman"/>
          <w:sz w:val="24"/>
          <w:szCs w:val="24"/>
        </w:rPr>
        <w:t>. 2005;15(6):1–9. Available from: https://doi.org/10.1111/j.1467-8721.2006.00455.x</w:t>
      </w:r>
    </w:p>
    <w:p w14:paraId="0A581CE8" w14:textId="3715CCD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Wiers RW, Bartholow BD, van den Wildenberg E, Thush C, Engels RCME, Sher KJ, et al. Automatic and controlled processes and the development of addictive behaviors in adolescents: A review and a model. </w:t>
      </w:r>
      <w:r w:rsidR="00137FEF" w:rsidRPr="0041550F">
        <w:rPr>
          <w:rFonts w:ascii="Times New Roman" w:eastAsia="Times New Roman" w:hAnsi="Times New Roman" w:cs="Times New Roman"/>
          <w:i/>
          <w:sz w:val="24"/>
          <w:szCs w:val="24"/>
        </w:rPr>
        <w:t>Pharmacology Biochemistry &amp; Behavior</w:t>
      </w:r>
      <w:r w:rsidR="00137FEF" w:rsidRPr="0041550F">
        <w:rPr>
          <w:rFonts w:ascii="Times New Roman" w:eastAsia="Times New Roman" w:hAnsi="Times New Roman" w:cs="Times New Roman"/>
          <w:sz w:val="24"/>
          <w:szCs w:val="24"/>
        </w:rPr>
        <w:t>. 2007;86(2):263–83. Available from: https://doi.org/10.1016/j.pbb.2006.09.021</w:t>
      </w:r>
    </w:p>
    <w:p w14:paraId="7159A241" w14:textId="085073A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 </w:t>
      </w:r>
      <w:r w:rsidRPr="0041550F">
        <w:rPr>
          <w:rFonts w:ascii="Times New Roman" w:hAnsi="Times New Roman" w:cs="Times New Roman"/>
          <w:noProof/>
          <w:sz w:val="24"/>
          <w:szCs w:val="24"/>
        </w:rPr>
        <w:tab/>
      </w:r>
      <w:r w:rsidR="00137FEF" w:rsidRPr="0041550F">
        <w:rPr>
          <w:rFonts w:ascii="Times New Roman" w:eastAsia="Times New Roman" w:hAnsi="Times New Roman" w:cs="Times New Roman"/>
          <w:sz w:val="24"/>
          <w:szCs w:val="24"/>
        </w:rPr>
        <w:t xml:space="preserve">Fleming KA, Bartholow BD. Alcohol cues, approach bias, and inhibitory control: Applying a dual process model of addiction to alcohol sensitivity. </w:t>
      </w:r>
      <w:r w:rsidR="00137FEF" w:rsidRPr="0041550F">
        <w:rPr>
          <w:rFonts w:ascii="Times New Roman" w:eastAsia="Times New Roman" w:hAnsi="Times New Roman" w:cs="Times New Roman"/>
          <w:i/>
          <w:sz w:val="24"/>
          <w:szCs w:val="24"/>
        </w:rPr>
        <w:t>Psychology of Addictive Behaviors</w:t>
      </w:r>
      <w:r w:rsidR="00137FEF" w:rsidRPr="0041550F">
        <w:rPr>
          <w:rFonts w:ascii="Times New Roman" w:eastAsia="Times New Roman" w:hAnsi="Times New Roman" w:cs="Times New Roman"/>
          <w:sz w:val="24"/>
          <w:szCs w:val="24"/>
        </w:rPr>
        <w:t>. 2014;28(1):85–96. Available from: https://doi.org/10.1037/a0031565</w:t>
      </w:r>
    </w:p>
    <w:p w14:paraId="16B29DBD" w14:textId="15E49CD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 </w:t>
      </w:r>
      <w:r w:rsidRPr="0041550F">
        <w:rPr>
          <w:rFonts w:ascii="Times New Roman" w:hAnsi="Times New Roman" w:cs="Times New Roman"/>
          <w:noProof/>
          <w:sz w:val="24"/>
          <w:szCs w:val="24"/>
        </w:rPr>
        <w:tab/>
        <w:t xml:space="preserve">Jones A, Robinson E, Duckworth J, Kersbergen I, Clarke N, Field M. The effects of exposure to appetitive cues on inhibitory control: A meta-analytic investigation. </w:t>
      </w:r>
      <w:r w:rsidRPr="0041550F">
        <w:rPr>
          <w:rFonts w:ascii="Times New Roman" w:hAnsi="Times New Roman" w:cs="Times New Roman"/>
          <w:i/>
          <w:iCs/>
          <w:noProof/>
          <w:sz w:val="24"/>
          <w:szCs w:val="24"/>
        </w:rPr>
        <w:t xml:space="preserve">Appetite. </w:t>
      </w:r>
      <w:r w:rsidRPr="0041550F">
        <w:rPr>
          <w:rFonts w:ascii="Times New Roman" w:hAnsi="Times New Roman" w:cs="Times New Roman"/>
          <w:noProof/>
          <w:sz w:val="24"/>
          <w:szCs w:val="24"/>
        </w:rPr>
        <w:t xml:space="preserve">2018;128:271–82. </w:t>
      </w:r>
      <w:r w:rsidR="00137FEF" w:rsidRPr="0041550F">
        <w:rPr>
          <w:rFonts w:ascii="Times New Roman" w:hAnsi="Times New Roman" w:cs="Times New Roman"/>
          <w:noProof/>
          <w:sz w:val="24"/>
          <w:szCs w:val="24"/>
        </w:rPr>
        <w:t xml:space="preserve">Available from: </w:t>
      </w:r>
      <w:r w:rsidR="006712D2" w:rsidRPr="0041550F">
        <w:rPr>
          <w:rFonts w:ascii="Times New Roman" w:hAnsi="Times New Roman" w:cs="Times New Roman"/>
          <w:noProof/>
          <w:sz w:val="24"/>
          <w:szCs w:val="24"/>
        </w:rPr>
        <w:t xml:space="preserve">https://doi.org/10.1016/j.appet.2018.06.024 </w:t>
      </w:r>
    </w:p>
    <w:p w14:paraId="5D5A1487" w14:textId="5A1E92A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 </w:t>
      </w:r>
      <w:r w:rsidRPr="0041550F">
        <w:rPr>
          <w:rFonts w:ascii="Times New Roman" w:hAnsi="Times New Roman" w:cs="Times New Roman"/>
          <w:noProof/>
          <w:sz w:val="24"/>
          <w:szCs w:val="24"/>
        </w:rPr>
        <w:tab/>
        <w:t xml:space="preserve">Field M, Munafò MR, Franken IHA. </w:t>
      </w:r>
      <w:r w:rsidR="00840F7E" w:rsidRPr="0041550F">
        <w:rPr>
          <w:rFonts w:ascii="Times New Roman" w:hAnsi="Times New Roman" w:cs="Times New Roman"/>
          <w:noProof/>
          <w:sz w:val="24"/>
          <w:szCs w:val="24"/>
        </w:rPr>
        <w:t>A meta-analytic investigation of the relationship between a</w:t>
      </w:r>
      <w:r w:rsidRPr="0041550F">
        <w:rPr>
          <w:rFonts w:ascii="Times New Roman" w:hAnsi="Times New Roman" w:cs="Times New Roman"/>
          <w:noProof/>
          <w:sz w:val="24"/>
          <w:szCs w:val="24"/>
        </w:rPr>
        <w:t>ttentional</w:t>
      </w:r>
      <w:r w:rsidR="00840F7E" w:rsidRPr="0041550F">
        <w:rPr>
          <w:rFonts w:ascii="Times New Roman" w:hAnsi="Times New Roman" w:cs="Times New Roman"/>
          <w:noProof/>
          <w:sz w:val="24"/>
          <w:szCs w:val="24"/>
        </w:rPr>
        <w:t xml:space="preserve"> b</w:t>
      </w:r>
      <w:r w:rsidRPr="0041550F">
        <w:rPr>
          <w:rFonts w:ascii="Times New Roman" w:hAnsi="Times New Roman" w:cs="Times New Roman"/>
          <w:noProof/>
          <w:sz w:val="24"/>
          <w:szCs w:val="24"/>
        </w:rPr>
        <w:t xml:space="preserve">ias and </w:t>
      </w:r>
      <w:r w:rsidR="00840F7E"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ubjective </w:t>
      </w:r>
      <w:r w:rsidR="00840F7E" w:rsidRPr="0041550F">
        <w:rPr>
          <w:rFonts w:ascii="Times New Roman" w:hAnsi="Times New Roman" w:cs="Times New Roman"/>
          <w:noProof/>
          <w:sz w:val="24"/>
          <w:szCs w:val="24"/>
        </w:rPr>
        <w:t>c</w:t>
      </w:r>
      <w:r w:rsidRPr="0041550F">
        <w:rPr>
          <w:rFonts w:ascii="Times New Roman" w:hAnsi="Times New Roman" w:cs="Times New Roman"/>
          <w:noProof/>
          <w:sz w:val="24"/>
          <w:szCs w:val="24"/>
        </w:rPr>
        <w:t>raving in</w:t>
      </w:r>
      <w:r w:rsidR="00840F7E" w:rsidRPr="0041550F">
        <w:rPr>
          <w:rFonts w:ascii="Times New Roman" w:hAnsi="Times New Roman" w:cs="Times New Roman"/>
          <w:noProof/>
          <w:sz w:val="24"/>
          <w:szCs w:val="24"/>
        </w:rPr>
        <w:t xml:space="preserve"> s</w:t>
      </w:r>
      <w:r w:rsidRPr="0041550F">
        <w:rPr>
          <w:rFonts w:ascii="Times New Roman" w:hAnsi="Times New Roman" w:cs="Times New Roman"/>
          <w:noProof/>
          <w:sz w:val="24"/>
          <w:szCs w:val="24"/>
        </w:rPr>
        <w:t xml:space="preserve">ubstance </w:t>
      </w:r>
      <w:r w:rsidR="00840F7E"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buse. </w:t>
      </w:r>
      <w:r w:rsidRPr="0041550F">
        <w:rPr>
          <w:rFonts w:ascii="Times New Roman" w:hAnsi="Times New Roman" w:cs="Times New Roman"/>
          <w:i/>
          <w:iCs/>
          <w:noProof/>
          <w:sz w:val="24"/>
          <w:szCs w:val="24"/>
        </w:rPr>
        <w:t>Psychol</w:t>
      </w:r>
      <w:r w:rsidR="008B7249" w:rsidRPr="0041550F">
        <w:rPr>
          <w:rFonts w:ascii="Times New Roman" w:hAnsi="Times New Roman" w:cs="Times New Roman"/>
          <w:i/>
          <w:iCs/>
          <w:noProof/>
          <w:sz w:val="24"/>
          <w:szCs w:val="24"/>
        </w:rPr>
        <w:t>ological</w:t>
      </w:r>
      <w:r w:rsidRPr="0041550F">
        <w:rPr>
          <w:rFonts w:ascii="Times New Roman" w:hAnsi="Times New Roman" w:cs="Times New Roman"/>
          <w:i/>
          <w:iCs/>
          <w:noProof/>
          <w:sz w:val="24"/>
          <w:szCs w:val="24"/>
        </w:rPr>
        <w:t xml:space="preserve"> Bull</w:t>
      </w:r>
      <w:r w:rsidR="008B7249" w:rsidRPr="0041550F">
        <w:rPr>
          <w:rFonts w:ascii="Times New Roman" w:hAnsi="Times New Roman" w:cs="Times New Roman"/>
          <w:i/>
          <w:iCs/>
          <w:noProof/>
          <w:sz w:val="24"/>
          <w:szCs w:val="24"/>
        </w:rPr>
        <w:t>etin</w:t>
      </w:r>
      <w:r w:rsidRPr="0041550F">
        <w:rPr>
          <w:rFonts w:ascii="Times New Roman" w:hAnsi="Times New Roman" w:cs="Times New Roman"/>
          <w:noProof/>
          <w:sz w:val="24"/>
          <w:szCs w:val="24"/>
        </w:rPr>
        <w:t xml:space="preserve">. 2009;135(4):589–607. </w:t>
      </w:r>
      <w:r w:rsidR="00840F7E" w:rsidRPr="0041550F">
        <w:rPr>
          <w:rFonts w:ascii="Times New Roman" w:hAnsi="Times New Roman" w:cs="Times New Roman"/>
          <w:noProof/>
          <w:sz w:val="24"/>
          <w:szCs w:val="24"/>
        </w:rPr>
        <w:t>Available from: https://doi.org/</w:t>
      </w:r>
      <w:r w:rsidR="00840F7E" w:rsidRPr="0041550F">
        <w:t xml:space="preserve"> </w:t>
      </w:r>
      <w:r w:rsidR="00840F7E" w:rsidRPr="0041550F">
        <w:rPr>
          <w:rFonts w:ascii="Times New Roman" w:hAnsi="Times New Roman" w:cs="Times New Roman"/>
          <w:noProof/>
          <w:sz w:val="24"/>
          <w:szCs w:val="24"/>
        </w:rPr>
        <w:t>https://dx.doi.org/10.1037%2Fa0015843</w:t>
      </w:r>
    </w:p>
    <w:p w14:paraId="63D27A13" w14:textId="0E60E55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7. </w:t>
      </w:r>
      <w:r w:rsidRPr="0041550F">
        <w:rPr>
          <w:rFonts w:ascii="Times New Roman" w:hAnsi="Times New Roman" w:cs="Times New Roman"/>
          <w:noProof/>
          <w:sz w:val="24"/>
          <w:szCs w:val="24"/>
        </w:rPr>
        <w:tab/>
      </w:r>
      <w:r w:rsidR="00B73080" w:rsidRPr="0041550F">
        <w:rPr>
          <w:rFonts w:ascii="Times New Roman" w:eastAsia="Times New Roman" w:hAnsi="Times New Roman" w:cs="Times New Roman"/>
          <w:sz w:val="24"/>
          <w:szCs w:val="24"/>
        </w:rPr>
        <w:t xml:space="preserve">Rubio G, Jiménez M, Rodríguez-Jiménez R, Martínez I, Ávila C, Ferre F, et al. The role of behavioral impulsivity in the development of alcohol dependence: A 4-year follow-up study. </w:t>
      </w:r>
      <w:r w:rsidR="00B73080" w:rsidRPr="0041550F">
        <w:rPr>
          <w:rFonts w:ascii="Times New Roman" w:eastAsia="Times New Roman" w:hAnsi="Times New Roman" w:cs="Times New Roman"/>
          <w:i/>
          <w:sz w:val="24"/>
          <w:szCs w:val="24"/>
        </w:rPr>
        <w:t>Alcohol: Clinical &amp; Experimental Research</w:t>
      </w:r>
      <w:r w:rsidR="00B73080" w:rsidRPr="0041550F">
        <w:rPr>
          <w:rFonts w:ascii="Times New Roman" w:eastAsia="Times New Roman" w:hAnsi="Times New Roman" w:cs="Times New Roman"/>
          <w:sz w:val="24"/>
          <w:szCs w:val="24"/>
        </w:rPr>
        <w:t>. 2008;32(9):1681–7. Available from: https://doi.org/10.1111/j.1530-0277.2008.00746.x</w:t>
      </w:r>
    </w:p>
    <w:p w14:paraId="1CA20E7C" w14:textId="2AE4C51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 </w:t>
      </w:r>
      <w:r w:rsidRPr="0041550F">
        <w:rPr>
          <w:rFonts w:ascii="Times New Roman" w:hAnsi="Times New Roman" w:cs="Times New Roman"/>
          <w:noProof/>
          <w:sz w:val="24"/>
          <w:szCs w:val="24"/>
        </w:rPr>
        <w:tab/>
      </w:r>
      <w:r w:rsidR="00657055" w:rsidRPr="0041550F">
        <w:rPr>
          <w:rFonts w:ascii="Times New Roman" w:eastAsia="Times New Roman" w:hAnsi="Times New Roman" w:cs="Times New Roman"/>
          <w:sz w:val="24"/>
          <w:szCs w:val="24"/>
        </w:rPr>
        <w:t xml:space="preserve">van Hemel-Ruiter ME, Wiers RW, Brook FG, de Jong PJ. Attentional bias and executive control in treatment-seeking substance-dependent adolescents: A cross-sectional and follow-up study. </w:t>
      </w:r>
      <w:r w:rsidR="00657055" w:rsidRPr="0041550F">
        <w:rPr>
          <w:rFonts w:ascii="Times New Roman" w:eastAsia="Times New Roman" w:hAnsi="Times New Roman" w:cs="Times New Roman"/>
          <w:i/>
          <w:sz w:val="24"/>
          <w:szCs w:val="24"/>
        </w:rPr>
        <w:t>Drug &amp; Alcohol Dependence</w:t>
      </w:r>
      <w:r w:rsidR="00657055" w:rsidRPr="0041550F">
        <w:rPr>
          <w:rFonts w:ascii="Times New Roman" w:eastAsia="Times New Roman" w:hAnsi="Times New Roman" w:cs="Times New Roman"/>
          <w:sz w:val="24"/>
          <w:szCs w:val="24"/>
        </w:rPr>
        <w:t>. 2016;159:133–41. Available from: https://doi.org/10.1016/j.drugalcdep.2015.12.005</w:t>
      </w:r>
    </w:p>
    <w:p w14:paraId="10126DE3" w14:textId="6AD969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 </w:t>
      </w:r>
      <w:r w:rsidRPr="0041550F">
        <w:rPr>
          <w:rFonts w:ascii="Times New Roman" w:hAnsi="Times New Roman" w:cs="Times New Roman"/>
          <w:noProof/>
          <w:sz w:val="24"/>
          <w:szCs w:val="24"/>
        </w:rPr>
        <w:tab/>
      </w:r>
      <w:r w:rsidR="009D5072" w:rsidRPr="0041550F">
        <w:rPr>
          <w:rFonts w:ascii="Times New Roman" w:hAnsi="Times New Roman" w:cs="Times New Roman"/>
          <w:noProof/>
          <w:sz w:val="24"/>
          <w:szCs w:val="24"/>
        </w:rPr>
        <w:t xml:space="preserve">Wiers CE, Stelzel C, Park SQ, Gawron CK, Ludwig VU, Gutwinski S, et al. Neural correlates of alcohol-approach bias in alcohol addiction: The spirit is willing but the flesh is weak for spirits. </w:t>
      </w:r>
      <w:r w:rsidR="009D5072" w:rsidRPr="0041550F">
        <w:rPr>
          <w:rFonts w:ascii="Times New Roman" w:hAnsi="Times New Roman" w:cs="Times New Roman"/>
          <w:i/>
          <w:iCs/>
          <w:noProof/>
          <w:sz w:val="24"/>
          <w:szCs w:val="24"/>
        </w:rPr>
        <w:t>Neuropsychopharmacology</w:t>
      </w:r>
      <w:r w:rsidR="009D5072" w:rsidRPr="0041550F">
        <w:rPr>
          <w:rFonts w:ascii="Times New Roman" w:hAnsi="Times New Roman" w:cs="Times New Roman"/>
          <w:noProof/>
          <w:sz w:val="24"/>
          <w:szCs w:val="24"/>
        </w:rPr>
        <w:t>. 2014;39(3):688–97. Available from: https://doi.org/10.1038/npp.2013.252</w:t>
      </w:r>
      <w:r w:rsidRPr="0041550F">
        <w:rPr>
          <w:rFonts w:ascii="Times New Roman" w:hAnsi="Times New Roman" w:cs="Times New Roman"/>
          <w:noProof/>
          <w:sz w:val="24"/>
          <w:szCs w:val="24"/>
        </w:rPr>
        <w:t xml:space="preserve"> </w:t>
      </w:r>
    </w:p>
    <w:p w14:paraId="2E0E51D7" w14:textId="4C56FF7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10.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Garland EL, Franken IHA, Howard MO. Cue-elicited heart rate variability and attentional bias predict alcohol relapse following treatment. </w:t>
      </w:r>
      <w:r w:rsidR="00F02129" w:rsidRPr="0041550F">
        <w:rPr>
          <w:rFonts w:ascii="Times New Roman" w:hAnsi="Times New Roman" w:cs="Times New Roman"/>
          <w:i/>
          <w:iCs/>
          <w:noProof/>
          <w:sz w:val="24"/>
          <w:szCs w:val="24"/>
        </w:rPr>
        <w:t>Psychopharmacology</w:t>
      </w:r>
      <w:r w:rsidR="00F02129" w:rsidRPr="0041550F">
        <w:rPr>
          <w:rFonts w:ascii="Times New Roman" w:hAnsi="Times New Roman" w:cs="Times New Roman"/>
          <w:noProof/>
          <w:sz w:val="24"/>
          <w:szCs w:val="24"/>
        </w:rPr>
        <w:t>. 2012;222(1):17–26. Available from: https://doi.org/10.1007/s00213-011-2618-4</w:t>
      </w:r>
    </w:p>
    <w:p w14:paraId="76667DAB" w14:textId="5DD3797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11.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Rupp CI, Beck JK, Heinz A, Kemmler G, Manz S, Tempel K, et al. Impulsivity and alcohol dependence treatment completion: Is there a neurocognitive risk factor at treatment entry?</w:t>
      </w:r>
      <w:r w:rsidR="00F02129" w:rsidRPr="0041550F">
        <w:rPr>
          <w:rFonts w:ascii="Times New Roman" w:hAnsi="Times New Roman" w:cs="Times New Roman"/>
          <w:i/>
          <w:iCs/>
          <w:noProof/>
          <w:sz w:val="24"/>
          <w:szCs w:val="24"/>
        </w:rPr>
        <w:t xml:space="preserve"> Alcoholism: Clinical &amp; Experimental Research.</w:t>
      </w:r>
      <w:r w:rsidR="00F02129" w:rsidRPr="0041550F">
        <w:rPr>
          <w:rFonts w:ascii="Times New Roman" w:hAnsi="Times New Roman" w:cs="Times New Roman"/>
          <w:noProof/>
          <w:sz w:val="24"/>
          <w:szCs w:val="24"/>
        </w:rPr>
        <w:t xml:space="preserve"> 2016;40(1):152–60. Available from: https://doi.org/10.1111/acer.12924</w:t>
      </w:r>
      <w:r w:rsidRPr="0041550F">
        <w:rPr>
          <w:rFonts w:ascii="Times New Roman" w:hAnsi="Times New Roman" w:cs="Times New Roman"/>
          <w:noProof/>
          <w:sz w:val="24"/>
          <w:szCs w:val="24"/>
        </w:rPr>
        <w:t xml:space="preserve"> </w:t>
      </w:r>
    </w:p>
    <w:p w14:paraId="54EFFDC9" w14:textId="2027DC7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12.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Christiansen P, Schoenmakers TM, Field M. Less than meets the eye: Reappraising the clinical relevance of attentional bias in addiction. </w:t>
      </w:r>
      <w:r w:rsidR="00F02129" w:rsidRPr="0041550F">
        <w:rPr>
          <w:rFonts w:ascii="Times New Roman" w:hAnsi="Times New Roman" w:cs="Times New Roman"/>
          <w:i/>
          <w:iCs/>
          <w:noProof/>
          <w:sz w:val="24"/>
          <w:szCs w:val="24"/>
        </w:rPr>
        <w:t>Addictive Behaviors</w:t>
      </w:r>
      <w:r w:rsidR="00F02129" w:rsidRPr="0041550F">
        <w:rPr>
          <w:rFonts w:ascii="Times New Roman" w:hAnsi="Times New Roman" w:cs="Times New Roman"/>
          <w:noProof/>
          <w:sz w:val="24"/>
          <w:szCs w:val="24"/>
        </w:rPr>
        <w:t>. 2015;44:43–50. Available from: http://dx.doi.org/10.1016/j.addbeh.2014.10.005</w:t>
      </w:r>
    </w:p>
    <w:p w14:paraId="15E7DAD1" w14:textId="40D1199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13. </w:t>
      </w:r>
      <w:r w:rsidRPr="0041550F">
        <w:rPr>
          <w:rFonts w:ascii="Times New Roman" w:hAnsi="Times New Roman" w:cs="Times New Roman"/>
          <w:noProof/>
          <w:sz w:val="24"/>
          <w:szCs w:val="24"/>
        </w:rPr>
        <w:tab/>
      </w:r>
      <w:r w:rsidR="00F02129" w:rsidRPr="0041550F">
        <w:rPr>
          <w:rFonts w:ascii="Times New Roman" w:hAnsi="Times New Roman" w:cs="Times New Roman"/>
          <w:noProof/>
          <w:sz w:val="24"/>
          <w:szCs w:val="24"/>
        </w:rPr>
        <w:t xml:space="preserve">Field M, Werthmann J, Franken I, Hofmann W. The role of attentional bias in obesity and addiction. </w:t>
      </w:r>
      <w:r w:rsidR="00F02129" w:rsidRPr="0041550F">
        <w:rPr>
          <w:rFonts w:ascii="Times New Roman" w:hAnsi="Times New Roman" w:cs="Times New Roman"/>
          <w:i/>
          <w:iCs/>
          <w:noProof/>
          <w:sz w:val="24"/>
          <w:szCs w:val="24"/>
        </w:rPr>
        <w:t>Health Psychology</w:t>
      </w:r>
      <w:r w:rsidR="00F02129" w:rsidRPr="0041550F">
        <w:rPr>
          <w:rFonts w:ascii="Times New Roman" w:hAnsi="Times New Roman" w:cs="Times New Roman"/>
          <w:noProof/>
          <w:sz w:val="24"/>
          <w:szCs w:val="24"/>
        </w:rPr>
        <w:t xml:space="preserve">. 2016;35(8):767–80. Available from: </w:t>
      </w:r>
      <w:r w:rsidR="00F02129" w:rsidRPr="0041550F">
        <w:rPr>
          <w:rFonts w:ascii="Times New Roman" w:hAnsi="Times New Roman" w:cs="Times New Roman"/>
          <w:noProof/>
          <w:sz w:val="24"/>
          <w:szCs w:val="24"/>
        </w:rPr>
        <w:lastRenderedPageBreak/>
        <w:t>https://psycnet.apa.org/doi/10.1037/hea0000405</w:t>
      </w:r>
    </w:p>
    <w:p w14:paraId="188F5F5C" w14:textId="77777777" w:rsidR="00BA382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14. </w:t>
      </w:r>
      <w:r w:rsidRPr="0041550F">
        <w:rPr>
          <w:rFonts w:ascii="Times New Roman" w:hAnsi="Times New Roman" w:cs="Times New Roman"/>
          <w:noProof/>
          <w:sz w:val="24"/>
          <w:szCs w:val="24"/>
        </w:rPr>
        <w:tab/>
      </w:r>
      <w:r w:rsidR="00BA3824" w:rsidRPr="0041550F">
        <w:rPr>
          <w:rFonts w:ascii="Times New Roman" w:hAnsi="Times New Roman" w:cs="Times New Roman"/>
          <w:noProof/>
          <w:sz w:val="24"/>
          <w:szCs w:val="24"/>
        </w:rPr>
        <w:t xml:space="preserve">Jones A, Tiplady B, Houben K, Nederkoorn C, Field M. Do daily fluctuations in inhibitory control predict alcohol consumption? An ecological momentary assessment study. </w:t>
      </w:r>
      <w:r w:rsidR="00BA3824" w:rsidRPr="0041550F">
        <w:rPr>
          <w:rFonts w:ascii="Times New Roman" w:hAnsi="Times New Roman" w:cs="Times New Roman"/>
          <w:i/>
          <w:iCs/>
          <w:noProof/>
          <w:sz w:val="24"/>
          <w:szCs w:val="24"/>
        </w:rPr>
        <w:t>Psychopharmacology.</w:t>
      </w:r>
      <w:r w:rsidR="00BA3824" w:rsidRPr="0041550F">
        <w:rPr>
          <w:rFonts w:ascii="Times New Roman" w:hAnsi="Times New Roman" w:cs="Times New Roman"/>
          <w:noProof/>
          <w:sz w:val="24"/>
          <w:szCs w:val="24"/>
        </w:rPr>
        <w:t xml:space="preserve"> 2018;235(5):1487–96. Available from: https://doi.org/10.1007/s00213-018-4860-5</w:t>
      </w:r>
    </w:p>
    <w:p w14:paraId="0BED6CE4" w14:textId="0B551C8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15. </w:t>
      </w:r>
      <w:r w:rsidRPr="0041550F">
        <w:rPr>
          <w:rFonts w:ascii="Times New Roman" w:hAnsi="Times New Roman" w:cs="Times New Roman"/>
          <w:noProof/>
          <w:sz w:val="24"/>
          <w:szCs w:val="24"/>
        </w:rPr>
        <w:tab/>
      </w:r>
      <w:r w:rsidR="00103252" w:rsidRPr="0041550F">
        <w:rPr>
          <w:rFonts w:ascii="Times New Roman" w:hAnsi="Times New Roman" w:cs="Times New Roman"/>
          <w:noProof/>
          <w:sz w:val="24"/>
          <w:szCs w:val="24"/>
        </w:rPr>
        <w:t xml:space="preserve">Field M, Christiansen P, Hardman CA, Haynes A, Jones A, Reid A, et al. Translation of findings from laboratory studies of food and alcohol intake into behavior change interventions: The experimental medicine approach. </w:t>
      </w:r>
      <w:r w:rsidR="00103252" w:rsidRPr="0041550F">
        <w:rPr>
          <w:rFonts w:ascii="Times New Roman" w:hAnsi="Times New Roman" w:cs="Times New Roman"/>
          <w:i/>
          <w:iCs/>
          <w:noProof/>
          <w:sz w:val="24"/>
          <w:szCs w:val="24"/>
        </w:rPr>
        <w:t>Health Psychology</w:t>
      </w:r>
      <w:r w:rsidR="00103252" w:rsidRPr="0041550F">
        <w:rPr>
          <w:rFonts w:ascii="Times New Roman" w:hAnsi="Times New Roman" w:cs="Times New Roman"/>
          <w:noProof/>
          <w:sz w:val="24"/>
          <w:szCs w:val="24"/>
        </w:rPr>
        <w:t xml:space="preserve">. 2020. Available from: https://doi.org/10.1037/hea0001022  </w:t>
      </w:r>
    </w:p>
    <w:p w14:paraId="1C89B68B" w14:textId="77777777" w:rsidR="002A78C3"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16. </w:t>
      </w:r>
      <w:r w:rsidRPr="0041550F">
        <w:rPr>
          <w:rFonts w:ascii="Times New Roman" w:hAnsi="Times New Roman" w:cs="Times New Roman"/>
          <w:noProof/>
          <w:sz w:val="24"/>
          <w:szCs w:val="24"/>
        </w:rPr>
        <w:tab/>
      </w:r>
      <w:r w:rsidR="002A78C3" w:rsidRPr="0041550F">
        <w:rPr>
          <w:rFonts w:ascii="Times New Roman" w:hAnsi="Times New Roman" w:cs="Times New Roman"/>
          <w:noProof/>
          <w:sz w:val="24"/>
          <w:szCs w:val="24"/>
        </w:rPr>
        <w:t xml:space="preserve">Parsons S, Kruijt A-W, Fox E. Psychological science needs a standard practice of reporting the reliability of cognitive-behavioral measurements. </w:t>
      </w:r>
      <w:r w:rsidR="002A78C3" w:rsidRPr="0041550F">
        <w:rPr>
          <w:rFonts w:ascii="Times New Roman" w:hAnsi="Times New Roman" w:cs="Times New Roman"/>
          <w:i/>
          <w:iCs/>
          <w:noProof/>
          <w:sz w:val="24"/>
          <w:szCs w:val="24"/>
        </w:rPr>
        <w:t>Advances in Methods &amp; Practices in Psychological Science</w:t>
      </w:r>
      <w:r w:rsidR="002A78C3" w:rsidRPr="0041550F">
        <w:rPr>
          <w:rFonts w:ascii="Times New Roman" w:hAnsi="Times New Roman" w:cs="Times New Roman"/>
          <w:noProof/>
          <w:sz w:val="24"/>
          <w:szCs w:val="24"/>
        </w:rPr>
        <w:t>. 2019;2(4):378–95. Available from: https://doi.org/10.1177%2F2515245919879695</w:t>
      </w:r>
    </w:p>
    <w:p w14:paraId="28F7027E" w14:textId="2C776C0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17. </w:t>
      </w:r>
      <w:r w:rsidRPr="0041550F">
        <w:rPr>
          <w:rFonts w:ascii="Times New Roman" w:hAnsi="Times New Roman" w:cs="Times New Roman"/>
          <w:noProof/>
          <w:sz w:val="24"/>
          <w:szCs w:val="24"/>
        </w:rPr>
        <w:tab/>
      </w:r>
      <w:r w:rsidR="002A78C3" w:rsidRPr="0041550F">
        <w:rPr>
          <w:rFonts w:ascii="Times New Roman" w:hAnsi="Times New Roman" w:cs="Times New Roman"/>
          <w:noProof/>
          <w:sz w:val="24"/>
          <w:szCs w:val="24"/>
        </w:rPr>
        <w:t>von Bastian CC, Blais C, Brewer GA, Gyukovics M, Hedge C, Kałamała P, et al. Advancing the understanding of individual differences in attentional control: Theoretical, methodological, and analytical considerations. 2020; Available from: https://doi.org/10.31234/osf.io/x3b9k</w:t>
      </w:r>
    </w:p>
    <w:p w14:paraId="2727765D" w14:textId="2F6D400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18. </w:t>
      </w:r>
      <w:r w:rsidRPr="0041550F">
        <w:rPr>
          <w:rFonts w:ascii="Times New Roman" w:hAnsi="Times New Roman" w:cs="Times New Roman"/>
          <w:noProof/>
          <w:sz w:val="24"/>
          <w:szCs w:val="24"/>
        </w:rPr>
        <w:tab/>
      </w:r>
      <w:r w:rsidR="00605C82" w:rsidRPr="0041550F">
        <w:rPr>
          <w:rFonts w:ascii="Times New Roman" w:hAnsi="Times New Roman" w:cs="Times New Roman"/>
          <w:noProof/>
          <w:sz w:val="24"/>
          <w:szCs w:val="24"/>
        </w:rPr>
        <w:t xml:space="preserve">Verbruggen F, Aron AR, Band GPH, Beste C, Bissett PG, Brockett AT, et al. A consensus guide to capturing the ability to inhibit actions and impulsive behaviors in the stop-signal task. </w:t>
      </w:r>
      <w:r w:rsidR="00605C82" w:rsidRPr="0041550F">
        <w:rPr>
          <w:rFonts w:ascii="Times New Roman" w:hAnsi="Times New Roman" w:cs="Times New Roman"/>
          <w:i/>
          <w:iCs/>
          <w:noProof/>
          <w:sz w:val="24"/>
          <w:szCs w:val="24"/>
        </w:rPr>
        <w:t>eLife</w:t>
      </w:r>
      <w:r w:rsidR="00605C82" w:rsidRPr="0041550F">
        <w:rPr>
          <w:rFonts w:ascii="Times New Roman" w:hAnsi="Times New Roman" w:cs="Times New Roman"/>
          <w:noProof/>
          <w:sz w:val="24"/>
          <w:szCs w:val="24"/>
        </w:rPr>
        <w:t>. 2019;8:1–26. Available from: https://doi.org/10.7554/eLife.46323</w:t>
      </w:r>
      <w:r w:rsidRPr="0041550F">
        <w:rPr>
          <w:rFonts w:ascii="Times New Roman" w:hAnsi="Times New Roman" w:cs="Times New Roman"/>
          <w:noProof/>
          <w:sz w:val="24"/>
          <w:szCs w:val="24"/>
        </w:rPr>
        <w:t xml:space="preserve"> </w:t>
      </w:r>
    </w:p>
    <w:p w14:paraId="2FF4986A" w14:textId="24EB62EE"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19. </w:t>
      </w:r>
      <w:r w:rsidRPr="0041550F">
        <w:rPr>
          <w:rFonts w:ascii="Times New Roman" w:hAnsi="Times New Roman" w:cs="Times New Roman"/>
          <w:noProof/>
          <w:sz w:val="24"/>
          <w:szCs w:val="24"/>
        </w:rPr>
        <w:tab/>
        <w:t xml:space="preserve">Munafò MR, Nosek BA, Bishop DVM, Button KS, Chambers CD, Percie Du Sert N, et al. A manifesto for reproducible science. </w:t>
      </w:r>
      <w:r w:rsidRPr="0041550F">
        <w:rPr>
          <w:rFonts w:ascii="Times New Roman" w:hAnsi="Times New Roman" w:cs="Times New Roman"/>
          <w:i/>
          <w:iCs/>
          <w:noProof/>
          <w:sz w:val="24"/>
          <w:szCs w:val="24"/>
        </w:rPr>
        <w:t>Nat</w:t>
      </w:r>
      <w:r w:rsidR="008B7249" w:rsidRPr="0041550F">
        <w:rPr>
          <w:rFonts w:ascii="Times New Roman" w:hAnsi="Times New Roman" w:cs="Times New Roman"/>
          <w:i/>
          <w:iCs/>
          <w:noProof/>
          <w:sz w:val="24"/>
          <w:szCs w:val="24"/>
        </w:rPr>
        <w:t>ure</w:t>
      </w:r>
      <w:r w:rsidRPr="0041550F">
        <w:rPr>
          <w:rFonts w:ascii="Times New Roman" w:hAnsi="Times New Roman" w:cs="Times New Roman"/>
          <w:i/>
          <w:iCs/>
          <w:noProof/>
          <w:sz w:val="24"/>
          <w:szCs w:val="24"/>
        </w:rPr>
        <w:t xml:space="preserve"> Hum</w:t>
      </w:r>
      <w:r w:rsidR="008B7249" w:rsidRPr="0041550F">
        <w:rPr>
          <w:rFonts w:ascii="Times New Roman" w:hAnsi="Times New Roman" w:cs="Times New Roman"/>
          <w:i/>
          <w:iCs/>
          <w:noProof/>
          <w:sz w:val="24"/>
          <w:szCs w:val="24"/>
        </w:rPr>
        <w:t>an</w:t>
      </w:r>
      <w:r w:rsidRPr="0041550F">
        <w:rPr>
          <w:rFonts w:ascii="Times New Roman" w:hAnsi="Times New Roman" w:cs="Times New Roman"/>
          <w:i/>
          <w:iCs/>
          <w:noProof/>
          <w:sz w:val="24"/>
          <w:szCs w:val="24"/>
        </w:rPr>
        <w:t xml:space="preserve"> Behav</w:t>
      </w:r>
      <w:r w:rsidR="008B7249" w:rsidRPr="0041550F">
        <w:rPr>
          <w:rFonts w:ascii="Times New Roman" w:hAnsi="Times New Roman" w:cs="Times New Roman"/>
          <w:i/>
          <w:iCs/>
          <w:noProof/>
          <w:sz w:val="24"/>
          <w:szCs w:val="24"/>
        </w:rPr>
        <w:t>ior</w:t>
      </w:r>
      <w:r w:rsidRPr="0041550F">
        <w:rPr>
          <w:rFonts w:ascii="Times New Roman" w:hAnsi="Times New Roman" w:cs="Times New Roman"/>
          <w:noProof/>
          <w:sz w:val="24"/>
          <w:szCs w:val="24"/>
        </w:rPr>
        <w:t>. 2017;1(1):1–9. Available from: http://dx.doi.org/10.1038/s41562-016-0021</w:t>
      </w:r>
    </w:p>
    <w:p w14:paraId="5587F10D" w14:textId="2DDDB74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20. </w:t>
      </w:r>
      <w:r w:rsidRPr="0041550F">
        <w:rPr>
          <w:rFonts w:ascii="Times New Roman" w:hAnsi="Times New Roman" w:cs="Times New Roman"/>
          <w:noProof/>
          <w:sz w:val="24"/>
          <w:szCs w:val="24"/>
        </w:rPr>
        <w:tab/>
        <w:t xml:space="preserve">Silberzahn R, Uhlmann EL, Martin DP, Anselmi P, Aust F, Awtrey E, et al. Many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nalysts, </w:t>
      </w:r>
      <w:r w:rsidR="00D3066C" w:rsidRPr="0041550F">
        <w:rPr>
          <w:rFonts w:ascii="Times New Roman" w:hAnsi="Times New Roman" w:cs="Times New Roman"/>
          <w:noProof/>
          <w:sz w:val="24"/>
          <w:szCs w:val="24"/>
        </w:rPr>
        <w:t>o</w:t>
      </w:r>
      <w:r w:rsidRPr="0041550F">
        <w:rPr>
          <w:rFonts w:ascii="Times New Roman" w:hAnsi="Times New Roman" w:cs="Times New Roman"/>
          <w:noProof/>
          <w:sz w:val="24"/>
          <w:szCs w:val="24"/>
        </w:rPr>
        <w:t xml:space="preserve">ne </w:t>
      </w:r>
      <w:r w:rsidR="00D3066C" w:rsidRPr="0041550F">
        <w:rPr>
          <w:rFonts w:ascii="Times New Roman" w:hAnsi="Times New Roman" w:cs="Times New Roman"/>
          <w:noProof/>
          <w:sz w:val="24"/>
          <w:szCs w:val="24"/>
        </w:rPr>
        <w:t>d</w:t>
      </w:r>
      <w:r w:rsidRPr="0041550F">
        <w:rPr>
          <w:rFonts w:ascii="Times New Roman" w:hAnsi="Times New Roman" w:cs="Times New Roman"/>
          <w:noProof/>
          <w:sz w:val="24"/>
          <w:szCs w:val="24"/>
        </w:rPr>
        <w:t xml:space="preserve">ata </w:t>
      </w:r>
      <w:r w:rsidR="00D3066C"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et: Making </w:t>
      </w:r>
      <w:r w:rsidR="00D3066C"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ransparent </w:t>
      </w:r>
      <w:r w:rsidR="00D3066C" w:rsidRPr="0041550F">
        <w:rPr>
          <w:rFonts w:ascii="Times New Roman" w:hAnsi="Times New Roman" w:cs="Times New Roman"/>
          <w:noProof/>
          <w:sz w:val="24"/>
          <w:szCs w:val="24"/>
        </w:rPr>
        <w:t>ho</w:t>
      </w:r>
      <w:r w:rsidRPr="0041550F">
        <w:rPr>
          <w:rFonts w:ascii="Times New Roman" w:hAnsi="Times New Roman" w:cs="Times New Roman"/>
          <w:noProof/>
          <w:sz w:val="24"/>
          <w:szCs w:val="24"/>
        </w:rPr>
        <w:t xml:space="preserve">w </w:t>
      </w:r>
      <w:r w:rsidR="00D3066C" w:rsidRPr="0041550F">
        <w:rPr>
          <w:rFonts w:ascii="Times New Roman" w:hAnsi="Times New Roman" w:cs="Times New Roman"/>
          <w:noProof/>
          <w:sz w:val="24"/>
          <w:szCs w:val="24"/>
        </w:rPr>
        <w:t>v</w:t>
      </w:r>
      <w:r w:rsidRPr="0041550F">
        <w:rPr>
          <w:rFonts w:ascii="Times New Roman" w:hAnsi="Times New Roman" w:cs="Times New Roman"/>
          <w:noProof/>
          <w:sz w:val="24"/>
          <w:szCs w:val="24"/>
        </w:rPr>
        <w:t xml:space="preserve">ariations in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nalytic </w:t>
      </w:r>
      <w:r w:rsidR="00D3066C"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hoices </w:t>
      </w:r>
      <w:r w:rsidR="00D3066C"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ffect </w:t>
      </w:r>
      <w:r w:rsidR="00D3066C" w:rsidRPr="0041550F">
        <w:rPr>
          <w:rFonts w:ascii="Times New Roman" w:hAnsi="Times New Roman" w:cs="Times New Roman"/>
          <w:noProof/>
          <w:sz w:val="24"/>
          <w:szCs w:val="24"/>
        </w:rPr>
        <w:t>r</w:t>
      </w:r>
      <w:r w:rsidRPr="0041550F">
        <w:rPr>
          <w:rFonts w:ascii="Times New Roman" w:hAnsi="Times New Roman" w:cs="Times New Roman"/>
          <w:noProof/>
          <w:sz w:val="24"/>
          <w:szCs w:val="24"/>
        </w:rPr>
        <w:t>esults.</w:t>
      </w:r>
      <w:r w:rsidRPr="0041550F">
        <w:rPr>
          <w:rFonts w:ascii="Times New Roman" w:hAnsi="Times New Roman" w:cs="Times New Roman"/>
          <w:i/>
          <w:iCs/>
          <w:noProof/>
          <w:sz w:val="24"/>
          <w:szCs w:val="24"/>
        </w:rPr>
        <w:t xml:space="preserve"> Adv</w:t>
      </w:r>
      <w:r w:rsidR="00D3066C" w:rsidRPr="0041550F">
        <w:rPr>
          <w:rFonts w:ascii="Times New Roman" w:hAnsi="Times New Roman" w:cs="Times New Roman"/>
          <w:i/>
          <w:iCs/>
          <w:noProof/>
          <w:sz w:val="24"/>
          <w:szCs w:val="24"/>
        </w:rPr>
        <w:t>ances in</w:t>
      </w:r>
      <w:r w:rsidRPr="0041550F">
        <w:rPr>
          <w:rFonts w:ascii="Times New Roman" w:hAnsi="Times New Roman" w:cs="Times New Roman"/>
          <w:i/>
          <w:iCs/>
          <w:noProof/>
          <w:sz w:val="24"/>
          <w:szCs w:val="24"/>
        </w:rPr>
        <w:t xml:space="preserve"> Methods</w:t>
      </w:r>
      <w:r w:rsidR="00D3066C"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Pract</w:t>
      </w:r>
      <w:r w:rsidR="00D3066C" w:rsidRPr="0041550F">
        <w:rPr>
          <w:rFonts w:ascii="Times New Roman" w:hAnsi="Times New Roman" w:cs="Times New Roman"/>
          <w:i/>
          <w:iCs/>
          <w:noProof/>
          <w:sz w:val="24"/>
          <w:szCs w:val="24"/>
        </w:rPr>
        <w:t>ices in</w:t>
      </w:r>
      <w:r w:rsidRPr="0041550F">
        <w:rPr>
          <w:rFonts w:ascii="Times New Roman" w:hAnsi="Times New Roman" w:cs="Times New Roman"/>
          <w:i/>
          <w:iCs/>
          <w:noProof/>
          <w:sz w:val="24"/>
          <w:szCs w:val="24"/>
        </w:rPr>
        <w:t xml:space="preserve"> Psychol</w:t>
      </w:r>
      <w:r w:rsidR="00D3066C" w:rsidRPr="0041550F">
        <w:rPr>
          <w:rFonts w:ascii="Times New Roman" w:hAnsi="Times New Roman" w:cs="Times New Roman"/>
          <w:i/>
          <w:iCs/>
          <w:noProof/>
          <w:sz w:val="24"/>
          <w:szCs w:val="24"/>
        </w:rPr>
        <w:t>ogical</w:t>
      </w:r>
      <w:r w:rsidRPr="0041550F">
        <w:rPr>
          <w:rFonts w:ascii="Times New Roman" w:hAnsi="Times New Roman" w:cs="Times New Roman"/>
          <w:i/>
          <w:iCs/>
          <w:noProof/>
          <w:sz w:val="24"/>
          <w:szCs w:val="24"/>
        </w:rPr>
        <w:t xml:space="preserve"> Sci</w:t>
      </w:r>
      <w:r w:rsidR="00D3066C"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xml:space="preserve">. 2018;1(3):337–56. </w:t>
      </w:r>
      <w:r w:rsidR="00D3066C" w:rsidRPr="0041550F">
        <w:rPr>
          <w:rFonts w:ascii="Times New Roman" w:hAnsi="Times New Roman" w:cs="Times New Roman"/>
          <w:noProof/>
          <w:sz w:val="24"/>
          <w:szCs w:val="24"/>
        </w:rPr>
        <w:t>Available from: https://doi.org/10.1177%2F2515245917747646</w:t>
      </w:r>
    </w:p>
    <w:p w14:paraId="5B3751B1" w14:textId="2DB600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21. </w:t>
      </w:r>
      <w:r w:rsidRPr="0041550F">
        <w:rPr>
          <w:rFonts w:ascii="Times New Roman" w:hAnsi="Times New Roman" w:cs="Times New Roman"/>
          <w:noProof/>
          <w:sz w:val="24"/>
          <w:szCs w:val="24"/>
        </w:rPr>
        <w:tab/>
      </w:r>
      <w:r w:rsidR="00C92B44" w:rsidRPr="0041550F">
        <w:rPr>
          <w:rFonts w:ascii="Times New Roman" w:hAnsi="Times New Roman" w:cs="Times New Roman"/>
          <w:noProof/>
          <w:sz w:val="24"/>
          <w:szCs w:val="24"/>
        </w:rPr>
        <w:t xml:space="preserve">Cox WM, Fadardi JS, Pothos EM. The addiction-stroop test: Theoretical considerations and procedural recommendations. </w:t>
      </w:r>
      <w:r w:rsidR="00C92B44" w:rsidRPr="0041550F">
        <w:rPr>
          <w:rFonts w:ascii="Times New Roman" w:hAnsi="Times New Roman" w:cs="Times New Roman"/>
          <w:i/>
          <w:iCs/>
          <w:noProof/>
          <w:sz w:val="24"/>
          <w:szCs w:val="24"/>
        </w:rPr>
        <w:t>Psychological Bulletin</w:t>
      </w:r>
      <w:r w:rsidR="00C92B44" w:rsidRPr="0041550F">
        <w:rPr>
          <w:rFonts w:ascii="Times New Roman" w:hAnsi="Times New Roman" w:cs="Times New Roman"/>
          <w:noProof/>
          <w:sz w:val="24"/>
          <w:szCs w:val="24"/>
        </w:rPr>
        <w:t>. 2006;132(3):443–76. Available from: https://doi.org/10.1037/0033-2909.132.3.443</w:t>
      </w:r>
      <w:r w:rsidRPr="0041550F">
        <w:rPr>
          <w:rFonts w:ascii="Times New Roman" w:hAnsi="Times New Roman" w:cs="Times New Roman"/>
          <w:noProof/>
          <w:sz w:val="24"/>
          <w:szCs w:val="24"/>
        </w:rPr>
        <w:t xml:space="preserve"> </w:t>
      </w:r>
    </w:p>
    <w:p w14:paraId="7445E890" w14:textId="0E3D0B6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22. </w:t>
      </w:r>
      <w:r w:rsidRPr="0041550F">
        <w:rPr>
          <w:rFonts w:ascii="Times New Roman" w:hAnsi="Times New Roman" w:cs="Times New Roman"/>
          <w:noProof/>
          <w:sz w:val="24"/>
          <w:szCs w:val="24"/>
        </w:rPr>
        <w:tab/>
      </w:r>
      <w:r w:rsidR="00C554AF" w:rsidRPr="0041550F">
        <w:rPr>
          <w:rFonts w:ascii="Times New Roman" w:hAnsi="Times New Roman" w:cs="Times New Roman"/>
          <w:noProof/>
          <w:sz w:val="24"/>
          <w:szCs w:val="24"/>
        </w:rPr>
        <w:t>MacLeod C, Mathews A, Tata P. Attentional bias in emotional disorders. J</w:t>
      </w:r>
      <w:r w:rsidR="00C554AF" w:rsidRPr="0041550F">
        <w:rPr>
          <w:rFonts w:ascii="Times New Roman" w:hAnsi="Times New Roman" w:cs="Times New Roman"/>
          <w:i/>
          <w:iCs/>
          <w:noProof/>
          <w:sz w:val="24"/>
          <w:szCs w:val="24"/>
        </w:rPr>
        <w:t>ournal of Abnormal Psychology</w:t>
      </w:r>
      <w:r w:rsidR="00C554AF" w:rsidRPr="0041550F">
        <w:rPr>
          <w:rFonts w:ascii="Times New Roman" w:hAnsi="Times New Roman" w:cs="Times New Roman"/>
          <w:noProof/>
          <w:sz w:val="24"/>
          <w:szCs w:val="24"/>
        </w:rPr>
        <w:t>. 1986;95(1):15–20. Available from: https://doi.org/10.1037//0021-843x.95.1.15</w:t>
      </w:r>
    </w:p>
    <w:p w14:paraId="38F7C06B" w14:textId="6F28D31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23. </w:t>
      </w:r>
      <w:r w:rsidRPr="0041550F">
        <w:rPr>
          <w:rFonts w:ascii="Times New Roman" w:hAnsi="Times New Roman" w:cs="Times New Roman"/>
          <w:noProof/>
          <w:sz w:val="24"/>
          <w:szCs w:val="24"/>
        </w:rPr>
        <w:tab/>
      </w:r>
      <w:r w:rsidR="0053760A" w:rsidRPr="0041550F">
        <w:rPr>
          <w:rFonts w:ascii="Times New Roman" w:hAnsi="Times New Roman" w:cs="Times New Roman"/>
          <w:noProof/>
          <w:sz w:val="24"/>
          <w:szCs w:val="24"/>
        </w:rPr>
        <w:t xml:space="preserve">Stroop JR. Studies of interference in serial verbal reactions. </w:t>
      </w:r>
      <w:r w:rsidR="0053760A" w:rsidRPr="0041550F">
        <w:rPr>
          <w:rFonts w:ascii="Times New Roman" w:hAnsi="Times New Roman" w:cs="Times New Roman"/>
          <w:i/>
          <w:iCs/>
          <w:noProof/>
          <w:sz w:val="24"/>
          <w:szCs w:val="24"/>
        </w:rPr>
        <w:t>Journal of Experimental Psychology</w:t>
      </w:r>
      <w:r w:rsidR="0053760A" w:rsidRPr="0041550F">
        <w:rPr>
          <w:rFonts w:ascii="Times New Roman" w:hAnsi="Times New Roman" w:cs="Times New Roman"/>
          <w:noProof/>
          <w:sz w:val="24"/>
          <w:szCs w:val="24"/>
        </w:rPr>
        <w:t>. 1935;18(6):643–62. Available from: https://doi.org/10.1037/h0054651</w:t>
      </w:r>
    </w:p>
    <w:p w14:paraId="139D9620" w14:textId="4EE1436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24. </w:t>
      </w:r>
      <w:r w:rsidRPr="0041550F">
        <w:rPr>
          <w:rFonts w:ascii="Times New Roman" w:hAnsi="Times New Roman" w:cs="Times New Roman"/>
          <w:noProof/>
          <w:sz w:val="24"/>
          <w:szCs w:val="24"/>
        </w:rPr>
        <w:tab/>
      </w:r>
      <w:r w:rsidR="0039012C" w:rsidRPr="0041550F">
        <w:rPr>
          <w:rFonts w:ascii="Times New Roman" w:hAnsi="Times New Roman" w:cs="Times New Roman"/>
          <w:noProof/>
          <w:sz w:val="24"/>
          <w:szCs w:val="24"/>
        </w:rPr>
        <w:t xml:space="preserve">Field M, Christiansen P, Cole J, Goudie A. Delay discounting and the alcohol Stroop in heavy drinking adolescents. </w:t>
      </w:r>
      <w:r w:rsidR="0039012C" w:rsidRPr="0041550F">
        <w:rPr>
          <w:rFonts w:ascii="Times New Roman" w:hAnsi="Times New Roman" w:cs="Times New Roman"/>
          <w:i/>
          <w:iCs/>
          <w:noProof/>
          <w:sz w:val="24"/>
          <w:szCs w:val="24"/>
        </w:rPr>
        <w:t>Addiction</w:t>
      </w:r>
      <w:r w:rsidR="0039012C" w:rsidRPr="0041550F">
        <w:rPr>
          <w:rFonts w:ascii="Times New Roman" w:hAnsi="Times New Roman" w:cs="Times New Roman"/>
          <w:noProof/>
          <w:sz w:val="24"/>
          <w:szCs w:val="24"/>
        </w:rPr>
        <w:t>. 2007;102(4):579–86. Available: https://doi.org/10.1111/j.1360-0443.2007.01743.x</w:t>
      </w:r>
    </w:p>
    <w:p w14:paraId="1F950785" w14:textId="45530BF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25. </w:t>
      </w:r>
      <w:r w:rsidRPr="0041550F">
        <w:rPr>
          <w:rFonts w:ascii="Times New Roman" w:hAnsi="Times New Roman" w:cs="Times New Roman"/>
          <w:noProof/>
          <w:sz w:val="24"/>
          <w:szCs w:val="24"/>
        </w:rPr>
        <w:tab/>
      </w:r>
      <w:r w:rsidR="00C645CC" w:rsidRPr="0041550F">
        <w:rPr>
          <w:rFonts w:ascii="Times New Roman" w:hAnsi="Times New Roman" w:cs="Times New Roman"/>
          <w:noProof/>
          <w:sz w:val="24"/>
          <w:szCs w:val="24"/>
        </w:rPr>
        <w:t xml:space="preserve">Flaudias V, Brousse G, de Chazeron I, Planche F, Brun J, Llorca PM. Treatment in hospital for alcohol-dependent patients decreases attentional bias. </w:t>
      </w:r>
      <w:r w:rsidR="00C645CC" w:rsidRPr="0041550F">
        <w:rPr>
          <w:rFonts w:ascii="Times New Roman" w:hAnsi="Times New Roman" w:cs="Times New Roman"/>
          <w:i/>
          <w:iCs/>
          <w:noProof/>
          <w:sz w:val="24"/>
          <w:szCs w:val="24"/>
        </w:rPr>
        <w:t>Neuropsychiatric Disease &amp; Treatment</w:t>
      </w:r>
      <w:r w:rsidR="00C645CC" w:rsidRPr="0041550F">
        <w:rPr>
          <w:rFonts w:ascii="Times New Roman" w:hAnsi="Times New Roman" w:cs="Times New Roman"/>
          <w:noProof/>
          <w:sz w:val="24"/>
          <w:szCs w:val="24"/>
        </w:rPr>
        <w:t>. 2013;9:773–9. Available from: https://doi.org/10.2147/NDT.S42556</w:t>
      </w:r>
    </w:p>
    <w:p w14:paraId="694DE41D" w14:textId="77777777" w:rsidR="00CD6686"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26. </w:t>
      </w:r>
      <w:r w:rsidRPr="0041550F">
        <w:rPr>
          <w:rFonts w:ascii="Times New Roman" w:hAnsi="Times New Roman" w:cs="Times New Roman"/>
          <w:noProof/>
          <w:sz w:val="24"/>
          <w:szCs w:val="24"/>
        </w:rPr>
        <w:tab/>
      </w:r>
      <w:r w:rsidR="00CD6686" w:rsidRPr="0041550F">
        <w:rPr>
          <w:rFonts w:ascii="Times New Roman" w:hAnsi="Times New Roman" w:cs="Times New Roman"/>
          <w:noProof/>
          <w:sz w:val="24"/>
          <w:szCs w:val="24"/>
        </w:rPr>
        <w:t xml:space="preserve">Spanakis P, Jones A, Field M, Christiansen P. A Stroop in the hand is worth two on the laptop: Superior reliability of a smartphone based alcohol Stroop in the real world. </w:t>
      </w:r>
      <w:r w:rsidR="00CD6686" w:rsidRPr="0041550F">
        <w:rPr>
          <w:rFonts w:ascii="Times New Roman" w:hAnsi="Times New Roman" w:cs="Times New Roman"/>
          <w:i/>
          <w:iCs/>
          <w:noProof/>
          <w:sz w:val="24"/>
          <w:szCs w:val="24"/>
        </w:rPr>
        <w:t>Substance Use &amp; Misuse</w:t>
      </w:r>
      <w:r w:rsidR="00CD6686" w:rsidRPr="0041550F">
        <w:rPr>
          <w:rFonts w:ascii="Times New Roman" w:hAnsi="Times New Roman" w:cs="Times New Roman"/>
          <w:noProof/>
          <w:sz w:val="24"/>
          <w:szCs w:val="24"/>
        </w:rPr>
        <w:t>. 2019;54(4):692–8. Available from: https://doi.org/10.1080/10826084.2018.1536716</w:t>
      </w:r>
    </w:p>
    <w:p w14:paraId="594CF717" w14:textId="448042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27. </w:t>
      </w:r>
      <w:r w:rsidRPr="0041550F">
        <w:rPr>
          <w:rFonts w:ascii="Times New Roman" w:hAnsi="Times New Roman" w:cs="Times New Roman"/>
          <w:noProof/>
          <w:sz w:val="24"/>
          <w:szCs w:val="24"/>
        </w:rPr>
        <w:tab/>
      </w:r>
      <w:r w:rsidR="009051E5" w:rsidRPr="0041550F">
        <w:rPr>
          <w:rFonts w:ascii="Times New Roman" w:hAnsi="Times New Roman" w:cs="Times New Roman"/>
          <w:noProof/>
          <w:sz w:val="24"/>
          <w:szCs w:val="24"/>
        </w:rPr>
        <w:t xml:space="preserve">Manchery L, Yarmush DE, Luehring-Jones P, Erblich J. Attentional bias to alcohol stimuli predicts elevated cue-induced craving in young adult social drinkers. </w:t>
      </w:r>
      <w:r w:rsidR="009051E5" w:rsidRPr="0041550F">
        <w:rPr>
          <w:rFonts w:ascii="Times New Roman" w:hAnsi="Times New Roman" w:cs="Times New Roman"/>
          <w:i/>
          <w:iCs/>
          <w:noProof/>
          <w:sz w:val="24"/>
          <w:szCs w:val="24"/>
        </w:rPr>
        <w:t>Addictive Behavior</w:t>
      </w:r>
      <w:r w:rsidR="009051E5" w:rsidRPr="0041550F">
        <w:rPr>
          <w:rFonts w:ascii="Times New Roman" w:hAnsi="Times New Roman" w:cs="Times New Roman"/>
          <w:noProof/>
          <w:sz w:val="24"/>
          <w:szCs w:val="24"/>
        </w:rPr>
        <w:t>. 2017;70:14–7. Available from: http://dx.doi.org/10.1016/j.addbeh.2017.01.035</w:t>
      </w:r>
    </w:p>
    <w:p w14:paraId="78B0094A" w14:textId="61EFBD0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28. </w:t>
      </w:r>
      <w:r w:rsidRPr="0041550F">
        <w:rPr>
          <w:rFonts w:ascii="Times New Roman" w:hAnsi="Times New Roman" w:cs="Times New Roman"/>
          <w:noProof/>
          <w:sz w:val="24"/>
          <w:szCs w:val="24"/>
        </w:rPr>
        <w:tab/>
      </w:r>
      <w:r w:rsidR="00484FC0" w:rsidRPr="0041550F">
        <w:rPr>
          <w:rFonts w:ascii="Times New Roman" w:hAnsi="Times New Roman" w:cs="Times New Roman"/>
          <w:noProof/>
          <w:sz w:val="24"/>
          <w:szCs w:val="24"/>
        </w:rPr>
        <w:t xml:space="preserve">Miller MA, Fillmore MT. Persistence of attentional bias toward alcohol-related stimuli in intoxicated social drinkers. </w:t>
      </w:r>
      <w:r w:rsidR="00484FC0" w:rsidRPr="0041550F">
        <w:rPr>
          <w:rFonts w:ascii="Times New Roman" w:hAnsi="Times New Roman" w:cs="Times New Roman"/>
          <w:i/>
          <w:iCs/>
          <w:noProof/>
          <w:sz w:val="24"/>
          <w:szCs w:val="24"/>
        </w:rPr>
        <w:t>Drug &amp; Alcohol Dependence</w:t>
      </w:r>
      <w:r w:rsidR="00484FC0" w:rsidRPr="0041550F">
        <w:rPr>
          <w:rFonts w:ascii="Times New Roman" w:hAnsi="Times New Roman" w:cs="Times New Roman"/>
          <w:noProof/>
          <w:sz w:val="24"/>
          <w:szCs w:val="24"/>
        </w:rPr>
        <w:t>. 2011;117(2–3):184–9. Available from: http://dx.doi.org/10.1016/j.drugalcdep.2011.01.016</w:t>
      </w:r>
    </w:p>
    <w:p w14:paraId="14615738" w14:textId="6409EB3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29. </w:t>
      </w:r>
      <w:r w:rsidRPr="0041550F">
        <w:rPr>
          <w:rFonts w:ascii="Times New Roman" w:hAnsi="Times New Roman" w:cs="Times New Roman"/>
          <w:noProof/>
          <w:sz w:val="24"/>
          <w:szCs w:val="24"/>
        </w:rPr>
        <w:tab/>
      </w:r>
      <w:r w:rsidR="00484FC0" w:rsidRPr="0041550F">
        <w:rPr>
          <w:rFonts w:ascii="Times New Roman" w:hAnsi="Times New Roman" w:cs="Times New Roman"/>
          <w:noProof/>
          <w:sz w:val="24"/>
          <w:szCs w:val="24"/>
        </w:rPr>
        <w:t xml:space="preserve">Ramirez, J. J., Monti, P. M., &amp; Colwill RM. Brief and extended alcohol-cue-exposure effects on craving and attentional bias. </w:t>
      </w:r>
      <w:r w:rsidR="00484FC0" w:rsidRPr="0041550F">
        <w:rPr>
          <w:rFonts w:ascii="Times New Roman" w:hAnsi="Times New Roman" w:cs="Times New Roman"/>
          <w:i/>
          <w:iCs/>
          <w:noProof/>
          <w:sz w:val="24"/>
          <w:szCs w:val="24"/>
        </w:rPr>
        <w:t>Experimental &amp; Clinical Psychopharmacology</w:t>
      </w:r>
      <w:r w:rsidR="00484FC0" w:rsidRPr="0041550F">
        <w:rPr>
          <w:rFonts w:ascii="Times New Roman" w:hAnsi="Times New Roman" w:cs="Times New Roman"/>
          <w:noProof/>
          <w:sz w:val="24"/>
          <w:szCs w:val="24"/>
        </w:rPr>
        <w:t xml:space="preserve">. 2015;23:159–67. Available from: https://doi.org/10.1037/pha0000018  </w:t>
      </w:r>
    </w:p>
    <w:p w14:paraId="755BB238" w14:textId="0B25AAC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30. </w:t>
      </w:r>
      <w:r w:rsidRPr="0041550F">
        <w:rPr>
          <w:rFonts w:ascii="Times New Roman" w:hAnsi="Times New Roman" w:cs="Times New Roman"/>
          <w:noProof/>
          <w:sz w:val="24"/>
          <w:szCs w:val="24"/>
        </w:rPr>
        <w:tab/>
      </w:r>
      <w:r w:rsidR="008309AA" w:rsidRPr="0041550F">
        <w:rPr>
          <w:rFonts w:ascii="Times New Roman" w:hAnsi="Times New Roman" w:cs="Times New Roman"/>
          <w:noProof/>
          <w:sz w:val="24"/>
          <w:szCs w:val="24"/>
        </w:rPr>
        <w:t xml:space="preserve">Díaz-Batanero C, Domínguez-Salas S, Moraleda E, Fernández-Calderón F, Lozano OM. Attentional bias toward alcohol stimuli as a predictor of treatment retention in cocaine dependence and alcohol user patients. </w:t>
      </w:r>
      <w:r w:rsidR="008309AA" w:rsidRPr="0041550F">
        <w:rPr>
          <w:rFonts w:ascii="Times New Roman" w:hAnsi="Times New Roman" w:cs="Times New Roman"/>
          <w:i/>
          <w:iCs/>
          <w:noProof/>
          <w:sz w:val="24"/>
          <w:szCs w:val="24"/>
        </w:rPr>
        <w:t>Drug &amp; Alcohol Dependence</w:t>
      </w:r>
      <w:r w:rsidR="008309AA" w:rsidRPr="0041550F">
        <w:rPr>
          <w:rFonts w:ascii="Times New Roman" w:hAnsi="Times New Roman" w:cs="Times New Roman"/>
          <w:noProof/>
          <w:sz w:val="24"/>
          <w:szCs w:val="24"/>
        </w:rPr>
        <w:t>. 2018;182:40–7. Available from: https://doi.org/10.1016/j.drugalcdep.2017.10.005</w:t>
      </w:r>
    </w:p>
    <w:p w14:paraId="59D0F4FF" w14:textId="5747687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31.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 xml:space="preserve">Gladwin TE, Vink M. Alcohol-related attentional bias variability and conflicting automatic associations. </w:t>
      </w:r>
      <w:r w:rsidR="00710BDC" w:rsidRPr="0041550F">
        <w:rPr>
          <w:rFonts w:ascii="Times New Roman" w:eastAsia="Times New Roman" w:hAnsi="Times New Roman" w:cs="Times New Roman"/>
          <w:i/>
          <w:sz w:val="24"/>
          <w:szCs w:val="24"/>
        </w:rPr>
        <w:t>Journal of Experimental Psychopathology</w:t>
      </w:r>
      <w:r w:rsidR="00710BDC" w:rsidRPr="0041550F">
        <w:rPr>
          <w:rFonts w:ascii="Times New Roman" w:eastAsia="Times New Roman" w:hAnsi="Times New Roman" w:cs="Times New Roman"/>
          <w:sz w:val="24"/>
          <w:szCs w:val="24"/>
        </w:rPr>
        <w:t>. 2018;9(2):1-14. Available from: https://doi.org/10.5127/jep.062317</w:t>
      </w:r>
      <w:r w:rsidRPr="0041550F">
        <w:rPr>
          <w:rFonts w:ascii="Times New Roman" w:hAnsi="Times New Roman" w:cs="Times New Roman"/>
          <w:noProof/>
          <w:sz w:val="24"/>
          <w:szCs w:val="24"/>
        </w:rPr>
        <w:t xml:space="preserve"> </w:t>
      </w:r>
    </w:p>
    <w:p w14:paraId="4053AEC8" w14:textId="342B11C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32.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Monem R, Fillmore MT. Alcohol administration reduces attentional bias to alcohol-related but not food-related cues: Evidence for a satiety hypothesis.</w:t>
      </w:r>
      <w:r w:rsidR="00710BDC" w:rsidRPr="0041550F">
        <w:rPr>
          <w:rFonts w:ascii="Times New Roman" w:eastAsia="Times New Roman" w:hAnsi="Times New Roman" w:cs="Times New Roman"/>
          <w:i/>
          <w:sz w:val="24"/>
          <w:szCs w:val="24"/>
        </w:rPr>
        <w:t xml:space="preserve"> Psychology of Addictive Behaviors</w:t>
      </w:r>
      <w:r w:rsidR="00710BDC" w:rsidRPr="0041550F">
        <w:rPr>
          <w:rFonts w:ascii="Times New Roman" w:eastAsia="Times New Roman" w:hAnsi="Times New Roman" w:cs="Times New Roman"/>
          <w:sz w:val="24"/>
          <w:szCs w:val="24"/>
        </w:rPr>
        <w:t>. 2019;33(8):677–84. Available from: https://doi.org/10.1037/adb0000522</w:t>
      </w:r>
    </w:p>
    <w:p w14:paraId="7AB54292" w14:textId="12FDDA0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3</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710BDC" w:rsidRPr="0041550F">
        <w:rPr>
          <w:rFonts w:ascii="Times New Roman" w:eastAsia="Times New Roman" w:hAnsi="Times New Roman" w:cs="Times New Roman"/>
          <w:sz w:val="24"/>
          <w:szCs w:val="24"/>
        </w:rPr>
        <w:t>Ghiţă A, Porras García B, Moreno M, Monras M, Ortega L, Mondon S, et al. Attentional bias assessment in patients with alcohol use disorder: An eyetracking study. A</w:t>
      </w:r>
      <w:r w:rsidR="00710BDC" w:rsidRPr="0041550F">
        <w:rPr>
          <w:rFonts w:ascii="Times New Roman" w:eastAsia="Times New Roman" w:hAnsi="Times New Roman" w:cs="Times New Roman"/>
          <w:i/>
          <w:sz w:val="24"/>
          <w:szCs w:val="24"/>
        </w:rPr>
        <w:t>nnual Review of CyberTherapy &amp; Telemedicine</w:t>
      </w:r>
      <w:r w:rsidR="00710BDC" w:rsidRPr="0041550F">
        <w:rPr>
          <w:rFonts w:ascii="Times New Roman" w:eastAsia="Times New Roman" w:hAnsi="Times New Roman" w:cs="Times New Roman"/>
          <w:sz w:val="24"/>
          <w:szCs w:val="24"/>
        </w:rPr>
        <w:t>. 2019;17:83–7.</w:t>
      </w:r>
    </w:p>
    <w:p w14:paraId="16C7CC42" w14:textId="20289CA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3</w:t>
      </w:r>
      <w:r w:rsidR="00D061F3" w:rsidRPr="0041550F">
        <w:rPr>
          <w:rFonts w:ascii="Times New Roman" w:hAnsi="Times New Roman" w:cs="Times New Roman"/>
          <w:noProof/>
          <w:sz w:val="24"/>
          <w:szCs w:val="24"/>
        </w:rPr>
        <w:t>4</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D159A7" w:rsidRPr="0041550F">
        <w:rPr>
          <w:rFonts w:ascii="Times New Roman" w:hAnsi="Times New Roman" w:cs="Times New Roman"/>
          <w:noProof/>
          <w:sz w:val="24"/>
          <w:szCs w:val="24"/>
        </w:rPr>
        <w:t xml:space="preserve">Wilcockson TDW, Pothos EM. Measuring inhibitory processes for alcohol-related attentional biases: Introducing a novel attentional bias measure. </w:t>
      </w:r>
      <w:r w:rsidR="00D159A7" w:rsidRPr="0041550F">
        <w:rPr>
          <w:rFonts w:ascii="Times New Roman" w:hAnsi="Times New Roman" w:cs="Times New Roman"/>
          <w:i/>
          <w:iCs/>
          <w:noProof/>
          <w:sz w:val="24"/>
          <w:szCs w:val="24"/>
        </w:rPr>
        <w:t>Addictive Behavior</w:t>
      </w:r>
      <w:r w:rsidR="00D159A7" w:rsidRPr="0041550F">
        <w:rPr>
          <w:rFonts w:ascii="Times New Roman" w:hAnsi="Times New Roman" w:cs="Times New Roman"/>
          <w:noProof/>
          <w:sz w:val="24"/>
          <w:szCs w:val="24"/>
        </w:rPr>
        <w:t>. 2015;44:88–93. Available from: http://dx.doi.org/10.1016/j.addbeh.2014.12.015</w:t>
      </w:r>
    </w:p>
    <w:p w14:paraId="09F3C524" w14:textId="27C7BEE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5</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6B0DF5" w:rsidRPr="0041550F">
        <w:rPr>
          <w:rFonts w:ascii="Times New Roman" w:hAnsi="Times New Roman" w:cs="Times New Roman"/>
          <w:noProof/>
          <w:sz w:val="24"/>
          <w:szCs w:val="24"/>
        </w:rPr>
        <w:t xml:space="preserve">Kim J, Marciano MA, Ninham S, Zaso MJ, Park A. Interaction effects between the cumulative genetic score and psychosocial stressor on self-reported drinking urge and implicit attentional bias for alcohol: A human laboratory study. </w:t>
      </w:r>
      <w:r w:rsidR="006B0DF5" w:rsidRPr="0041550F">
        <w:rPr>
          <w:rFonts w:ascii="Times New Roman" w:hAnsi="Times New Roman" w:cs="Times New Roman"/>
          <w:i/>
          <w:iCs/>
          <w:noProof/>
          <w:sz w:val="24"/>
          <w:szCs w:val="24"/>
        </w:rPr>
        <w:t>Alcohol &amp; Alcoholism</w:t>
      </w:r>
      <w:r w:rsidR="006B0DF5" w:rsidRPr="0041550F">
        <w:rPr>
          <w:rFonts w:ascii="Times New Roman" w:hAnsi="Times New Roman" w:cs="Times New Roman"/>
          <w:noProof/>
          <w:sz w:val="24"/>
          <w:szCs w:val="24"/>
        </w:rPr>
        <w:t>. 2019;54(1):30–7. Available from: https://doi.org/10.1093/alcalc/agy065</w:t>
      </w:r>
    </w:p>
    <w:p w14:paraId="67DE9C4A" w14:textId="27A9BEF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6</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4F0351" w:rsidRPr="0041550F">
        <w:rPr>
          <w:rFonts w:ascii="Times New Roman" w:hAnsi="Times New Roman" w:cs="Times New Roman"/>
          <w:noProof/>
          <w:sz w:val="24"/>
          <w:szCs w:val="24"/>
        </w:rPr>
        <w:t xml:space="preserve">Luehring-Jones P, Louis C, Dennis-Tiwary TA, Erblich J. A </w:t>
      </w:r>
      <w:r w:rsidR="00B5655C" w:rsidRPr="0041550F">
        <w:rPr>
          <w:rFonts w:ascii="Times New Roman" w:hAnsi="Times New Roman" w:cs="Times New Roman"/>
          <w:noProof/>
          <w:sz w:val="24"/>
          <w:szCs w:val="24"/>
        </w:rPr>
        <w:t>s</w:t>
      </w:r>
      <w:r w:rsidR="004F0351" w:rsidRPr="0041550F">
        <w:rPr>
          <w:rFonts w:ascii="Times New Roman" w:hAnsi="Times New Roman" w:cs="Times New Roman"/>
          <w:noProof/>
          <w:sz w:val="24"/>
          <w:szCs w:val="24"/>
        </w:rPr>
        <w:t xml:space="preserve">ingle </w:t>
      </w:r>
      <w:r w:rsidR="00B5655C" w:rsidRPr="0041550F">
        <w:rPr>
          <w:rFonts w:ascii="Times New Roman" w:hAnsi="Times New Roman" w:cs="Times New Roman"/>
          <w:noProof/>
          <w:sz w:val="24"/>
          <w:szCs w:val="24"/>
        </w:rPr>
        <w:t>s</w:t>
      </w:r>
      <w:r w:rsidR="004F0351" w:rsidRPr="0041550F">
        <w:rPr>
          <w:rFonts w:ascii="Times New Roman" w:hAnsi="Times New Roman" w:cs="Times New Roman"/>
          <w:noProof/>
          <w:sz w:val="24"/>
          <w:szCs w:val="24"/>
        </w:rPr>
        <w:t xml:space="preserve">ession of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ttentional </w:t>
      </w:r>
      <w:r w:rsidR="00B5655C" w:rsidRPr="0041550F">
        <w:rPr>
          <w:rFonts w:ascii="Times New Roman" w:hAnsi="Times New Roman" w:cs="Times New Roman"/>
          <w:noProof/>
          <w:sz w:val="24"/>
          <w:szCs w:val="24"/>
        </w:rPr>
        <w:t>b</w:t>
      </w:r>
      <w:r w:rsidR="004F0351" w:rsidRPr="0041550F">
        <w:rPr>
          <w:rFonts w:ascii="Times New Roman" w:hAnsi="Times New Roman" w:cs="Times New Roman"/>
          <w:noProof/>
          <w:sz w:val="24"/>
          <w:szCs w:val="24"/>
        </w:rPr>
        <w:t xml:space="preserve">ias </w:t>
      </w:r>
      <w:r w:rsidR="00B5655C" w:rsidRPr="0041550F">
        <w:rPr>
          <w:rFonts w:ascii="Times New Roman" w:hAnsi="Times New Roman" w:cs="Times New Roman"/>
          <w:noProof/>
          <w:sz w:val="24"/>
          <w:szCs w:val="24"/>
        </w:rPr>
        <w:t>m</w:t>
      </w:r>
      <w:r w:rsidR="004F0351" w:rsidRPr="0041550F">
        <w:rPr>
          <w:rFonts w:ascii="Times New Roman" w:hAnsi="Times New Roman" w:cs="Times New Roman"/>
          <w:noProof/>
          <w:sz w:val="24"/>
          <w:szCs w:val="24"/>
        </w:rPr>
        <w:t xml:space="preserve">odification </w:t>
      </w:r>
      <w:r w:rsidR="00B5655C" w:rsidRPr="0041550F">
        <w:rPr>
          <w:rFonts w:ascii="Times New Roman" w:hAnsi="Times New Roman" w:cs="Times New Roman"/>
          <w:noProof/>
          <w:sz w:val="24"/>
          <w:szCs w:val="24"/>
        </w:rPr>
        <w:t>r</w:t>
      </w:r>
      <w:r w:rsidR="004F0351" w:rsidRPr="0041550F">
        <w:rPr>
          <w:rFonts w:ascii="Times New Roman" w:hAnsi="Times New Roman" w:cs="Times New Roman"/>
          <w:noProof/>
          <w:sz w:val="24"/>
          <w:szCs w:val="24"/>
        </w:rPr>
        <w:t xml:space="preserve">educes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lcohol </w:t>
      </w:r>
      <w:r w:rsidR="00B5655C" w:rsidRPr="0041550F">
        <w:rPr>
          <w:rFonts w:ascii="Times New Roman" w:hAnsi="Times New Roman" w:cs="Times New Roman"/>
          <w:noProof/>
          <w:sz w:val="24"/>
          <w:szCs w:val="24"/>
        </w:rPr>
        <w:t>c</w:t>
      </w:r>
      <w:r w:rsidR="004F0351" w:rsidRPr="0041550F">
        <w:rPr>
          <w:rFonts w:ascii="Times New Roman" w:hAnsi="Times New Roman" w:cs="Times New Roman"/>
          <w:noProof/>
          <w:sz w:val="24"/>
          <w:szCs w:val="24"/>
        </w:rPr>
        <w:t xml:space="preserve">raving and </w:t>
      </w:r>
      <w:r w:rsidR="00B5655C" w:rsidRPr="0041550F">
        <w:rPr>
          <w:rFonts w:ascii="Times New Roman" w:hAnsi="Times New Roman" w:cs="Times New Roman"/>
          <w:noProof/>
          <w:sz w:val="24"/>
          <w:szCs w:val="24"/>
        </w:rPr>
        <w:t>i</w:t>
      </w:r>
      <w:r w:rsidR="004F0351" w:rsidRPr="0041550F">
        <w:rPr>
          <w:rFonts w:ascii="Times New Roman" w:hAnsi="Times New Roman" w:cs="Times New Roman"/>
          <w:noProof/>
          <w:sz w:val="24"/>
          <w:szCs w:val="24"/>
        </w:rPr>
        <w:t xml:space="preserve">mplicit </w:t>
      </w:r>
      <w:r w:rsidR="00B5655C" w:rsidRPr="0041550F">
        <w:rPr>
          <w:rFonts w:ascii="Times New Roman" w:hAnsi="Times New Roman" w:cs="Times New Roman"/>
          <w:noProof/>
          <w:sz w:val="24"/>
          <w:szCs w:val="24"/>
        </w:rPr>
        <w:t>m</w:t>
      </w:r>
      <w:r w:rsidR="004F0351" w:rsidRPr="0041550F">
        <w:rPr>
          <w:rFonts w:ascii="Times New Roman" w:hAnsi="Times New Roman" w:cs="Times New Roman"/>
          <w:noProof/>
          <w:sz w:val="24"/>
          <w:szCs w:val="24"/>
        </w:rPr>
        <w:t xml:space="preserve">easures of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lcohol </w:t>
      </w:r>
      <w:r w:rsidR="00B5655C" w:rsidRPr="0041550F">
        <w:rPr>
          <w:rFonts w:ascii="Times New Roman" w:hAnsi="Times New Roman" w:cs="Times New Roman"/>
          <w:noProof/>
          <w:sz w:val="24"/>
          <w:szCs w:val="24"/>
        </w:rPr>
        <w:t>b</w:t>
      </w:r>
      <w:r w:rsidR="004F0351" w:rsidRPr="0041550F">
        <w:rPr>
          <w:rFonts w:ascii="Times New Roman" w:hAnsi="Times New Roman" w:cs="Times New Roman"/>
          <w:noProof/>
          <w:sz w:val="24"/>
          <w:szCs w:val="24"/>
        </w:rPr>
        <w:t xml:space="preserve">ias in </w:t>
      </w:r>
      <w:r w:rsidR="00B5655C" w:rsidRPr="0041550F">
        <w:rPr>
          <w:rFonts w:ascii="Times New Roman" w:hAnsi="Times New Roman" w:cs="Times New Roman"/>
          <w:noProof/>
          <w:sz w:val="24"/>
          <w:szCs w:val="24"/>
        </w:rPr>
        <w:t>y</w:t>
      </w:r>
      <w:r w:rsidR="004F0351" w:rsidRPr="0041550F">
        <w:rPr>
          <w:rFonts w:ascii="Times New Roman" w:hAnsi="Times New Roman" w:cs="Times New Roman"/>
          <w:noProof/>
          <w:sz w:val="24"/>
          <w:szCs w:val="24"/>
        </w:rPr>
        <w:t xml:space="preserve">oung </w:t>
      </w:r>
      <w:r w:rsidR="00B5655C" w:rsidRPr="0041550F">
        <w:rPr>
          <w:rFonts w:ascii="Times New Roman" w:hAnsi="Times New Roman" w:cs="Times New Roman"/>
          <w:noProof/>
          <w:sz w:val="24"/>
          <w:szCs w:val="24"/>
        </w:rPr>
        <w:t>a</w:t>
      </w:r>
      <w:r w:rsidR="004F0351" w:rsidRPr="0041550F">
        <w:rPr>
          <w:rFonts w:ascii="Times New Roman" w:hAnsi="Times New Roman" w:cs="Times New Roman"/>
          <w:noProof/>
          <w:sz w:val="24"/>
          <w:szCs w:val="24"/>
        </w:rPr>
        <w:t xml:space="preserve">dult </w:t>
      </w:r>
      <w:r w:rsidR="00B5655C" w:rsidRPr="0041550F">
        <w:rPr>
          <w:rFonts w:ascii="Times New Roman" w:hAnsi="Times New Roman" w:cs="Times New Roman"/>
          <w:noProof/>
          <w:sz w:val="24"/>
          <w:szCs w:val="24"/>
        </w:rPr>
        <w:t>d</w:t>
      </w:r>
      <w:r w:rsidR="004F0351" w:rsidRPr="0041550F">
        <w:rPr>
          <w:rFonts w:ascii="Times New Roman" w:hAnsi="Times New Roman" w:cs="Times New Roman"/>
          <w:noProof/>
          <w:sz w:val="24"/>
          <w:szCs w:val="24"/>
        </w:rPr>
        <w:t xml:space="preserve">rinkers. </w:t>
      </w:r>
      <w:r w:rsidR="004F0351" w:rsidRPr="0041550F">
        <w:rPr>
          <w:rFonts w:ascii="Times New Roman" w:hAnsi="Times New Roman" w:cs="Times New Roman"/>
          <w:i/>
          <w:iCs/>
          <w:noProof/>
          <w:sz w:val="24"/>
          <w:szCs w:val="24"/>
        </w:rPr>
        <w:t>Alcoholism: Clinical &amp; Experimental Research</w:t>
      </w:r>
      <w:r w:rsidR="004F0351" w:rsidRPr="0041550F">
        <w:rPr>
          <w:rFonts w:ascii="Times New Roman" w:hAnsi="Times New Roman" w:cs="Times New Roman"/>
          <w:noProof/>
          <w:sz w:val="24"/>
          <w:szCs w:val="24"/>
        </w:rPr>
        <w:t>. 2017;41(12):2207–16. Available from: https://doi.org/10.1111/acer.13520</w:t>
      </w:r>
      <w:r w:rsidRPr="0041550F">
        <w:rPr>
          <w:rFonts w:ascii="Times New Roman" w:hAnsi="Times New Roman" w:cs="Times New Roman"/>
          <w:noProof/>
          <w:sz w:val="24"/>
          <w:szCs w:val="24"/>
        </w:rPr>
        <w:t xml:space="preserve"> </w:t>
      </w:r>
    </w:p>
    <w:p w14:paraId="621EB526" w14:textId="5E51370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w:t>
      </w:r>
      <w:r w:rsidR="00D061F3" w:rsidRPr="0041550F">
        <w:rPr>
          <w:rFonts w:ascii="Times New Roman" w:hAnsi="Times New Roman" w:cs="Times New Roman"/>
          <w:noProof/>
          <w:sz w:val="24"/>
          <w:szCs w:val="24"/>
        </w:rPr>
        <w:t>7</w:t>
      </w:r>
      <w:r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ab/>
      </w:r>
      <w:r w:rsidR="00012D4F" w:rsidRPr="0041550F">
        <w:rPr>
          <w:rFonts w:ascii="Times New Roman" w:eastAsia="Times New Roman" w:hAnsi="Times New Roman" w:cs="Times New Roman"/>
          <w:sz w:val="24"/>
          <w:szCs w:val="24"/>
        </w:rPr>
        <w:t xml:space="preserve">Rettie HC, Hogan LM, Cox WM. Negative attentional bias for positive recovery-related words as a predictor of treatment success among individuals with an alcohol use disorder. </w:t>
      </w:r>
      <w:r w:rsidR="00012D4F" w:rsidRPr="0041550F">
        <w:rPr>
          <w:rFonts w:ascii="Times New Roman" w:eastAsia="Times New Roman" w:hAnsi="Times New Roman" w:cs="Times New Roman"/>
          <w:i/>
          <w:sz w:val="24"/>
          <w:szCs w:val="24"/>
        </w:rPr>
        <w:t>Addictive Behavior</w:t>
      </w:r>
      <w:r w:rsidR="00012D4F" w:rsidRPr="0041550F">
        <w:rPr>
          <w:rFonts w:ascii="Times New Roman" w:eastAsia="Times New Roman" w:hAnsi="Times New Roman" w:cs="Times New Roman"/>
          <w:sz w:val="24"/>
          <w:szCs w:val="24"/>
        </w:rPr>
        <w:t>. 2018;84:86–91. Available from: https://doi.org/10.1016/j.addbeh.2018.03.034</w:t>
      </w:r>
    </w:p>
    <w:p w14:paraId="4F184CB8" w14:textId="1FC72A4C" w:rsidR="00E948D4" w:rsidRPr="0041550F" w:rsidRDefault="00D061F3"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38</w:t>
      </w:r>
      <w:r w:rsidR="00E948D4" w:rsidRPr="0041550F">
        <w:rPr>
          <w:rFonts w:ascii="Times New Roman" w:hAnsi="Times New Roman" w:cs="Times New Roman"/>
          <w:noProof/>
          <w:sz w:val="24"/>
          <w:szCs w:val="24"/>
        </w:rPr>
        <w:t xml:space="preserve">. </w:t>
      </w:r>
      <w:r w:rsidR="00E948D4" w:rsidRPr="0041550F">
        <w:rPr>
          <w:rFonts w:ascii="Times New Roman" w:hAnsi="Times New Roman" w:cs="Times New Roman"/>
          <w:noProof/>
          <w:sz w:val="24"/>
          <w:szCs w:val="24"/>
        </w:rPr>
        <w:tab/>
      </w:r>
      <w:r w:rsidR="002101F8" w:rsidRPr="0041550F">
        <w:rPr>
          <w:rFonts w:ascii="Times New Roman" w:eastAsia="Times New Roman" w:hAnsi="Times New Roman" w:cs="Times New Roman"/>
          <w:sz w:val="24"/>
          <w:szCs w:val="24"/>
        </w:rPr>
        <w:t xml:space="preserve">Snelleman M, Schoenmakers TM, van de Mheen D. Attentional bias and approach/avoidance tendencies do not predict relapse or time to relapse in alcohol dependency. </w:t>
      </w:r>
      <w:r w:rsidR="002101F8" w:rsidRPr="0041550F">
        <w:rPr>
          <w:rFonts w:ascii="Times New Roman" w:eastAsia="Times New Roman" w:hAnsi="Times New Roman" w:cs="Times New Roman"/>
          <w:i/>
          <w:sz w:val="24"/>
          <w:szCs w:val="24"/>
        </w:rPr>
        <w:t>Alcoholism: Clinical &amp; Experimental Research</w:t>
      </w:r>
      <w:r w:rsidR="002101F8" w:rsidRPr="0041550F">
        <w:rPr>
          <w:rFonts w:ascii="Times New Roman" w:eastAsia="Times New Roman" w:hAnsi="Times New Roman" w:cs="Times New Roman"/>
          <w:sz w:val="24"/>
          <w:szCs w:val="24"/>
        </w:rPr>
        <w:t>. 2015;39(9):1734–9. Available from: https://doi.org/10.1111/acer.12817</w:t>
      </w:r>
    </w:p>
    <w:p w14:paraId="7244077B" w14:textId="6CBF465B" w:rsidR="00E948D4" w:rsidRPr="0041550F" w:rsidRDefault="00D061F3"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39</w:t>
      </w:r>
      <w:r w:rsidR="00E948D4" w:rsidRPr="0041550F">
        <w:rPr>
          <w:rFonts w:ascii="Times New Roman" w:hAnsi="Times New Roman" w:cs="Times New Roman"/>
          <w:noProof/>
          <w:sz w:val="24"/>
          <w:szCs w:val="24"/>
        </w:rPr>
        <w:t xml:space="preserve">. </w:t>
      </w:r>
      <w:r w:rsidR="00E948D4" w:rsidRPr="0041550F">
        <w:rPr>
          <w:rFonts w:ascii="Times New Roman" w:hAnsi="Times New Roman" w:cs="Times New Roman"/>
          <w:noProof/>
          <w:sz w:val="24"/>
          <w:szCs w:val="24"/>
        </w:rPr>
        <w:tab/>
      </w:r>
      <w:r w:rsidR="00D1080E" w:rsidRPr="0041550F">
        <w:rPr>
          <w:rFonts w:ascii="Times New Roman" w:hAnsi="Times New Roman" w:cs="Times New Roman"/>
          <w:noProof/>
          <w:sz w:val="24"/>
          <w:szCs w:val="24"/>
        </w:rPr>
        <w:t xml:space="preserve">Brown CE, Wilcockson TDW, Lunn J. Does sleep affect alcohol-related attention bias? </w:t>
      </w:r>
      <w:r w:rsidR="00D1080E" w:rsidRPr="0041550F">
        <w:rPr>
          <w:rFonts w:ascii="Times New Roman" w:hAnsi="Times New Roman" w:cs="Times New Roman"/>
          <w:i/>
          <w:iCs/>
          <w:noProof/>
          <w:sz w:val="24"/>
          <w:szCs w:val="24"/>
        </w:rPr>
        <w:t>Journal of Substance Use</w:t>
      </w:r>
      <w:r w:rsidR="00D1080E" w:rsidRPr="0041550F">
        <w:rPr>
          <w:rFonts w:ascii="Times New Roman" w:hAnsi="Times New Roman" w:cs="Times New Roman"/>
          <w:noProof/>
          <w:sz w:val="24"/>
          <w:szCs w:val="24"/>
        </w:rPr>
        <w:t>. 2020;25(5):515–8. Available from: https://doi.org/10.1080/14659891.2020.1736670</w:t>
      </w:r>
    </w:p>
    <w:p w14:paraId="37FDA9AD" w14:textId="77777777" w:rsidR="00D061F3" w:rsidRPr="0041550F" w:rsidRDefault="00D061F3" w:rsidP="00D061F3">
      <w:pPr>
        <w:widowControl w:val="0"/>
        <w:spacing w:line="480" w:lineRule="auto"/>
        <w:ind w:left="640" w:hanging="640"/>
        <w:rPr>
          <w:rFonts w:ascii="Times New Roman" w:eastAsia="Times New Roman" w:hAnsi="Times New Roman" w:cs="Times New Roman"/>
          <w:sz w:val="24"/>
          <w:szCs w:val="24"/>
        </w:rPr>
      </w:pPr>
      <w:r w:rsidRPr="0041550F">
        <w:rPr>
          <w:rFonts w:ascii="Times New Roman" w:hAnsi="Times New Roman" w:cs="Times New Roman"/>
          <w:noProof/>
          <w:sz w:val="24"/>
          <w:szCs w:val="24"/>
        </w:rPr>
        <w:t xml:space="preserve">40. </w:t>
      </w:r>
      <w:r w:rsidRPr="0041550F">
        <w:rPr>
          <w:rFonts w:ascii="Times New Roman" w:hAnsi="Times New Roman" w:cs="Times New Roman"/>
          <w:noProof/>
          <w:sz w:val="24"/>
          <w:szCs w:val="24"/>
        </w:rPr>
        <w:tab/>
      </w:r>
      <w:r w:rsidRPr="0041550F">
        <w:rPr>
          <w:rFonts w:ascii="Times New Roman" w:eastAsia="Times New Roman" w:hAnsi="Times New Roman" w:cs="Times New Roman"/>
          <w:sz w:val="24"/>
          <w:szCs w:val="24"/>
        </w:rPr>
        <w:t xml:space="preserve">Monk RL, Qureshi A, Pennington CR, Hamlin I. Generalised inhibitory impairment to appetitive cues: From alcoholic to non-alcoholic visual stimuli. </w:t>
      </w:r>
      <w:r w:rsidRPr="0041550F">
        <w:rPr>
          <w:rFonts w:ascii="Times New Roman" w:eastAsia="Times New Roman" w:hAnsi="Times New Roman" w:cs="Times New Roman"/>
          <w:i/>
          <w:sz w:val="24"/>
          <w:szCs w:val="24"/>
        </w:rPr>
        <w:t xml:space="preserve">Drug &amp; Alcohol </w:t>
      </w:r>
      <w:r w:rsidRPr="0041550F">
        <w:rPr>
          <w:rFonts w:ascii="Times New Roman" w:eastAsia="Times New Roman" w:hAnsi="Times New Roman" w:cs="Times New Roman"/>
          <w:i/>
          <w:sz w:val="24"/>
          <w:szCs w:val="24"/>
        </w:rPr>
        <w:lastRenderedPageBreak/>
        <w:t>Dependence</w:t>
      </w:r>
      <w:r w:rsidRPr="0041550F">
        <w:rPr>
          <w:rFonts w:ascii="Times New Roman" w:eastAsia="Times New Roman" w:hAnsi="Times New Roman" w:cs="Times New Roman"/>
          <w:sz w:val="24"/>
          <w:szCs w:val="24"/>
        </w:rPr>
        <w:t>. 2017;180:26–32. Available from: http://dx.doi.org/10.1016/j.drugalcdep.2017.07.038</w:t>
      </w:r>
    </w:p>
    <w:p w14:paraId="196334E8" w14:textId="77777777" w:rsidR="00D061F3" w:rsidRPr="0041550F" w:rsidRDefault="00D061F3" w:rsidP="00D061F3">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41. </w:t>
      </w:r>
      <w:r w:rsidRPr="0041550F">
        <w:rPr>
          <w:rFonts w:ascii="Times New Roman" w:hAnsi="Times New Roman" w:cs="Times New Roman"/>
          <w:noProof/>
          <w:sz w:val="24"/>
          <w:szCs w:val="24"/>
        </w:rPr>
        <w:tab/>
      </w:r>
      <w:r w:rsidRPr="0041550F">
        <w:rPr>
          <w:rFonts w:ascii="Times New Roman" w:eastAsia="Times New Roman" w:hAnsi="Times New Roman" w:cs="Times New Roman"/>
          <w:sz w:val="24"/>
          <w:szCs w:val="24"/>
        </w:rPr>
        <w:t xml:space="preserve">Pennington CR, Qureshi AW, Monk RL, Greenwood K, Heim D. Beer? Over here! Examining attentional bias towards alcoholic and appetitive stimuli in a visual search eye-tracking task. </w:t>
      </w:r>
      <w:r w:rsidRPr="0041550F">
        <w:rPr>
          <w:rFonts w:ascii="Times New Roman" w:eastAsia="Times New Roman" w:hAnsi="Times New Roman" w:cs="Times New Roman"/>
          <w:i/>
          <w:sz w:val="24"/>
          <w:szCs w:val="24"/>
        </w:rPr>
        <w:t>Psychopharmacology</w:t>
      </w:r>
      <w:r w:rsidRPr="0041550F">
        <w:rPr>
          <w:rFonts w:ascii="Times New Roman" w:eastAsia="Times New Roman" w:hAnsi="Times New Roman" w:cs="Times New Roman"/>
          <w:sz w:val="24"/>
          <w:szCs w:val="24"/>
        </w:rPr>
        <w:t>. 2019;236(12):3465–76. Available from: https://doi.org/10.1007/s00213-019-05313-0</w:t>
      </w:r>
      <w:r w:rsidRPr="0041550F">
        <w:rPr>
          <w:rFonts w:ascii="Times New Roman" w:hAnsi="Times New Roman" w:cs="Times New Roman"/>
          <w:noProof/>
          <w:sz w:val="24"/>
          <w:szCs w:val="24"/>
        </w:rPr>
        <w:t xml:space="preserve"> </w:t>
      </w:r>
    </w:p>
    <w:p w14:paraId="36DFF551" w14:textId="0CC67EE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42. </w:t>
      </w:r>
      <w:r w:rsidRPr="0041550F">
        <w:rPr>
          <w:rFonts w:ascii="Times New Roman" w:hAnsi="Times New Roman" w:cs="Times New Roman"/>
          <w:noProof/>
          <w:sz w:val="24"/>
          <w:szCs w:val="24"/>
        </w:rPr>
        <w:tab/>
      </w:r>
      <w:r w:rsidR="00712133" w:rsidRPr="0041550F">
        <w:rPr>
          <w:rFonts w:ascii="Times New Roman" w:hAnsi="Times New Roman" w:cs="Times New Roman"/>
          <w:noProof/>
          <w:sz w:val="24"/>
          <w:szCs w:val="24"/>
        </w:rPr>
        <w:t xml:space="preserve">Pennington CR, Shaw DJ, Adams J, Kavanagh P, Reed H, Robinson M, et al. Where’s the wine? Heavy social drinkers show attentional bias towards alcohol in a visual conjunction search task. </w:t>
      </w:r>
      <w:r w:rsidR="00712133" w:rsidRPr="0041550F">
        <w:rPr>
          <w:rFonts w:ascii="Times New Roman" w:hAnsi="Times New Roman" w:cs="Times New Roman"/>
          <w:i/>
          <w:iCs/>
          <w:noProof/>
          <w:sz w:val="24"/>
          <w:szCs w:val="24"/>
        </w:rPr>
        <w:t>Addiction</w:t>
      </w:r>
      <w:r w:rsidR="00712133" w:rsidRPr="0041550F">
        <w:rPr>
          <w:rFonts w:ascii="Times New Roman" w:hAnsi="Times New Roman" w:cs="Times New Roman"/>
          <w:noProof/>
          <w:sz w:val="24"/>
          <w:szCs w:val="24"/>
        </w:rPr>
        <w:t>. 2020;115(9):1650–9. Available from: https://doi.org/10.1111/add.14997</w:t>
      </w:r>
    </w:p>
    <w:p w14:paraId="48D2F32D" w14:textId="7F9C8837"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43. </w:t>
      </w:r>
      <w:r w:rsidRPr="0041550F">
        <w:rPr>
          <w:rFonts w:ascii="Times New Roman" w:hAnsi="Times New Roman" w:cs="Times New Roman"/>
          <w:noProof/>
          <w:sz w:val="24"/>
          <w:szCs w:val="24"/>
        </w:rPr>
        <w:tab/>
      </w:r>
      <w:r w:rsidR="00EB775A" w:rsidRPr="0041550F">
        <w:rPr>
          <w:rFonts w:ascii="Times New Roman" w:eastAsia="Times New Roman" w:hAnsi="Times New Roman" w:cs="Times New Roman"/>
          <w:sz w:val="24"/>
          <w:szCs w:val="24"/>
        </w:rPr>
        <w:t xml:space="preserve">Versace F, Engelmann JM, Deweese MM, Robinson JD, Green CE, Lam CY, et al. Beyond cue reactivity: Non-drug-related motivationally relevant stimuli are necessary to understand reactivity to drug-related cues. </w:t>
      </w:r>
      <w:r w:rsidR="00EB775A" w:rsidRPr="0041550F">
        <w:rPr>
          <w:rFonts w:ascii="Times New Roman" w:eastAsia="Times New Roman" w:hAnsi="Times New Roman" w:cs="Times New Roman"/>
          <w:i/>
          <w:sz w:val="24"/>
          <w:szCs w:val="24"/>
        </w:rPr>
        <w:t>Nicotine &amp; Tobacco Research</w:t>
      </w:r>
      <w:r w:rsidR="00EB775A" w:rsidRPr="0041550F">
        <w:rPr>
          <w:rFonts w:ascii="Times New Roman" w:eastAsia="Times New Roman" w:hAnsi="Times New Roman" w:cs="Times New Roman"/>
          <w:sz w:val="24"/>
          <w:szCs w:val="24"/>
        </w:rPr>
        <w:t>. 2017;19(6):663–9. Available from: https://doi.org/10.1093/ntr/ntx002</w:t>
      </w:r>
    </w:p>
    <w:p w14:paraId="5FC7DB83" w14:textId="268482B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44. </w:t>
      </w:r>
      <w:r w:rsidRPr="0041550F">
        <w:rPr>
          <w:rFonts w:ascii="Times New Roman" w:hAnsi="Times New Roman" w:cs="Times New Roman"/>
          <w:noProof/>
          <w:sz w:val="24"/>
          <w:szCs w:val="24"/>
        </w:rPr>
        <w:tab/>
      </w:r>
      <w:r w:rsidR="00432854" w:rsidRPr="0041550F">
        <w:rPr>
          <w:rFonts w:ascii="Times New Roman" w:eastAsia="Times New Roman" w:hAnsi="Times New Roman" w:cs="Times New Roman"/>
          <w:sz w:val="24"/>
          <w:szCs w:val="24"/>
        </w:rPr>
        <w:t xml:space="preserve">Pronk T, van Deursen DS, Beraha EM, Larsen H, Wiers RW. Validation of the Amsterdam Beverage Picture Set: A controlled picture set for cognitive bias measurement and modification paradigms. </w:t>
      </w:r>
      <w:r w:rsidR="00432854" w:rsidRPr="0041550F">
        <w:rPr>
          <w:rFonts w:ascii="Times New Roman" w:eastAsia="Times New Roman" w:hAnsi="Times New Roman" w:cs="Times New Roman"/>
          <w:i/>
          <w:sz w:val="24"/>
          <w:szCs w:val="24"/>
        </w:rPr>
        <w:t>Alcoholism: Clinical &amp; Experimental Research</w:t>
      </w:r>
      <w:r w:rsidR="00432854" w:rsidRPr="0041550F">
        <w:rPr>
          <w:rFonts w:ascii="Times New Roman" w:eastAsia="Times New Roman" w:hAnsi="Times New Roman" w:cs="Times New Roman"/>
          <w:sz w:val="24"/>
          <w:szCs w:val="24"/>
        </w:rPr>
        <w:t>. 2015;39(10):2047–55. Available from: https://doi.org/10.1111/acer.12853</w:t>
      </w:r>
    </w:p>
    <w:p w14:paraId="113D2C73" w14:textId="5976392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45. </w:t>
      </w:r>
      <w:r w:rsidRPr="0041550F">
        <w:rPr>
          <w:rFonts w:ascii="Times New Roman" w:hAnsi="Times New Roman" w:cs="Times New Roman"/>
          <w:noProof/>
          <w:sz w:val="24"/>
          <w:szCs w:val="24"/>
        </w:rPr>
        <w:tab/>
      </w:r>
      <w:r w:rsidR="00AE67CD" w:rsidRPr="0041550F">
        <w:rPr>
          <w:rFonts w:ascii="Times New Roman" w:eastAsia="Times New Roman" w:hAnsi="Times New Roman" w:cs="Times New Roman"/>
          <w:sz w:val="24"/>
          <w:szCs w:val="24"/>
        </w:rPr>
        <w:t xml:space="preserve">Hogarth L, Dickinson A, Duka T. Detection versus sustained attention to drug cues have dissociable roles in mediating drug seeking behavior. </w:t>
      </w:r>
      <w:r w:rsidR="00AE67CD" w:rsidRPr="0041550F">
        <w:rPr>
          <w:rFonts w:ascii="Times New Roman" w:eastAsia="Times New Roman" w:hAnsi="Times New Roman" w:cs="Times New Roman"/>
          <w:i/>
          <w:sz w:val="24"/>
          <w:szCs w:val="24"/>
        </w:rPr>
        <w:t>Experimental &amp; Clinical Psychopharmacology</w:t>
      </w:r>
      <w:r w:rsidR="00AE67CD" w:rsidRPr="0041550F">
        <w:rPr>
          <w:rFonts w:ascii="Times New Roman" w:eastAsia="Times New Roman" w:hAnsi="Times New Roman" w:cs="Times New Roman"/>
          <w:sz w:val="24"/>
          <w:szCs w:val="24"/>
        </w:rPr>
        <w:t>. 2009;17(1):21–30. Available from: https://doi.org/10.1037/a0014957</w:t>
      </w:r>
    </w:p>
    <w:p w14:paraId="72DEF4EB" w14:textId="5995EA5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46. </w:t>
      </w:r>
      <w:r w:rsidRPr="0041550F">
        <w:rPr>
          <w:rFonts w:ascii="Times New Roman" w:hAnsi="Times New Roman" w:cs="Times New Roman"/>
          <w:noProof/>
          <w:sz w:val="24"/>
          <w:szCs w:val="24"/>
        </w:rPr>
        <w:tab/>
      </w:r>
      <w:r w:rsidR="00542F53" w:rsidRPr="0041550F">
        <w:rPr>
          <w:rFonts w:ascii="Times New Roman" w:eastAsia="Times New Roman" w:hAnsi="Times New Roman" w:cs="Times New Roman"/>
          <w:sz w:val="24"/>
          <w:szCs w:val="24"/>
        </w:rPr>
        <w:t xml:space="preserve">Harrison NR, McCann A. The effect of colour and size on attentional bias to alcohol-related pictures. </w:t>
      </w:r>
      <w:r w:rsidR="00542F53" w:rsidRPr="0041550F">
        <w:rPr>
          <w:rFonts w:ascii="Times New Roman" w:eastAsia="Times New Roman" w:hAnsi="Times New Roman" w:cs="Times New Roman"/>
          <w:i/>
          <w:sz w:val="24"/>
          <w:szCs w:val="24"/>
        </w:rPr>
        <w:t>Psicológica</w:t>
      </w:r>
      <w:r w:rsidR="00542F53" w:rsidRPr="0041550F">
        <w:rPr>
          <w:rFonts w:ascii="Times New Roman" w:eastAsia="Times New Roman" w:hAnsi="Times New Roman" w:cs="Times New Roman"/>
          <w:sz w:val="24"/>
          <w:szCs w:val="24"/>
        </w:rPr>
        <w:t>. 2014;35(1):39–48. Available from: https://doi.org/</w:t>
      </w:r>
      <w:r w:rsidR="00542F53" w:rsidRPr="0041550F">
        <w:t xml:space="preserve"> </w:t>
      </w:r>
      <w:r w:rsidR="00542F53" w:rsidRPr="0041550F">
        <w:rPr>
          <w:rFonts w:ascii="Times New Roman" w:eastAsia="Times New Roman" w:hAnsi="Times New Roman" w:cs="Times New Roman"/>
          <w:sz w:val="24"/>
          <w:szCs w:val="24"/>
        </w:rPr>
        <w:lastRenderedPageBreak/>
        <w:t>https://dx.doi.org/10.1111%2Fj.1360-0443.2009.02860.x</w:t>
      </w:r>
    </w:p>
    <w:p w14:paraId="6E66BD99" w14:textId="0D3B887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47.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Hedge C, Powell G, Bompas A, Vivian-Griffiths S, Sumner P. Low and variable correlation between reaction time costs and accuracy costs explained by accumulation models: Meta-analysis and simulations. </w:t>
      </w:r>
      <w:r w:rsidR="006370E9" w:rsidRPr="0041550F">
        <w:rPr>
          <w:rFonts w:ascii="Times New Roman" w:eastAsia="Times New Roman" w:hAnsi="Times New Roman" w:cs="Times New Roman"/>
          <w:i/>
          <w:sz w:val="24"/>
          <w:szCs w:val="24"/>
        </w:rPr>
        <w:t>Psychological Bulletin</w:t>
      </w:r>
      <w:r w:rsidR="006370E9" w:rsidRPr="0041550F">
        <w:rPr>
          <w:rFonts w:ascii="Times New Roman" w:eastAsia="Times New Roman" w:hAnsi="Times New Roman" w:cs="Times New Roman"/>
          <w:sz w:val="24"/>
          <w:szCs w:val="24"/>
        </w:rPr>
        <w:t>. 2018;144(11):1200–27. Available from: https://doi.org/10.1037/bul0000164</w:t>
      </w:r>
    </w:p>
    <w:p w14:paraId="76849BE0" w14:textId="21A68CF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48.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Miller J, Ulrich R. Mental chronometry and individual differences: Modeling reliabilities and correlations of reaction time means and effect sizes. </w:t>
      </w:r>
      <w:r w:rsidR="006370E9" w:rsidRPr="0041550F">
        <w:rPr>
          <w:rFonts w:ascii="Times New Roman" w:eastAsia="Times New Roman" w:hAnsi="Times New Roman" w:cs="Times New Roman"/>
          <w:i/>
          <w:sz w:val="24"/>
          <w:szCs w:val="24"/>
        </w:rPr>
        <w:t>Psychonomic Bulletin &amp; Review</w:t>
      </w:r>
      <w:r w:rsidR="006370E9" w:rsidRPr="0041550F">
        <w:rPr>
          <w:rFonts w:ascii="Times New Roman" w:eastAsia="Times New Roman" w:hAnsi="Times New Roman" w:cs="Times New Roman"/>
          <w:sz w:val="24"/>
          <w:szCs w:val="24"/>
        </w:rPr>
        <w:t>. 2013;20(5):819–58. Available from: https://doi.org/10.3758/s13423-013-0404-5</w:t>
      </w:r>
    </w:p>
    <w:p w14:paraId="585CE5F9" w14:textId="1BB4184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49.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Draheim C, Mashburn CA, Martin JD, Engle RW. Reaction time in differential and developmental research: A review and commentary on the problems and alternatives. </w:t>
      </w:r>
      <w:r w:rsidR="006370E9" w:rsidRPr="0041550F">
        <w:rPr>
          <w:rFonts w:ascii="Times New Roman" w:eastAsia="Times New Roman" w:hAnsi="Times New Roman" w:cs="Times New Roman"/>
          <w:i/>
          <w:sz w:val="24"/>
          <w:szCs w:val="24"/>
        </w:rPr>
        <w:t>Psychological Bulletin</w:t>
      </w:r>
      <w:r w:rsidR="006370E9" w:rsidRPr="0041550F">
        <w:rPr>
          <w:rFonts w:ascii="Times New Roman" w:eastAsia="Times New Roman" w:hAnsi="Times New Roman" w:cs="Times New Roman"/>
          <w:sz w:val="24"/>
          <w:szCs w:val="24"/>
        </w:rPr>
        <w:t>. 2019;145(5):508–35. Available from: https://doi.org/10.1037/bul0000192</w:t>
      </w:r>
    </w:p>
    <w:p w14:paraId="7EEF5633" w14:textId="2A339CD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50.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Heitz RP. The speed-accuracy tradeoff: History, physiology, methodology, and behavior. </w:t>
      </w:r>
      <w:r w:rsidR="006370E9" w:rsidRPr="0041550F">
        <w:rPr>
          <w:rFonts w:ascii="Times New Roman" w:eastAsia="Times New Roman" w:hAnsi="Times New Roman" w:cs="Times New Roman"/>
          <w:i/>
          <w:sz w:val="24"/>
          <w:szCs w:val="24"/>
        </w:rPr>
        <w:t>Frontiers in Neuroscience</w:t>
      </w:r>
      <w:r w:rsidR="006370E9" w:rsidRPr="0041550F">
        <w:rPr>
          <w:rFonts w:ascii="Times New Roman" w:eastAsia="Times New Roman" w:hAnsi="Times New Roman" w:cs="Times New Roman"/>
          <w:sz w:val="24"/>
          <w:szCs w:val="24"/>
        </w:rPr>
        <w:t>. 2014;8:1–19. Available from: https://doi.org/10.3389/fnins.2014.00150</w:t>
      </w:r>
    </w:p>
    <w:p w14:paraId="3ECACD13" w14:textId="0CA2F52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51. </w:t>
      </w:r>
      <w:r w:rsidRPr="0041550F">
        <w:rPr>
          <w:rFonts w:ascii="Times New Roman" w:hAnsi="Times New Roman" w:cs="Times New Roman"/>
          <w:noProof/>
          <w:sz w:val="24"/>
          <w:szCs w:val="24"/>
        </w:rPr>
        <w:tab/>
      </w:r>
      <w:r w:rsidR="006370E9" w:rsidRPr="0041550F">
        <w:rPr>
          <w:rFonts w:ascii="Times New Roman" w:eastAsia="Times New Roman" w:hAnsi="Times New Roman" w:cs="Times New Roman"/>
          <w:sz w:val="24"/>
          <w:szCs w:val="24"/>
        </w:rPr>
        <w:t xml:space="preserve">Dutilh G, Annis J, Brown SD, Cassey P, Evans NJ, Grasman RPPP, et al. The quality of response time data inference: A blinded, collaborative assessment of the validity of cognitive models. </w:t>
      </w:r>
      <w:r w:rsidR="006370E9" w:rsidRPr="0041550F">
        <w:rPr>
          <w:rFonts w:ascii="Times New Roman" w:eastAsia="Times New Roman" w:hAnsi="Times New Roman" w:cs="Times New Roman"/>
          <w:i/>
          <w:sz w:val="24"/>
          <w:szCs w:val="24"/>
        </w:rPr>
        <w:t>Psychonomic Bulletin &amp; Review</w:t>
      </w:r>
      <w:r w:rsidR="006370E9" w:rsidRPr="0041550F">
        <w:rPr>
          <w:rFonts w:ascii="Times New Roman" w:eastAsia="Times New Roman" w:hAnsi="Times New Roman" w:cs="Times New Roman"/>
          <w:sz w:val="24"/>
          <w:szCs w:val="24"/>
        </w:rPr>
        <w:t>. 2019;26(4):1051–69. Available from: https://doi.org/10.3758/s13423-017-1417-2</w:t>
      </w:r>
    </w:p>
    <w:p w14:paraId="052A3722" w14:textId="1D0CE25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52. </w:t>
      </w:r>
      <w:r w:rsidRPr="0041550F">
        <w:rPr>
          <w:rFonts w:ascii="Times New Roman" w:hAnsi="Times New Roman" w:cs="Times New Roman"/>
          <w:noProof/>
          <w:sz w:val="24"/>
          <w:szCs w:val="24"/>
        </w:rPr>
        <w:tab/>
      </w:r>
      <w:r w:rsidR="00743DFF" w:rsidRPr="0041550F">
        <w:rPr>
          <w:rFonts w:ascii="Times New Roman" w:eastAsia="Times New Roman" w:hAnsi="Times New Roman" w:cs="Times New Roman"/>
          <w:sz w:val="24"/>
          <w:szCs w:val="24"/>
        </w:rPr>
        <w:t>Hoekstra R, Vugteveen J, Warrens MJ, Kruyen PM. An empirical analysis of alleged misunderstandings of coefficient alpha.</w:t>
      </w:r>
      <w:r w:rsidR="00743DFF" w:rsidRPr="0041550F">
        <w:rPr>
          <w:rFonts w:ascii="Times New Roman" w:eastAsia="Times New Roman" w:hAnsi="Times New Roman" w:cs="Times New Roman"/>
          <w:i/>
          <w:sz w:val="24"/>
          <w:szCs w:val="24"/>
        </w:rPr>
        <w:t xml:space="preserve"> International Journal of Social Research Methodology</w:t>
      </w:r>
      <w:r w:rsidR="00743DFF" w:rsidRPr="0041550F">
        <w:rPr>
          <w:rFonts w:ascii="Times New Roman" w:eastAsia="Times New Roman" w:hAnsi="Times New Roman" w:cs="Times New Roman"/>
          <w:sz w:val="24"/>
          <w:szCs w:val="24"/>
        </w:rPr>
        <w:t>. 2019;22(4):351–64. Available from: https://doi.org/10.1080/13645579.2018.1547523</w:t>
      </w:r>
    </w:p>
    <w:p w14:paraId="3F91D60A" w14:textId="018DF4C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lastRenderedPageBreak/>
        <w:t xml:space="preserve">53. </w:t>
      </w:r>
      <w:r w:rsidRPr="0041550F">
        <w:rPr>
          <w:rFonts w:ascii="Times New Roman" w:hAnsi="Times New Roman" w:cs="Times New Roman"/>
          <w:noProof/>
          <w:sz w:val="24"/>
          <w:szCs w:val="24"/>
        </w:rPr>
        <w:tab/>
      </w:r>
      <w:r w:rsidR="00AA4AEB" w:rsidRPr="0041550F">
        <w:rPr>
          <w:rFonts w:ascii="Times New Roman" w:eastAsia="Times New Roman" w:hAnsi="Times New Roman" w:cs="Times New Roman"/>
          <w:sz w:val="24"/>
          <w:szCs w:val="24"/>
        </w:rPr>
        <w:t xml:space="preserve">Hall G, Rodríguez G. Habituation and conditioning: Salience change in associative learning. </w:t>
      </w:r>
      <w:r w:rsidR="00AA4AEB" w:rsidRPr="0041550F">
        <w:rPr>
          <w:rFonts w:ascii="Times New Roman" w:eastAsia="Times New Roman" w:hAnsi="Times New Roman" w:cs="Times New Roman"/>
          <w:i/>
          <w:sz w:val="24"/>
          <w:szCs w:val="24"/>
        </w:rPr>
        <w:t>Journal of Experimental Psychology: Animal Learning &amp; Cognition</w:t>
      </w:r>
      <w:r w:rsidR="00AA4AEB" w:rsidRPr="0041550F">
        <w:rPr>
          <w:rFonts w:ascii="Times New Roman" w:eastAsia="Times New Roman" w:hAnsi="Times New Roman" w:cs="Times New Roman"/>
          <w:sz w:val="24"/>
          <w:szCs w:val="24"/>
        </w:rPr>
        <w:t>. 2017;43(1):48–61. Available from: https://doi.org/10.1037/xan0000129</w:t>
      </w:r>
      <w:r w:rsidRPr="0041550F">
        <w:rPr>
          <w:rFonts w:ascii="Times New Roman" w:hAnsi="Times New Roman" w:cs="Times New Roman"/>
          <w:noProof/>
          <w:sz w:val="24"/>
          <w:szCs w:val="24"/>
        </w:rPr>
        <w:t xml:space="preserve"> </w:t>
      </w:r>
    </w:p>
    <w:p w14:paraId="58CD0A6F" w14:textId="6E0DB30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54. </w:t>
      </w:r>
      <w:r w:rsidRPr="0041550F">
        <w:rPr>
          <w:rFonts w:ascii="Times New Roman" w:hAnsi="Times New Roman" w:cs="Times New Roman"/>
          <w:noProof/>
          <w:sz w:val="24"/>
          <w:szCs w:val="24"/>
        </w:rPr>
        <w:tab/>
      </w:r>
      <w:r w:rsidR="001C72C2" w:rsidRPr="0041550F">
        <w:rPr>
          <w:rFonts w:ascii="Times New Roman" w:eastAsia="Times New Roman" w:hAnsi="Times New Roman" w:cs="Times New Roman"/>
          <w:sz w:val="24"/>
          <w:szCs w:val="24"/>
        </w:rPr>
        <w:t xml:space="preserve">Ataya AF, Adams S, Mullings E, Cooper RM, Attwood AS, Munafò MR. Internal reliability of measures of substance-related cognitive bias. </w:t>
      </w:r>
      <w:r w:rsidR="001C72C2" w:rsidRPr="0041550F">
        <w:rPr>
          <w:rFonts w:ascii="Times New Roman" w:eastAsia="Times New Roman" w:hAnsi="Times New Roman" w:cs="Times New Roman"/>
          <w:i/>
          <w:sz w:val="24"/>
          <w:szCs w:val="24"/>
        </w:rPr>
        <w:t>Drug &amp; Alcohol Dependence</w:t>
      </w:r>
      <w:r w:rsidR="001C72C2" w:rsidRPr="0041550F">
        <w:rPr>
          <w:rFonts w:ascii="Times New Roman" w:eastAsia="Times New Roman" w:hAnsi="Times New Roman" w:cs="Times New Roman"/>
          <w:sz w:val="24"/>
          <w:szCs w:val="24"/>
        </w:rPr>
        <w:t>. 2012;121(1–2):148–51. Available from: http://dx.doi.org/10.1016/j.drugalcdep.2011.08.023</w:t>
      </w:r>
    </w:p>
    <w:p w14:paraId="4D162522" w14:textId="47D45E3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55. </w:t>
      </w:r>
      <w:r w:rsidRPr="0041550F">
        <w:rPr>
          <w:rFonts w:ascii="Times New Roman" w:hAnsi="Times New Roman" w:cs="Times New Roman"/>
          <w:noProof/>
          <w:sz w:val="24"/>
          <w:szCs w:val="24"/>
        </w:rPr>
        <w:tab/>
      </w:r>
      <w:r w:rsidR="001C72C2" w:rsidRPr="0041550F">
        <w:rPr>
          <w:rFonts w:ascii="Times New Roman" w:eastAsia="Times New Roman" w:hAnsi="Times New Roman" w:cs="Times New Roman"/>
          <w:sz w:val="24"/>
          <w:szCs w:val="24"/>
        </w:rPr>
        <w:t xml:space="preserve">Field M, Christiansen P. Commentary on Ataya et al. (2012), Internal reliability of measures of substance-related cognitive bias. </w:t>
      </w:r>
      <w:r w:rsidR="001C72C2" w:rsidRPr="0041550F">
        <w:rPr>
          <w:rFonts w:ascii="Times New Roman" w:eastAsia="Times New Roman" w:hAnsi="Times New Roman" w:cs="Times New Roman"/>
          <w:i/>
          <w:sz w:val="24"/>
          <w:szCs w:val="24"/>
        </w:rPr>
        <w:t>Drug &amp; Alcohol Dependence</w:t>
      </w:r>
      <w:r w:rsidR="001C72C2" w:rsidRPr="0041550F">
        <w:rPr>
          <w:rFonts w:ascii="Times New Roman" w:eastAsia="Times New Roman" w:hAnsi="Times New Roman" w:cs="Times New Roman"/>
          <w:sz w:val="24"/>
          <w:szCs w:val="24"/>
        </w:rPr>
        <w:t>. 2012;124(3):189–90. Available from: http://dx.doi.org/10.1016/j.drugalcdep.2012.02.009</w:t>
      </w:r>
    </w:p>
    <w:p w14:paraId="659B56E6" w14:textId="34DE8D61"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56. </w:t>
      </w:r>
      <w:r w:rsidRPr="0041550F">
        <w:rPr>
          <w:rFonts w:ascii="Times New Roman" w:hAnsi="Times New Roman" w:cs="Times New Roman"/>
          <w:noProof/>
          <w:sz w:val="24"/>
          <w:szCs w:val="24"/>
        </w:rPr>
        <w:tab/>
      </w:r>
      <w:r w:rsidR="006B12B2" w:rsidRPr="0041550F">
        <w:rPr>
          <w:rFonts w:ascii="Times New Roman" w:eastAsia="Times New Roman" w:hAnsi="Times New Roman" w:cs="Times New Roman"/>
          <w:sz w:val="24"/>
          <w:szCs w:val="24"/>
        </w:rPr>
        <w:t>Christiansen P, Mansfield R, Duckworth J, Field M, Jones A. Internal reliability of the alcohol-related visual probe task is increased by utilising personalised stimuli and eye-tracking.</w:t>
      </w:r>
      <w:r w:rsidR="006B12B2" w:rsidRPr="0041550F">
        <w:rPr>
          <w:rFonts w:ascii="Times New Roman" w:eastAsia="Times New Roman" w:hAnsi="Times New Roman" w:cs="Times New Roman"/>
          <w:i/>
          <w:sz w:val="24"/>
          <w:szCs w:val="24"/>
        </w:rPr>
        <w:t xml:space="preserve"> Drug &amp; Alcohol Dependence</w:t>
      </w:r>
      <w:r w:rsidR="006B12B2" w:rsidRPr="0041550F">
        <w:rPr>
          <w:rFonts w:ascii="Times New Roman" w:eastAsia="Times New Roman" w:hAnsi="Times New Roman" w:cs="Times New Roman"/>
          <w:sz w:val="24"/>
          <w:szCs w:val="24"/>
        </w:rPr>
        <w:t>. 2015;155:170–4. Available from: http://dx.doi.org/10.1016/j.drugalcdep.2015.07.672</w:t>
      </w:r>
    </w:p>
    <w:p w14:paraId="1361B5AF" w14:textId="72F6E09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57. </w:t>
      </w:r>
      <w:r w:rsidRPr="0041550F">
        <w:rPr>
          <w:rFonts w:ascii="Times New Roman" w:hAnsi="Times New Roman" w:cs="Times New Roman"/>
          <w:noProof/>
          <w:sz w:val="24"/>
          <w:szCs w:val="24"/>
        </w:rPr>
        <w:tab/>
      </w:r>
      <w:r w:rsidR="006B12B2" w:rsidRPr="0041550F">
        <w:rPr>
          <w:rFonts w:ascii="Times New Roman" w:eastAsia="Times New Roman" w:hAnsi="Times New Roman" w:cs="Times New Roman"/>
          <w:sz w:val="24"/>
          <w:szCs w:val="24"/>
        </w:rPr>
        <w:t xml:space="preserve">Baugh F. Correcting effect sizes for score reliability. </w:t>
      </w:r>
      <w:r w:rsidR="006B12B2" w:rsidRPr="0041550F">
        <w:rPr>
          <w:rFonts w:ascii="Times New Roman" w:eastAsia="Times New Roman" w:hAnsi="Times New Roman" w:cs="Times New Roman"/>
          <w:i/>
          <w:sz w:val="24"/>
          <w:szCs w:val="24"/>
        </w:rPr>
        <w:t>Journal of Applied Psychology</w:t>
      </w:r>
      <w:r w:rsidR="006B12B2" w:rsidRPr="0041550F">
        <w:rPr>
          <w:rFonts w:ascii="Times New Roman" w:eastAsia="Times New Roman" w:hAnsi="Times New Roman" w:cs="Times New Roman"/>
          <w:sz w:val="24"/>
          <w:szCs w:val="24"/>
        </w:rPr>
        <w:t>. 2002;62(2):254–63. Available from: https://doi.org/10.1177/0013164402062002004</w:t>
      </w:r>
    </w:p>
    <w:p w14:paraId="2683C548" w14:textId="295EC71A"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58.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Soleymani A, Ivanov Y, Mathot S, de Jong PJ. Free-viewing multi-stimulus eye tracking task to index attention bias for alcohol versus soda cues: Satisfactory reliability and criterion validity. </w:t>
      </w:r>
      <w:r w:rsidR="00FE68A3" w:rsidRPr="0041550F">
        <w:rPr>
          <w:rFonts w:ascii="Times New Roman" w:eastAsia="Times New Roman" w:hAnsi="Times New Roman" w:cs="Times New Roman"/>
          <w:i/>
          <w:sz w:val="24"/>
          <w:szCs w:val="24"/>
        </w:rPr>
        <w:t>Addictive Behaviors</w:t>
      </w:r>
      <w:r w:rsidR="00FE68A3" w:rsidRPr="0041550F">
        <w:rPr>
          <w:rFonts w:ascii="Times New Roman" w:eastAsia="Times New Roman" w:hAnsi="Times New Roman" w:cs="Times New Roman"/>
          <w:sz w:val="24"/>
          <w:szCs w:val="24"/>
        </w:rPr>
        <w:t>. 2020;100:106117. Available from: https://doi.org/10.1016/j.addbeh.2019.106117</w:t>
      </w:r>
    </w:p>
    <w:p w14:paraId="2834124E" w14:textId="75E8367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59.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Cooper SR, Gonthier C, Barch DM, Braver TS. The role of psychometrics in individual differences research in cognition: A case study of the AX-CPT. </w:t>
      </w:r>
      <w:r w:rsidR="00FE68A3" w:rsidRPr="0041550F">
        <w:rPr>
          <w:rFonts w:ascii="Times New Roman" w:eastAsia="Times New Roman" w:hAnsi="Times New Roman" w:cs="Times New Roman"/>
          <w:i/>
          <w:sz w:val="24"/>
          <w:szCs w:val="24"/>
        </w:rPr>
        <w:t>Frontiers in Psychology</w:t>
      </w:r>
      <w:r w:rsidR="00FE68A3" w:rsidRPr="0041550F">
        <w:rPr>
          <w:rFonts w:ascii="Times New Roman" w:eastAsia="Times New Roman" w:hAnsi="Times New Roman" w:cs="Times New Roman"/>
          <w:sz w:val="24"/>
          <w:szCs w:val="24"/>
        </w:rPr>
        <w:t xml:space="preserve">. 2017;8:1–16. Available from: </w:t>
      </w:r>
      <w:r w:rsidR="00FE68A3" w:rsidRPr="0041550F">
        <w:rPr>
          <w:rFonts w:ascii="Times New Roman" w:eastAsia="Times New Roman" w:hAnsi="Times New Roman" w:cs="Times New Roman"/>
          <w:sz w:val="24"/>
          <w:szCs w:val="24"/>
        </w:rPr>
        <w:lastRenderedPageBreak/>
        <w:t>https://doi.org/10.1016/j.drugalcdep.2011.08.023</w:t>
      </w:r>
    </w:p>
    <w:p w14:paraId="70AF082F" w14:textId="187FFE4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60.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Baker DH, Vilidaite G, Lygo FA, Smith AK, Flack TR, Gouws AD, Andrews, TJ. Power contours: Optimising sample size and precision in experimental psychology and human neuroscience. </w:t>
      </w:r>
      <w:r w:rsidR="00FE68A3" w:rsidRPr="0041550F">
        <w:rPr>
          <w:rFonts w:ascii="Times New Roman" w:eastAsia="Times New Roman" w:hAnsi="Times New Roman" w:cs="Times New Roman"/>
          <w:i/>
          <w:sz w:val="24"/>
          <w:szCs w:val="24"/>
        </w:rPr>
        <w:t>Psychological Methods</w:t>
      </w:r>
      <w:r w:rsidR="00FE68A3" w:rsidRPr="0041550F">
        <w:rPr>
          <w:rFonts w:ascii="Times New Roman" w:eastAsia="Times New Roman" w:hAnsi="Times New Roman" w:cs="Times New Roman"/>
          <w:sz w:val="24"/>
          <w:szCs w:val="24"/>
        </w:rPr>
        <w:t>. 2020. Available from: http://dx.doi.org/10.1037/met0000337</w:t>
      </w:r>
      <w:r w:rsidRPr="0041550F">
        <w:rPr>
          <w:rFonts w:ascii="Times New Roman" w:hAnsi="Times New Roman" w:cs="Times New Roman"/>
          <w:noProof/>
          <w:sz w:val="24"/>
          <w:szCs w:val="24"/>
        </w:rPr>
        <w:t xml:space="preserve"> </w:t>
      </w:r>
    </w:p>
    <w:p w14:paraId="05D9E8B7" w14:textId="23303BD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61.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Jones A, Christiansen P, Field M. Failed attempts to improve the reliability of the Alcohol Visual Probe Task following empirical recommendations. </w:t>
      </w:r>
      <w:r w:rsidR="00FE68A3" w:rsidRPr="0041550F">
        <w:rPr>
          <w:rFonts w:ascii="Times New Roman" w:eastAsia="Times New Roman" w:hAnsi="Times New Roman" w:cs="Times New Roman"/>
          <w:i/>
          <w:sz w:val="24"/>
          <w:szCs w:val="24"/>
        </w:rPr>
        <w:t>Psychology of Addictive Behaviors</w:t>
      </w:r>
      <w:r w:rsidR="00FE68A3" w:rsidRPr="0041550F">
        <w:rPr>
          <w:rFonts w:ascii="Times New Roman" w:eastAsia="Times New Roman" w:hAnsi="Times New Roman" w:cs="Times New Roman"/>
          <w:sz w:val="24"/>
          <w:szCs w:val="24"/>
        </w:rPr>
        <w:t>. 2018;32(8):922–32. Available from: https://doi.org/10.1037/adb0000414</w:t>
      </w:r>
    </w:p>
    <w:p w14:paraId="13C16EDA" w14:textId="6EDE02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62.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Jones A, Duckworth J, Christiansen, P. May I have your attention, please? Methodological and analytical flexibility in the Addiction Stroop. 2020. </w:t>
      </w:r>
      <w:r w:rsidR="00FE68A3" w:rsidRPr="0041550F">
        <w:rPr>
          <w:rFonts w:ascii="Times New Roman" w:eastAsia="Times New Roman" w:hAnsi="Times New Roman" w:cs="Times New Roman"/>
          <w:i/>
          <w:sz w:val="24"/>
          <w:szCs w:val="24"/>
        </w:rPr>
        <w:t>PsyArXiv</w:t>
      </w:r>
      <w:r w:rsidR="00FE68A3" w:rsidRPr="0041550F">
        <w:rPr>
          <w:rFonts w:ascii="Times New Roman" w:eastAsia="Times New Roman" w:hAnsi="Times New Roman" w:cs="Times New Roman"/>
          <w:sz w:val="24"/>
          <w:szCs w:val="24"/>
        </w:rPr>
        <w:t>. Available from: https://doi.org/10.31234/osf.io/ws8xp</w:t>
      </w:r>
      <w:r w:rsidRPr="0041550F">
        <w:rPr>
          <w:rFonts w:ascii="Times New Roman" w:hAnsi="Times New Roman" w:cs="Times New Roman"/>
          <w:noProof/>
          <w:sz w:val="24"/>
          <w:szCs w:val="24"/>
        </w:rPr>
        <w:t xml:space="preserve"> </w:t>
      </w:r>
    </w:p>
    <w:p w14:paraId="7EC667C6" w14:textId="650880F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63.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Botvinik-Nezer R, Holzmeister F, Camerer CF, Dreber A, Huber J, Johannesson M, et al. Variability in the analysis of a single neuroimaging dataset by many teams. </w:t>
      </w:r>
      <w:r w:rsidR="00FE68A3" w:rsidRPr="0041550F">
        <w:rPr>
          <w:rFonts w:ascii="Times New Roman" w:eastAsia="Times New Roman" w:hAnsi="Times New Roman" w:cs="Times New Roman"/>
          <w:i/>
          <w:sz w:val="24"/>
          <w:szCs w:val="24"/>
        </w:rPr>
        <w:t>Nature</w:t>
      </w:r>
      <w:r w:rsidR="00FE68A3" w:rsidRPr="0041550F">
        <w:rPr>
          <w:rFonts w:ascii="Times New Roman" w:eastAsia="Times New Roman" w:hAnsi="Times New Roman" w:cs="Times New Roman"/>
          <w:sz w:val="24"/>
          <w:szCs w:val="24"/>
        </w:rPr>
        <w:t>. 2020;582(7810):84–8. Available from: https://doi.org/10.1038/s41586-020-2314-9</w:t>
      </w:r>
    </w:p>
    <w:p w14:paraId="1C881B2E" w14:textId="1A0C99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64.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Simmons JP, Nelson LD, Simonsohn U. False-positive psychology: Undisclosed flexibility in data collection and analysis allows presenting anything as significant. </w:t>
      </w:r>
      <w:r w:rsidR="00FE68A3" w:rsidRPr="0041550F">
        <w:rPr>
          <w:rFonts w:ascii="Times New Roman" w:eastAsia="Times New Roman" w:hAnsi="Times New Roman" w:cs="Times New Roman"/>
          <w:i/>
          <w:sz w:val="24"/>
          <w:szCs w:val="24"/>
        </w:rPr>
        <w:t>Psychological Science</w:t>
      </w:r>
      <w:r w:rsidR="00FE68A3" w:rsidRPr="0041550F">
        <w:rPr>
          <w:rFonts w:ascii="Times New Roman" w:eastAsia="Times New Roman" w:hAnsi="Times New Roman" w:cs="Times New Roman"/>
          <w:sz w:val="24"/>
          <w:szCs w:val="24"/>
        </w:rPr>
        <w:t>. 2011;22(11):1359–66. Available from: https://doi.org/10.1177%2F0956797611417632</w:t>
      </w:r>
    </w:p>
    <w:p w14:paraId="2C877E1E" w14:textId="22A7075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65.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Young NS, Ioannidis JPA, Al-Ubaydli O. Why current publication practices may distort science. </w:t>
      </w:r>
      <w:r w:rsidR="00FE68A3" w:rsidRPr="0041550F">
        <w:rPr>
          <w:rFonts w:ascii="Times New Roman" w:eastAsia="Times New Roman" w:hAnsi="Times New Roman" w:cs="Times New Roman"/>
          <w:i/>
          <w:sz w:val="24"/>
          <w:szCs w:val="24"/>
        </w:rPr>
        <w:t>PLoS Medicine</w:t>
      </w:r>
      <w:r w:rsidR="00FE68A3" w:rsidRPr="0041550F">
        <w:rPr>
          <w:rFonts w:ascii="Times New Roman" w:eastAsia="Times New Roman" w:hAnsi="Times New Roman" w:cs="Times New Roman"/>
          <w:sz w:val="24"/>
          <w:szCs w:val="24"/>
        </w:rPr>
        <w:t>. 2008;5(10):1418–22. Available from: https://doi.org/10.1371/jounral.pmed.0050201</w:t>
      </w:r>
    </w:p>
    <w:p w14:paraId="64FE0689" w14:textId="5B5C1BD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66. </w:t>
      </w:r>
      <w:r w:rsidRPr="0041550F">
        <w:rPr>
          <w:rFonts w:ascii="Times New Roman" w:hAnsi="Times New Roman" w:cs="Times New Roman"/>
          <w:noProof/>
          <w:sz w:val="24"/>
          <w:szCs w:val="24"/>
        </w:rPr>
        <w:tab/>
        <w:t xml:space="preserve">Peterson H, Simpson SL, Laurienti PJ. Wake Forest Alcohol Imagery Set: </w:t>
      </w:r>
      <w:r w:rsidRPr="0041550F">
        <w:rPr>
          <w:rFonts w:ascii="Times New Roman" w:hAnsi="Times New Roman" w:cs="Times New Roman"/>
          <w:noProof/>
          <w:sz w:val="24"/>
          <w:szCs w:val="24"/>
        </w:rPr>
        <w:lastRenderedPageBreak/>
        <w:t xml:space="preserve">Development and </w:t>
      </w:r>
      <w:r w:rsidR="00714B5B" w:rsidRPr="0041550F">
        <w:rPr>
          <w:rFonts w:ascii="Times New Roman" w:hAnsi="Times New Roman" w:cs="Times New Roman"/>
          <w:noProof/>
          <w:sz w:val="24"/>
          <w:szCs w:val="24"/>
        </w:rPr>
        <w:t>v</w:t>
      </w:r>
      <w:r w:rsidRPr="0041550F">
        <w:rPr>
          <w:rFonts w:ascii="Times New Roman" w:hAnsi="Times New Roman" w:cs="Times New Roman"/>
          <w:noProof/>
          <w:sz w:val="24"/>
          <w:szCs w:val="24"/>
        </w:rPr>
        <w:t xml:space="preserve">alidation of a </w:t>
      </w:r>
      <w:r w:rsidR="00714B5B" w:rsidRPr="0041550F">
        <w:rPr>
          <w:rFonts w:ascii="Times New Roman" w:hAnsi="Times New Roman" w:cs="Times New Roman"/>
          <w:noProof/>
          <w:sz w:val="24"/>
          <w:szCs w:val="24"/>
        </w:rPr>
        <w:t>l</w:t>
      </w:r>
      <w:r w:rsidRPr="0041550F">
        <w:rPr>
          <w:rFonts w:ascii="Times New Roman" w:hAnsi="Times New Roman" w:cs="Times New Roman"/>
          <w:noProof/>
          <w:sz w:val="24"/>
          <w:szCs w:val="24"/>
        </w:rPr>
        <w:t xml:space="preserve">arge </w:t>
      </w:r>
      <w:r w:rsidR="00714B5B"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tandardized </w:t>
      </w:r>
      <w:r w:rsidR="00714B5B"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lcohol </w:t>
      </w:r>
      <w:r w:rsidR="00714B5B" w:rsidRPr="0041550F">
        <w:rPr>
          <w:rFonts w:ascii="Times New Roman" w:hAnsi="Times New Roman" w:cs="Times New Roman"/>
          <w:noProof/>
          <w:sz w:val="24"/>
          <w:szCs w:val="24"/>
        </w:rPr>
        <w:t>i</w:t>
      </w:r>
      <w:r w:rsidRPr="0041550F">
        <w:rPr>
          <w:rFonts w:ascii="Times New Roman" w:hAnsi="Times New Roman" w:cs="Times New Roman"/>
          <w:noProof/>
          <w:sz w:val="24"/>
          <w:szCs w:val="24"/>
        </w:rPr>
        <w:t xml:space="preserve">magery </w:t>
      </w:r>
      <w:r w:rsidR="00714B5B" w:rsidRPr="0041550F">
        <w:rPr>
          <w:rFonts w:ascii="Times New Roman" w:hAnsi="Times New Roman" w:cs="Times New Roman"/>
          <w:noProof/>
          <w:sz w:val="24"/>
          <w:szCs w:val="24"/>
        </w:rPr>
        <w:t>d</w:t>
      </w:r>
      <w:r w:rsidRPr="0041550F">
        <w:rPr>
          <w:rFonts w:ascii="Times New Roman" w:hAnsi="Times New Roman" w:cs="Times New Roman"/>
          <w:noProof/>
          <w:sz w:val="24"/>
          <w:szCs w:val="24"/>
        </w:rPr>
        <w:t xml:space="preserve">ataset. </w:t>
      </w:r>
      <w:r w:rsidRPr="0041550F">
        <w:rPr>
          <w:rFonts w:ascii="Times New Roman" w:hAnsi="Times New Roman" w:cs="Times New Roman"/>
          <w:i/>
          <w:iCs/>
          <w:noProof/>
          <w:sz w:val="24"/>
          <w:szCs w:val="24"/>
        </w:rPr>
        <w:t>Alcohol</w:t>
      </w:r>
      <w:r w:rsidR="00714B5B" w:rsidRPr="0041550F">
        <w:rPr>
          <w:rFonts w:ascii="Times New Roman" w:hAnsi="Times New Roman" w:cs="Times New Roman"/>
          <w:i/>
          <w:iCs/>
          <w:noProof/>
          <w:sz w:val="24"/>
          <w:szCs w:val="24"/>
        </w:rPr>
        <w:t>ism:</w:t>
      </w:r>
      <w:r w:rsidRPr="0041550F">
        <w:rPr>
          <w:rFonts w:ascii="Times New Roman" w:hAnsi="Times New Roman" w:cs="Times New Roman"/>
          <w:i/>
          <w:iCs/>
          <w:noProof/>
          <w:sz w:val="24"/>
          <w:szCs w:val="24"/>
        </w:rPr>
        <w:t xml:space="preserve"> Clin</w:t>
      </w:r>
      <w:r w:rsidR="00714B5B" w:rsidRPr="0041550F">
        <w:rPr>
          <w:rFonts w:ascii="Times New Roman" w:hAnsi="Times New Roman" w:cs="Times New Roman"/>
          <w:i/>
          <w:iCs/>
          <w:noProof/>
          <w:sz w:val="24"/>
          <w:szCs w:val="24"/>
        </w:rPr>
        <w:t>ical &amp;</w:t>
      </w:r>
      <w:r w:rsidRPr="0041550F">
        <w:rPr>
          <w:rFonts w:ascii="Times New Roman" w:hAnsi="Times New Roman" w:cs="Times New Roman"/>
          <w:i/>
          <w:iCs/>
          <w:noProof/>
          <w:sz w:val="24"/>
          <w:szCs w:val="24"/>
        </w:rPr>
        <w:t xml:space="preserve"> Exp</w:t>
      </w:r>
      <w:r w:rsidR="00714B5B" w:rsidRPr="0041550F">
        <w:rPr>
          <w:rFonts w:ascii="Times New Roman" w:hAnsi="Times New Roman" w:cs="Times New Roman"/>
          <w:i/>
          <w:iCs/>
          <w:noProof/>
          <w:sz w:val="24"/>
          <w:szCs w:val="24"/>
        </w:rPr>
        <w:t>erimental</w:t>
      </w:r>
      <w:r w:rsidRPr="0041550F">
        <w:rPr>
          <w:rFonts w:ascii="Times New Roman" w:hAnsi="Times New Roman" w:cs="Times New Roman"/>
          <w:i/>
          <w:iCs/>
          <w:noProof/>
          <w:sz w:val="24"/>
          <w:szCs w:val="24"/>
        </w:rPr>
        <w:t xml:space="preserve"> Res</w:t>
      </w:r>
      <w:r w:rsidR="00714B5B" w:rsidRPr="0041550F">
        <w:rPr>
          <w:rFonts w:ascii="Times New Roman" w:hAnsi="Times New Roman" w:cs="Times New Roman"/>
          <w:i/>
          <w:iCs/>
          <w:noProof/>
          <w:sz w:val="24"/>
          <w:szCs w:val="24"/>
        </w:rPr>
        <w:t>earch</w:t>
      </w:r>
      <w:r w:rsidRPr="0041550F">
        <w:rPr>
          <w:rFonts w:ascii="Times New Roman" w:hAnsi="Times New Roman" w:cs="Times New Roman"/>
          <w:noProof/>
          <w:sz w:val="24"/>
          <w:szCs w:val="24"/>
        </w:rPr>
        <w:t>. 2019;43(12):2559–67.</w:t>
      </w:r>
      <w:r w:rsidR="00714B5B" w:rsidRPr="0041550F">
        <w:rPr>
          <w:rFonts w:ascii="Times New Roman" w:hAnsi="Times New Roman" w:cs="Times New Roman"/>
          <w:noProof/>
          <w:sz w:val="24"/>
          <w:szCs w:val="24"/>
        </w:rPr>
        <w:t xml:space="preserve"> Available from:</w:t>
      </w:r>
      <w:r w:rsidR="00714B5B" w:rsidRPr="0041550F">
        <w:t xml:space="preserve"> </w:t>
      </w:r>
      <w:r w:rsidR="00714B5B" w:rsidRPr="0041550F">
        <w:rPr>
          <w:rFonts w:ascii="Times New Roman" w:hAnsi="Times New Roman" w:cs="Times New Roman"/>
          <w:noProof/>
          <w:sz w:val="24"/>
          <w:szCs w:val="24"/>
        </w:rPr>
        <w:t>https://doi.org/10.1111/acer.14214</w:t>
      </w:r>
      <w:r w:rsidRPr="0041550F">
        <w:rPr>
          <w:rFonts w:ascii="Times New Roman" w:hAnsi="Times New Roman" w:cs="Times New Roman"/>
          <w:noProof/>
          <w:sz w:val="24"/>
          <w:szCs w:val="24"/>
        </w:rPr>
        <w:t xml:space="preserve"> </w:t>
      </w:r>
    </w:p>
    <w:p w14:paraId="004D941C" w14:textId="1EB5CB5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67. </w:t>
      </w:r>
      <w:r w:rsidRPr="0041550F">
        <w:rPr>
          <w:rFonts w:ascii="Times New Roman" w:hAnsi="Times New Roman" w:cs="Times New Roman"/>
          <w:noProof/>
          <w:sz w:val="24"/>
          <w:szCs w:val="24"/>
        </w:rPr>
        <w:tab/>
        <w:t xml:space="preserve">Onie S, Gong S, Manwaring E, Grageda D, Webb K, Yuen WS, et al. Validation of the Australian beverage picture set: A controlled picture set for cognitive bias measurement and modification paradigms. </w:t>
      </w:r>
      <w:r w:rsidRPr="0041550F">
        <w:rPr>
          <w:rFonts w:ascii="Times New Roman" w:hAnsi="Times New Roman" w:cs="Times New Roman"/>
          <w:i/>
          <w:iCs/>
          <w:noProof/>
          <w:sz w:val="24"/>
          <w:szCs w:val="24"/>
        </w:rPr>
        <w:t>Aust</w:t>
      </w:r>
      <w:r w:rsidR="00DB526C" w:rsidRPr="0041550F">
        <w:rPr>
          <w:rFonts w:ascii="Times New Roman" w:hAnsi="Times New Roman" w:cs="Times New Roman"/>
          <w:i/>
          <w:iCs/>
          <w:noProof/>
          <w:sz w:val="24"/>
          <w:szCs w:val="24"/>
        </w:rPr>
        <w:t>ralian</w:t>
      </w:r>
      <w:r w:rsidRPr="0041550F">
        <w:rPr>
          <w:rFonts w:ascii="Times New Roman" w:hAnsi="Times New Roman" w:cs="Times New Roman"/>
          <w:i/>
          <w:iCs/>
          <w:noProof/>
          <w:sz w:val="24"/>
          <w:szCs w:val="24"/>
        </w:rPr>
        <w:t xml:space="preserve"> J</w:t>
      </w:r>
      <w:r w:rsidR="00DB526C" w:rsidRPr="0041550F">
        <w:rPr>
          <w:rFonts w:ascii="Times New Roman" w:hAnsi="Times New Roman" w:cs="Times New Roman"/>
          <w:i/>
          <w:iCs/>
          <w:noProof/>
          <w:sz w:val="24"/>
          <w:szCs w:val="24"/>
        </w:rPr>
        <w:t>ournal</w:t>
      </w:r>
      <w:r w:rsidRPr="0041550F">
        <w:rPr>
          <w:rFonts w:ascii="Times New Roman" w:hAnsi="Times New Roman" w:cs="Times New Roman"/>
          <w:i/>
          <w:iCs/>
          <w:noProof/>
          <w:sz w:val="24"/>
          <w:szCs w:val="24"/>
        </w:rPr>
        <w:t xml:space="preserve"> </w:t>
      </w:r>
      <w:r w:rsidR="00DB526C" w:rsidRPr="0041550F">
        <w:rPr>
          <w:rFonts w:ascii="Times New Roman" w:hAnsi="Times New Roman" w:cs="Times New Roman"/>
          <w:i/>
          <w:iCs/>
          <w:noProof/>
          <w:sz w:val="24"/>
          <w:szCs w:val="24"/>
        </w:rPr>
        <w:t xml:space="preserve">of </w:t>
      </w:r>
      <w:r w:rsidRPr="0041550F">
        <w:rPr>
          <w:rFonts w:ascii="Times New Roman" w:hAnsi="Times New Roman" w:cs="Times New Roman"/>
          <w:i/>
          <w:iCs/>
          <w:noProof/>
          <w:sz w:val="24"/>
          <w:szCs w:val="24"/>
        </w:rPr>
        <w:t>Psychol</w:t>
      </w:r>
      <w:r w:rsidR="00DB526C" w:rsidRPr="0041550F">
        <w:rPr>
          <w:rFonts w:ascii="Times New Roman" w:hAnsi="Times New Roman" w:cs="Times New Roman"/>
          <w:i/>
          <w:iCs/>
          <w:noProof/>
          <w:sz w:val="24"/>
          <w:szCs w:val="24"/>
        </w:rPr>
        <w:t>ogy</w:t>
      </w:r>
      <w:r w:rsidRPr="0041550F">
        <w:rPr>
          <w:rFonts w:ascii="Times New Roman" w:hAnsi="Times New Roman" w:cs="Times New Roman"/>
          <w:noProof/>
          <w:sz w:val="24"/>
          <w:szCs w:val="24"/>
        </w:rPr>
        <w:t xml:space="preserve">. 2020;72(2):223–32. </w:t>
      </w:r>
      <w:r w:rsidR="00DB526C" w:rsidRPr="0041550F">
        <w:rPr>
          <w:rFonts w:ascii="Times New Roman" w:hAnsi="Times New Roman" w:cs="Times New Roman"/>
          <w:noProof/>
          <w:sz w:val="24"/>
          <w:szCs w:val="24"/>
        </w:rPr>
        <w:t>Available from: https://doi.org/10.1111/ajpy.12272</w:t>
      </w:r>
    </w:p>
    <w:p w14:paraId="3B379D96" w14:textId="5A1A525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68. </w:t>
      </w:r>
      <w:r w:rsidRPr="0041550F">
        <w:rPr>
          <w:rFonts w:ascii="Times New Roman" w:hAnsi="Times New Roman" w:cs="Times New Roman"/>
          <w:noProof/>
          <w:sz w:val="24"/>
          <w:szCs w:val="24"/>
        </w:rPr>
        <w:tab/>
        <w:t xml:space="preserve">López-Caneda E, Carbia C. The Galician Beverage Picture Set (GBPS): A standardized database of alcohol and non-alcohol images. </w:t>
      </w:r>
      <w:r w:rsidRPr="0041550F">
        <w:rPr>
          <w:rFonts w:ascii="Times New Roman" w:hAnsi="Times New Roman" w:cs="Times New Roman"/>
          <w:i/>
          <w:iCs/>
          <w:noProof/>
          <w:sz w:val="24"/>
          <w:szCs w:val="24"/>
        </w:rPr>
        <w:t>Drug</w:t>
      </w:r>
      <w:r w:rsidR="00DB526C"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Alcohol Depend</w:t>
      </w:r>
      <w:r w:rsidR="00DB526C"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2018;184:42–7. Available from: https://doi.org/10.1016/j.drugalcdep.2017.11.022</w:t>
      </w:r>
    </w:p>
    <w:p w14:paraId="5FA54BCC" w14:textId="43F5ECB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69. </w:t>
      </w:r>
      <w:r w:rsidRPr="0041550F">
        <w:rPr>
          <w:rFonts w:ascii="Times New Roman" w:hAnsi="Times New Roman" w:cs="Times New Roman"/>
          <w:noProof/>
          <w:sz w:val="24"/>
          <w:szCs w:val="24"/>
        </w:rPr>
        <w:tab/>
        <w:t xml:space="preserve">Stauffer CS, Dobberteen L, Woolley JD. American Alcohol Photo Stimuli (AAPS): A standardized set of alcohol and matched non-alcohol images. </w:t>
      </w:r>
      <w:r w:rsidRPr="0041550F">
        <w:rPr>
          <w:rFonts w:ascii="Times New Roman" w:hAnsi="Times New Roman" w:cs="Times New Roman"/>
          <w:i/>
          <w:iCs/>
          <w:noProof/>
          <w:sz w:val="24"/>
          <w:szCs w:val="24"/>
        </w:rPr>
        <w:t>Am</w:t>
      </w:r>
      <w:r w:rsidR="003B34B4" w:rsidRPr="0041550F">
        <w:rPr>
          <w:rFonts w:ascii="Times New Roman" w:hAnsi="Times New Roman" w:cs="Times New Roman"/>
          <w:i/>
          <w:iCs/>
          <w:noProof/>
          <w:sz w:val="24"/>
          <w:szCs w:val="24"/>
        </w:rPr>
        <w:t>erican</w:t>
      </w:r>
      <w:r w:rsidRPr="0041550F">
        <w:rPr>
          <w:rFonts w:ascii="Times New Roman" w:hAnsi="Times New Roman" w:cs="Times New Roman"/>
          <w:i/>
          <w:iCs/>
          <w:noProof/>
          <w:sz w:val="24"/>
          <w:szCs w:val="24"/>
        </w:rPr>
        <w:t xml:space="preserve"> J</w:t>
      </w:r>
      <w:r w:rsidR="003B34B4" w:rsidRPr="0041550F">
        <w:rPr>
          <w:rFonts w:ascii="Times New Roman" w:hAnsi="Times New Roman" w:cs="Times New Roman"/>
          <w:i/>
          <w:iCs/>
          <w:noProof/>
          <w:sz w:val="24"/>
          <w:szCs w:val="24"/>
        </w:rPr>
        <w:t>ournal of</w:t>
      </w:r>
      <w:r w:rsidRPr="0041550F">
        <w:rPr>
          <w:rFonts w:ascii="Times New Roman" w:hAnsi="Times New Roman" w:cs="Times New Roman"/>
          <w:i/>
          <w:iCs/>
          <w:noProof/>
          <w:sz w:val="24"/>
          <w:szCs w:val="24"/>
        </w:rPr>
        <w:t xml:space="preserve"> Drug</w:t>
      </w:r>
      <w:r w:rsidR="003B34B4" w:rsidRPr="0041550F">
        <w:rPr>
          <w:rFonts w:ascii="Times New Roman" w:hAnsi="Times New Roman" w:cs="Times New Roman"/>
          <w:i/>
          <w:iCs/>
          <w:noProof/>
          <w:sz w:val="24"/>
          <w:szCs w:val="24"/>
        </w:rPr>
        <w:t xml:space="preserve"> &amp;</w:t>
      </w:r>
      <w:r w:rsidRPr="0041550F">
        <w:rPr>
          <w:rFonts w:ascii="Times New Roman" w:hAnsi="Times New Roman" w:cs="Times New Roman"/>
          <w:i/>
          <w:iCs/>
          <w:noProof/>
          <w:sz w:val="24"/>
          <w:szCs w:val="24"/>
        </w:rPr>
        <w:t xml:space="preserve"> Alcohol Abuse</w:t>
      </w:r>
      <w:r w:rsidRPr="0041550F">
        <w:rPr>
          <w:rFonts w:ascii="Times New Roman" w:hAnsi="Times New Roman" w:cs="Times New Roman"/>
          <w:noProof/>
          <w:sz w:val="24"/>
          <w:szCs w:val="24"/>
        </w:rPr>
        <w:t>. 2017;43(6):647–55. Available from: https://doi.org/10.1080/00952990.2016.1253093</w:t>
      </w:r>
    </w:p>
    <w:p w14:paraId="6359C433" w14:textId="3FD2032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70. </w:t>
      </w:r>
      <w:r w:rsidRPr="0041550F">
        <w:rPr>
          <w:rFonts w:ascii="Times New Roman" w:hAnsi="Times New Roman" w:cs="Times New Roman"/>
          <w:noProof/>
          <w:sz w:val="24"/>
          <w:szCs w:val="24"/>
        </w:rPr>
        <w:tab/>
        <w:t xml:space="preserve">Grafton B, Teng S, MacLeod C. Two probes and better than one: Development of a psychometrically reliable variant of the attentional probe task. </w:t>
      </w:r>
      <w:r w:rsidRPr="0041550F">
        <w:rPr>
          <w:rFonts w:ascii="Times New Roman" w:hAnsi="Times New Roman" w:cs="Times New Roman"/>
          <w:i/>
          <w:iCs/>
          <w:noProof/>
          <w:sz w:val="24"/>
          <w:szCs w:val="24"/>
        </w:rPr>
        <w:t>Behav</w:t>
      </w:r>
      <w:r w:rsidR="00B37082" w:rsidRPr="0041550F">
        <w:rPr>
          <w:rFonts w:ascii="Times New Roman" w:hAnsi="Times New Roman" w:cs="Times New Roman"/>
          <w:i/>
          <w:iCs/>
          <w:noProof/>
          <w:sz w:val="24"/>
          <w:szCs w:val="24"/>
        </w:rPr>
        <w:t>iour</w:t>
      </w:r>
      <w:r w:rsidRPr="0041550F">
        <w:rPr>
          <w:rFonts w:ascii="Times New Roman" w:hAnsi="Times New Roman" w:cs="Times New Roman"/>
          <w:i/>
          <w:iCs/>
          <w:noProof/>
          <w:sz w:val="24"/>
          <w:szCs w:val="24"/>
        </w:rPr>
        <w:t xml:space="preserve"> Res</w:t>
      </w:r>
      <w:r w:rsidR="00B37082" w:rsidRPr="0041550F">
        <w:rPr>
          <w:rFonts w:ascii="Times New Roman" w:hAnsi="Times New Roman" w:cs="Times New Roman"/>
          <w:i/>
          <w:iCs/>
          <w:noProof/>
          <w:sz w:val="24"/>
          <w:szCs w:val="24"/>
        </w:rPr>
        <w:t>earch &amp;</w:t>
      </w:r>
      <w:r w:rsidRPr="0041550F">
        <w:rPr>
          <w:rFonts w:ascii="Times New Roman" w:hAnsi="Times New Roman" w:cs="Times New Roman"/>
          <w:i/>
          <w:iCs/>
          <w:noProof/>
          <w:sz w:val="24"/>
          <w:szCs w:val="24"/>
        </w:rPr>
        <w:t xml:space="preserve"> Ther</w:t>
      </w:r>
      <w:r w:rsidR="00B37082" w:rsidRPr="0041550F">
        <w:rPr>
          <w:rFonts w:ascii="Times New Roman" w:hAnsi="Times New Roman" w:cs="Times New Roman"/>
          <w:i/>
          <w:iCs/>
          <w:noProof/>
          <w:sz w:val="24"/>
          <w:szCs w:val="24"/>
        </w:rPr>
        <w:t>apy</w:t>
      </w:r>
      <w:r w:rsidRPr="0041550F">
        <w:rPr>
          <w:rFonts w:ascii="Times New Roman" w:hAnsi="Times New Roman" w:cs="Times New Roman"/>
          <w:noProof/>
          <w:sz w:val="24"/>
          <w:szCs w:val="24"/>
        </w:rPr>
        <w:t>. 2021;138:103805. Available from: https://doi.org/10.1016/j.brat.2021.103805</w:t>
      </w:r>
    </w:p>
    <w:p w14:paraId="05C8B25F" w14:textId="42FA039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71. </w:t>
      </w:r>
      <w:r w:rsidRPr="0041550F">
        <w:rPr>
          <w:rFonts w:ascii="Times New Roman" w:hAnsi="Times New Roman" w:cs="Times New Roman"/>
          <w:noProof/>
          <w:sz w:val="24"/>
          <w:szCs w:val="24"/>
        </w:rPr>
        <w:tab/>
        <w:t xml:space="preserve">Heitmann J, Jonker NC, Jong PJ De, Gladwin TE. A </w:t>
      </w:r>
      <w:r w:rsidR="00B37082" w:rsidRPr="0041550F">
        <w:rPr>
          <w:rFonts w:ascii="Times New Roman" w:hAnsi="Times New Roman" w:cs="Times New Roman"/>
          <w:noProof/>
          <w:sz w:val="24"/>
          <w:szCs w:val="24"/>
        </w:rPr>
        <w:t>p</w:t>
      </w:r>
      <w:r w:rsidRPr="0041550F">
        <w:rPr>
          <w:rFonts w:ascii="Times New Roman" w:hAnsi="Times New Roman" w:cs="Times New Roman"/>
          <w:noProof/>
          <w:sz w:val="24"/>
          <w:szCs w:val="24"/>
        </w:rPr>
        <w:t xml:space="preserve">romising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andidate to </w:t>
      </w:r>
      <w:r w:rsidR="00B37082" w:rsidRPr="0041550F">
        <w:rPr>
          <w:rFonts w:ascii="Times New Roman" w:hAnsi="Times New Roman" w:cs="Times New Roman"/>
          <w:noProof/>
          <w:sz w:val="24"/>
          <w:szCs w:val="24"/>
        </w:rPr>
        <w:t>r</w:t>
      </w:r>
      <w:r w:rsidRPr="0041550F">
        <w:rPr>
          <w:rFonts w:ascii="Times New Roman" w:hAnsi="Times New Roman" w:cs="Times New Roman"/>
          <w:noProof/>
          <w:sz w:val="24"/>
          <w:szCs w:val="24"/>
        </w:rPr>
        <w:t xml:space="preserve">eliably </w:t>
      </w:r>
      <w:r w:rsidR="00B37082" w:rsidRPr="0041550F">
        <w:rPr>
          <w:rFonts w:ascii="Times New Roman" w:hAnsi="Times New Roman" w:cs="Times New Roman"/>
          <w:noProof/>
          <w:sz w:val="24"/>
          <w:szCs w:val="24"/>
        </w:rPr>
        <w:t>i</w:t>
      </w:r>
      <w:r w:rsidRPr="0041550F">
        <w:rPr>
          <w:rFonts w:ascii="Times New Roman" w:hAnsi="Times New Roman" w:cs="Times New Roman"/>
          <w:noProof/>
          <w:sz w:val="24"/>
          <w:szCs w:val="24"/>
        </w:rPr>
        <w:t xml:space="preserve">ndex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ttentional </w:t>
      </w:r>
      <w:r w:rsidR="00B37082" w:rsidRPr="0041550F">
        <w:rPr>
          <w:rFonts w:ascii="Times New Roman" w:hAnsi="Times New Roman" w:cs="Times New Roman"/>
          <w:noProof/>
          <w:sz w:val="24"/>
          <w:szCs w:val="24"/>
        </w:rPr>
        <w:t>b</w:t>
      </w:r>
      <w:r w:rsidRPr="0041550F">
        <w:rPr>
          <w:rFonts w:ascii="Times New Roman" w:hAnsi="Times New Roman" w:cs="Times New Roman"/>
          <w:noProof/>
          <w:sz w:val="24"/>
          <w:szCs w:val="24"/>
        </w:rPr>
        <w:t xml:space="preserve">ias </w:t>
      </w:r>
      <w:r w:rsidR="00B37082"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oward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lcohol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ues</w:t>
      </w:r>
      <w:r w:rsidR="00B37082" w:rsidRPr="0041550F">
        <w:rPr>
          <w:rFonts w:ascii="Times New Roman" w:hAnsi="Times New Roman" w:cs="Times New Roman"/>
          <w:noProof/>
          <w:sz w:val="24"/>
          <w:szCs w:val="24"/>
        </w:rPr>
        <w:t xml:space="preserve">: </w:t>
      </w:r>
      <w:r w:rsidRPr="0041550F">
        <w:rPr>
          <w:rFonts w:ascii="Times New Roman" w:hAnsi="Times New Roman" w:cs="Times New Roman"/>
          <w:noProof/>
          <w:sz w:val="24"/>
          <w:szCs w:val="24"/>
        </w:rPr>
        <w:t xml:space="preserve">An </w:t>
      </w:r>
      <w:r w:rsidR="00B37082" w:rsidRPr="0041550F">
        <w:rPr>
          <w:rFonts w:ascii="Times New Roman" w:hAnsi="Times New Roman" w:cs="Times New Roman"/>
          <w:noProof/>
          <w:sz w:val="24"/>
          <w:szCs w:val="24"/>
        </w:rPr>
        <w:t>a</w:t>
      </w:r>
      <w:r w:rsidRPr="0041550F">
        <w:rPr>
          <w:rFonts w:ascii="Times New Roman" w:hAnsi="Times New Roman" w:cs="Times New Roman"/>
          <w:noProof/>
          <w:sz w:val="24"/>
          <w:szCs w:val="24"/>
        </w:rPr>
        <w:t xml:space="preserve">dapted Odd-One-Out Visual Search Task. </w:t>
      </w:r>
      <w:r w:rsidRPr="0041550F">
        <w:rPr>
          <w:rFonts w:ascii="Times New Roman" w:hAnsi="Times New Roman" w:cs="Times New Roman"/>
          <w:i/>
          <w:iCs/>
          <w:noProof/>
          <w:sz w:val="24"/>
          <w:szCs w:val="24"/>
        </w:rPr>
        <w:t>Front</w:t>
      </w:r>
      <w:r w:rsidR="00B37082" w:rsidRPr="0041550F">
        <w:rPr>
          <w:rFonts w:ascii="Times New Roman" w:hAnsi="Times New Roman" w:cs="Times New Roman"/>
          <w:i/>
          <w:iCs/>
          <w:noProof/>
          <w:sz w:val="24"/>
          <w:szCs w:val="24"/>
        </w:rPr>
        <w:t>iers in</w:t>
      </w:r>
      <w:r w:rsidRPr="0041550F">
        <w:rPr>
          <w:rFonts w:ascii="Times New Roman" w:hAnsi="Times New Roman" w:cs="Times New Roman"/>
          <w:i/>
          <w:iCs/>
          <w:noProof/>
          <w:sz w:val="24"/>
          <w:szCs w:val="24"/>
        </w:rPr>
        <w:t xml:space="preserve"> Psychol</w:t>
      </w:r>
      <w:r w:rsidR="00B37082" w:rsidRPr="0041550F">
        <w:rPr>
          <w:rFonts w:ascii="Times New Roman" w:hAnsi="Times New Roman" w:cs="Times New Roman"/>
          <w:i/>
          <w:iCs/>
          <w:noProof/>
          <w:sz w:val="24"/>
          <w:szCs w:val="24"/>
        </w:rPr>
        <w:t>ogy</w:t>
      </w:r>
      <w:r w:rsidRPr="0041550F">
        <w:rPr>
          <w:rFonts w:ascii="Times New Roman" w:hAnsi="Times New Roman" w:cs="Times New Roman"/>
          <w:noProof/>
          <w:sz w:val="24"/>
          <w:szCs w:val="24"/>
        </w:rPr>
        <w:t xml:space="preserve">. 2021;12:1–11. </w:t>
      </w:r>
      <w:r w:rsidR="00B37082" w:rsidRPr="0041550F">
        <w:rPr>
          <w:rFonts w:ascii="Times New Roman" w:hAnsi="Times New Roman" w:cs="Times New Roman"/>
          <w:noProof/>
          <w:sz w:val="24"/>
          <w:szCs w:val="24"/>
        </w:rPr>
        <w:t>Available from: https://doi.org/10.3389/fpsyg.2021.630461</w:t>
      </w:r>
    </w:p>
    <w:p w14:paraId="7F6F91D1" w14:textId="40F34B0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72. </w:t>
      </w:r>
      <w:r w:rsidRPr="0041550F">
        <w:rPr>
          <w:rFonts w:ascii="Times New Roman" w:hAnsi="Times New Roman" w:cs="Times New Roman"/>
          <w:noProof/>
          <w:sz w:val="24"/>
          <w:szCs w:val="24"/>
        </w:rPr>
        <w:tab/>
        <w:t xml:space="preserve">Hedge C, Bompas A, Sumner P. Task </w:t>
      </w:r>
      <w:r w:rsidR="00B37082" w:rsidRPr="0041550F">
        <w:rPr>
          <w:rFonts w:ascii="Times New Roman" w:hAnsi="Times New Roman" w:cs="Times New Roman"/>
          <w:noProof/>
          <w:sz w:val="24"/>
          <w:szCs w:val="24"/>
        </w:rPr>
        <w:t>r</w:t>
      </w:r>
      <w:r w:rsidRPr="0041550F">
        <w:rPr>
          <w:rFonts w:ascii="Times New Roman" w:hAnsi="Times New Roman" w:cs="Times New Roman"/>
          <w:noProof/>
          <w:sz w:val="24"/>
          <w:szCs w:val="24"/>
        </w:rPr>
        <w:t xml:space="preserve">eliability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onsiderations in </w:t>
      </w:r>
      <w:r w:rsidR="00B37082"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omputational </w:t>
      </w:r>
      <w:r w:rsidR="00B37082" w:rsidRPr="0041550F">
        <w:rPr>
          <w:rFonts w:ascii="Times New Roman" w:hAnsi="Times New Roman" w:cs="Times New Roman"/>
          <w:noProof/>
          <w:sz w:val="24"/>
          <w:szCs w:val="24"/>
        </w:rPr>
        <w:lastRenderedPageBreak/>
        <w:t>p</w:t>
      </w:r>
      <w:r w:rsidRPr="0041550F">
        <w:rPr>
          <w:rFonts w:ascii="Times New Roman" w:hAnsi="Times New Roman" w:cs="Times New Roman"/>
          <w:noProof/>
          <w:sz w:val="24"/>
          <w:szCs w:val="24"/>
        </w:rPr>
        <w:t xml:space="preserve">sychiatry. </w:t>
      </w:r>
      <w:r w:rsidRPr="0041550F">
        <w:rPr>
          <w:rFonts w:ascii="Times New Roman" w:hAnsi="Times New Roman" w:cs="Times New Roman"/>
          <w:i/>
          <w:iCs/>
          <w:noProof/>
          <w:sz w:val="24"/>
          <w:szCs w:val="24"/>
        </w:rPr>
        <w:t>Biol</w:t>
      </w:r>
      <w:r w:rsidR="00B37082" w:rsidRPr="0041550F">
        <w:rPr>
          <w:rFonts w:ascii="Times New Roman" w:hAnsi="Times New Roman" w:cs="Times New Roman"/>
          <w:i/>
          <w:iCs/>
          <w:noProof/>
          <w:sz w:val="24"/>
          <w:szCs w:val="24"/>
        </w:rPr>
        <w:t>ogical</w:t>
      </w:r>
      <w:r w:rsidRPr="0041550F">
        <w:rPr>
          <w:rFonts w:ascii="Times New Roman" w:hAnsi="Times New Roman" w:cs="Times New Roman"/>
          <w:i/>
          <w:iCs/>
          <w:noProof/>
          <w:sz w:val="24"/>
          <w:szCs w:val="24"/>
        </w:rPr>
        <w:t xml:space="preserve"> Psychiatry</w:t>
      </w:r>
      <w:r w:rsidR="00B37082" w:rsidRPr="0041550F">
        <w:rPr>
          <w:rFonts w:ascii="Times New Roman" w:hAnsi="Times New Roman" w:cs="Times New Roman"/>
          <w:i/>
          <w:iCs/>
          <w:noProof/>
          <w:sz w:val="24"/>
          <w:szCs w:val="24"/>
        </w:rPr>
        <w:t xml:space="preserve">: </w:t>
      </w:r>
      <w:r w:rsidRPr="0041550F">
        <w:rPr>
          <w:rFonts w:ascii="Times New Roman" w:hAnsi="Times New Roman" w:cs="Times New Roman"/>
          <w:i/>
          <w:iCs/>
          <w:noProof/>
          <w:sz w:val="24"/>
          <w:szCs w:val="24"/>
        </w:rPr>
        <w:t>Cogn</w:t>
      </w:r>
      <w:r w:rsidR="00B37082" w:rsidRPr="0041550F">
        <w:rPr>
          <w:rFonts w:ascii="Times New Roman" w:hAnsi="Times New Roman" w:cs="Times New Roman"/>
          <w:i/>
          <w:iCs/>
          <w:noProof/>
          <w:sz w:val="24"/>
          <w:szCs w:val="24"/>
        </w:rPr>
        <w:t>itive</w:t>
      </w:r>
      <w:r w:rsidRPr="0041550F">
        <w:rPr>
          <w:rFonts w:ascii="Times New Roman" w:hAnsi="Times New Roman" w:cs="Times New Roman"/>
          <w:i/>
          <w:iCs/>
          <w:noProof/>
          <w:sz w:val="24"/>
          <w:szCs w:val="24"/>
        </w:rPr>
        <w:t xml:space="preserve"> Neurosci</w:t>
      </w:r>
      <w:r w:rsidR="00B37082" w:rsidRPr="0041550F">
        <w:rPr>
          <w:rFonts w:ascii="Times New Roman" w:hAnsi="Times New Roman" w:cs="Times New Roman"/>
          <w:i/>
          <w:iCs/>
          <w:noProof/>
          <w:sz w:val="24"/>
          <w:szCs w:val="24"/>
        </w:rPr>
        <w:t>ence &amp;</w:t>
      </w:r>
      <w:r w:rsidRPr="0041550F">
        <w:rPr>
          <w:rFonts w:ascii="Times New Roman" w:hAnsi="Times New Roman" w:cs="Times New Roman"/>
          <w:i/>
          <w:iCs/>
          <w:noProof/>
          <w:sz w:val="24"/>
          <w:szCs w:val="24"/>
        </w:rPr>
        <w:t xml:space="preserve"> Neuroimaging</w:t>
      </w:r>
      <w:r w:rsidRPr="0041550F">
        <w:rPr>
          <w:rFonts w:ascii="Times New Roman" w:hAnsi="Times New Roman" w:cs="Times New Roman"/>
          <w:noProof/>
          <w:sz w:val="24"/>
          <w:szCs w:val="24"/>
        </w:rPr>
        <w:t>. 2020;5(9):837–9. Available from: https://doi.org/10.1016/j.bpsc.2020.05.004</w:t>
      </w:r>
    </w:p>
    <w:p w14:paraId="7639FEAD" w14:textId="4BA333C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73. </w:t>
      </w:r>
      <w:r w:rsidRPr="0041550F">
        <w:rPr>
          <w:rFonts w:ascii="Times New Roman" w:hAnsi="Times New Roman" w:cs="Times New Roman"/>
          <w:noProof/>
          <w:sz w:val="24"/>
          <w:szCs w:val="24"/>
        </w:rPr>
        <w:tab/>
        <w:t xml:space="preserve">Guest O, Martin AE. How </w:t>
      </w:r>
      <w:r w:rsidR="007777CB"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omputational </w:t>
      </w:r>
      <w:r w:rsidR="007777CB" w:rsidRPr="0041550F">
        <w:rPr>
          <w:rFonts w:ascii="Times New Roman" w:hAnsi="Times New Roman" w:cs="Times New Roman"/>
          <w:noProof/>
          <w:sz w:val="24"/>
          <w:szCs w:val="24"/>
        </w:rPr>
        <w:t>m</w:t>
      </w:r>
      <w:r w:rsidRPr="0041550F">
        <w:rPr>
          <w:rFonts w:ascii="Times New Roman" w:hAnsi="Times New Roman" w:cs="Times New Roman"/>
          <w:noProof/>
          <w:sz w:val="24"/>
          <w:szCs w:val="24"/>
        </w:rPr>
        <w:t xml:space="preserve">odeling </w:t>
      </w:r>
      <w:r w:rsidR="007777CB" w:rsidRPr="0041550F">
        <w:rPr>
          <w:rFonts w:ascii="Times New Roman" w:hAnsi="Times New Roman" w:cs="Times New Roman"/>
          <w:noProof/>
          <w:sz w:val="24"/>
          <w:szCs w:val="24"/>
        </w:rPr>
        <w:t>c</w:t>
      </w:r>
      <w:r w:rsidRPr="0041550F">
        <w:rPr>
          <w:rFonts w:ascii="Times New Roman" w:hAnsi="Times New Roman" w:cs="Times New Roman"/>
          <w:noProof/>
          <w:sz w:val="24"/>
          <w:szCs w:val="24"/>
        </w:rPr>
        <w:t xml:space="preserve">an </w:t>
      </w:r>
      <w:r w:rsidR="007777CB" w:rsidRPr="0041550F">
        <w:rPr>
          <w:rFonts w:ascii="Times New Roman" w:hAnsi="Times New Roman" w:cs="Times New Roman"/>
          <w:noProof/>
          <w:sz w:val="24"/>
          <w:szCs w:val="24"/>
        </w:rPr>
        <w:t>f</w:t>
      </w:r>
      <w:r w:rsidRPr="0041550F">
        <w:rPr>
          <w:rFonts w:ascii="Times New Roman" w:hAnsi="Times New Roman" w:cs="Times New Roman"/>
          <w:noProof/>
          <w:sz w:val="24"/>
          <w:szCs w:val="24"/>
        </w:rPr>
        <w:t xml:space="preserve">orce </w:t>
      </w:r>
      <w:r w:rsidR="007777CB" w:rsidRPr="0041550F">
        <w:rPr>
          <w:rFonts w:ascii="Times New Roman" w:hAnsi="Times New Roman" w:cs="Times New Roman"/>
          <w:noProof/>
          <w:sz w:val="24"/>
          <w:szCs w:val="24"/>
        </w:rPr>
        <w:t>t</w:t>
      </w:r>
      <w:r w:rsidRPr="0041550F">
        <w:rPr>
          <w:rFonts w:ascii="Times New Roman" w:hAnsi="Times New Roman" w:cs="Times New Roman"/>
          <w:noProof/>
          <w:sz w:val="24"/>
          <w:szCs w:val="24"/>
        </w:rPr>
        <w:t xml:space="preserve">heory </w:t>
      </w:r>
      <w:r w:rsidR="007777CB" w:rsidRPr="0041550F">
        <w:rPr>
          <w:rFonts w:ascii="Times New Roman" w:hAnsi="Times New Roman" w:cs="Times New Roman"/>
          <w:noProof/>
          <w:sz w:val="24"/>
          <w:szCs w:val="24"/>
        </w:rPr>
        <w:t>b</w:t>
      </w:r>
      <w:r w:rsidRPr="0041550F">
        <w:rPr>
          <w:rFonts w:ascii="Times New Roman" w:hAnsi="Times New Roman" w:cs="Times New Roman"/>
          <w:noProof/>
          <w:sz w:val="24"/>
          <w:szCs w:val="24"/>
        </w:rPr>
        <w:t xml:space="preserve">uilding in </w:t>
      </w:r>
      <w:r w:rsidR="007777CB" w:rsidRPr="0041550F">
        <w:rPr>
          <w:rFonts w:ascii="Times New Roman" w:hAnsi="Times New Roman" w:cs="Times New Roman"/>
          <w:noProof/>
          <w:sz w:val="24"/>
          <w:szCs w:val="24"/>
        </w:rPr>
        <w:t>p</w:t>
      </w:r>
      <w:r w:rsidRPr="0041550F">
        <w:rPr>
          <w:rFonts w:ascii="Times New Roman" w:hAnsi="Times New Roman" w:cs="Times New Roman"/>
          <w:noProof/>
          <w:sz w:val="24"/>
          <w:szCs w:val="24"/>
        </w:rPr>
        <w:t xml:space="preserve">sychological </w:t>
      </w:r>
      <w:r w:rsidR="007777CB" w:rsidRPr="0041550F">
        <w:rPr>
          <w:rFonts w:ascii="Times New Roman" w:hAnsi="Times New Roman" w:cs="Times New Roman"/>
          <w:noProof/>
          <w:sz w:val="24"/>
          <w:szCs w:val="24"/>
        </w:rPr>
        <w:t>s</w:t>
      </w:r>
      <w:r w:rsidRPr="0041550F">
        <w:rPr>
          <w:rFonts w:ascii="Times New Roman" w:hAnsi="Times New Roman" w:cs="Times New Roman"/>
          <w:noProof/>
          <w:sz w:val="24"/>
          <w:szCs w:val="24"/>
        </w:rPr>
        <w:t xml:space="preserve">cience. </w:t>
      </w:r>
      <w:r w:rsidRPr="0041550F">
        <w:rPr>
          <w:rFonts w:ascii="Times New Roman" w:hAnsi="Times New Roman" w:cs="Times New Roman"/>
          <w:i/>
          <w:iCs/>
          <w:noProof/>
          <w:sz w:val="24"/>
          <w:szCs w:val="24"/>
        </w:rPr>
        <w:t>Perspect</w:t>
      </w:r>
      <w:r w:rsidR="007777CB" w:rsidRPr="0041550F">
        <w:rPr>
          <w:rFonts w:ascii="Times New Roman" w:hAnsi="Times New Roman" w:cs="Times New Roman"/>
          <w:i/>
          <w:iCs/>
          <w:noProof/>
          <w:sz w:val="24"/>
          <w:szCs w:val="24"/>
        </w:rPr>
        <w:t>ives on</w:t>
      </w:r>
      <w:r w:rsidRPr="0041550F">
        <w:rPr>
          <w:rFonts w:ascii="Times New Roman" w:hAnsi="Times New Roman" w:cs="Times New Roman"/>
          <w:i/>
          <w:iCs/>
          <w:noProof/>
          <w:sz w:val="24"/>
          <w:szCs w:val="24"/>
        </w:rPr>
        <w:t xml:space="preserve"> Psychol</w:t>
      </w:r>
      <w:r w:rsidR="007777CB" w:rsidRPr="0041550F">
        <w:rPr>
          <w:rFonts w:ascii="Times New Roman" w:hAnsi="Times New Roman" w:cs="Times New Roman"/>
          <w:i/>
          <w:iCs/>
          <w:noProof/>
          <w:sz w:val="24"/>
          <w:szCs w:val="24"/>
        </w:rPr>
        <w:t xml:space="preserve">ogical </w:t>
      </w:r>
      <w:r w:rsidRPr="0041550F">
        <w:rPr>
          <w:rFonts w:ascii="Times New Roman" w:hAnsi="Times New Roman" w:cs="Times New Roman"/>
          <w:i/>
          <w:iCs/>
          <w:noProof/>
          <w:sz w:val="24"/>
          <w:szCs w:val="24"/>
        </w:rPr>
        <w:t>Sci</w:t>
      </w:r>
      <w:r w:rsidR="007777CB" w:rsidRPr="0041550F">
        <w:rPr>
          <w:rFonts w:ascii="Times New Roman" w:hAnsi="Times New Roman" w:cs="Times New Roman"/>
          <w:i/>
          <w:iCs/>
          <w:noProof/>
          <w:sz w:val="24"/>
          <w:szCs w:val="24"/>
        </w:rPr>
        <w:t>ence</w:t>
      </w:r>
      <w:r w:rsidRPr="0041550F">
        <w:rPr>
          <w:rFonts w:ascii="Times New Roman" w:hAnsi="Times New Roman" w:cs="Times New Roman"/>
          <w:noProof/>
          <w:sz w:val="24"/>
          <w:szCs w:val="24"/>
        </w:rPr>
        <w:t>. 2021</w:t>
      </w:r>
      <w:r w:rsidR="007777CB" w:rsidRPr="0041550F">
        <w:rPr>
          <w:rFonts w:ascii="Times New Roman" w:hAnsi="Times New Roman" w:cs="Times New Roman"/>
          <w:noProof/>
          <w:sz w:val="24"/>
          <w:szCs w:val="24"/>
        </w:rPr>
        <w:t>. Available from: https://doi.org/10.1177%2F1745691620970585</w:t>
      </w:r>
    </w:p>
    <w:p w14:paraId="29EC2783" w14:textId="245FFB25"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74. </w:t>
      </w:r>
      <w:r w:rsidRPr="0041550F">
        <w:rPr>
          <w:rFonts w:ascii="Times New Roman" w:hAnsi="Times New Roman" w:cs="Times New Roman"/>
          <w:noProof/>
          <w:sz w:val="24"/>
          <w:szCs w:val="24"/>
        </w:rPr>
        <w:tab/>
      </w:r>
      <w:r w:rsidR="00FE68A3" w:rsidRPr="0041550F">
        <w:rPr>
          <w:rFonts w:ascii="Times New Roman" w:eastAsia="Times New Roman" w:hAnsi="Times New Roman" w:cs="Times New Roman"/>
          <w:sz w:val="24"/>
          <w:szCs w:val="24"/>
        </w:rPr>
        <w:t xml:space="preserve">Ratcliff R, McKoon G. The diffusion decision model: Theory and data for two-choice decision tasks. </w:t>
      </w:r>
      <w:r w:rsidR="00FE68A3" w:rsidRPr="0041550F">
        <w:rPr>
          <w:rFonts w:ascii="Times New Roman" w:eastAsia="Times New Roman" w:hAnsi="Times New Roman" w:cs="Times New Roman"/>
          <w:i/>
          <w:sz w:val="24"/>
          <w:szCs w:val="24"/>
        </w:rPr>
        <w:t>Neural Computation</w:t>
      </w:r>
      <w:r w:rsidR="00FE68A3" w:rsidRPr="0041550F">
        <w:rPr>
          <w:rFonts w:ascii="Times New Roman" w:eastAsia="Times New Roman" w:hAnsi="Times New Roman" w:cs="Times New Roman"/>
          <w:sz w:val="24"/>
          <w:szCs w:val="24"/>
        </w:rPr>
        <w:t>. 2008;20(4):873–922. Available from:  https://doi.org/10.1162/neco.2008.12-06-420</w:t>
      </w:r>
      <w:r w:rsidRPr="0041550F">
        <w:rPr>
          <w:rFonts w:ascii="Times New Roman" w:hAnsi="Times New Roman" w:cs="Times New Roman"/>
          <w:noProof/>
          <w:sz w:val="24"/>
          <w:szCs w:val="24"/>
        </w:rPr>
        <w:t xml:space="preserve"> </w:t>
      </w:r>
    </w:p>
    <w:p w14:paraId="63B49F62" w14:textId="0C0A4A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75.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Ratcliff, R, Smith PL, Brown SD, McKoon G. Diffusion Decision Model: Current </w:t>
      </w:r>
      <w:r w:rsidR="00097374" w:rsidRPr="0041550F">
        <w:rPr>
          <w:rFonts w:ascii="Times New Roman" w:eastAsia="Times New Roman" w:hAnsi="Times New Roman" w:cs="Times New Roman"/>
          <w:sz w:val="24"/>
          <w:szCs w:val="24"/>
        </w:rPr>
        <w:t>i</w:t>
      </w:r>
      <w:r w:rsidR="00D13090" w:rsidRPr="0041550F">
        <w:rPr>
          <w:rFonts w:ascii="Times New Roman" w:eastAsia="Times New Roman" w:hAnsi="Times New Roman" w:cs="Times New Roman"/>
          <w:sz w:val="24"/>
          <w:szCs w:val="24"/>
        </w:rPr>
        <w:t xml:space="preserve">ssues and </w:t>
      </w:r>
      <w:r w:rsidR="00097374" w:rsidRPr="0041550F">
        <w:rPr>
          <w:rFonts w:ascii="Times New Roman" w:eastAsia="Times New Roman" w:hAnsi="Times New Roman" w:cs="Times New Roman"/>
          <w:sz w:val="24"/>
          <w:szCs w:val="24"/>
        </w:rPr>
        <w:t>h</w:t>
      </w:r>
      <w:r w:rsidR="00D13090" w:rsidRPr="0041550F">
        <w:rPr>
          <w:rFonts w:ascii="Times New Roman" w:eastAsia="Times New Roman" w:hAnsi="Times New Roman" w:cs="Times New Roman"/>
          <w:sz w:val="24"/>
          <w:szCs w:val="24"/>
        </w:rPr>
        <w:t xml:space="preserve">istory. </w:t>
      </w:r>
      <w:r w:rsidR="00D13090" w:rsidRPr="0041550F">
        <w:rPr>
          <w:rFonts w:ascii="Times New Roman" w:eastAsia="Times New Roman" w:hAnsi="Times New Roman" w:cs="Times New Roman"/>
          <w:i/>
          <w:sz w:val="24"/>
          <w:szCs w:val="24"/>
        </w:rPr>
        <w:t>Trends in Cognitive Sciences</w:t>
      </w:r>
      <w:r w:rsidR="00D13090" w:rsidRPr="0041550F">
        <w:rPr>
          <w:rFonts w:ascii="Times New Roman" w:eastAsia="Times New Roman" w:hAnsi="Times New Roman" w:cs="Times New Roman"/>
          <w:sz w:val="24"/>
          <w:szCs w:val="24"/>
        </w:rPr>
        <w:t>. 2016;20(4):260–281. Available from: https://doi.org/10.1016/j.tics.2016.01.007</w:t>
      </w:r>
    </w:p>
    <w:p w14:paraId="235367CB" w14:textId="659EC9D3"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76.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Stafford T, Pirrone A, Croucher M, Krystalli A. Quantifying the benefits of using decision models with response time and accuracy data. </w:t>
      </w:r>
      <w:r w:rsidR="00D13090" w:rsidRPr="0041550F">
        <w:rPr>
          <w:rFonts w:ascii="Times New Roman" w:eastAsia="Times New Roman" w:hAnsi="Times New Roman" w:cs="Times New Roman"/>
          <w:i/>
          <w:sz w:val="24"/>
          <w:szCs w:val="24"/>
        </w:rPr>
        <w:t>Behavior Research Methods.</w:t>
      </w:r>
      <w:r w:rsidR="00D13090" w:rsidRPr="0041550F">
        <w:rPr>
          <w:rFonts w:ascii="Times New Roman" w:eastAsia="Times New Roman" w:hAnsi="Times New Roman" w:cs="Times New Roman"/>
          <w:sz w:val="24"/>
          <w:szCs w:val="24"/>
        </w:rPr>
        <w:t xml:space="preserve"> 2020; 1-14. Available from: https://doi.org/10.3758/s13428-020-01372-w</w:t>
      </w:r>
    </w:p>
    <w:p w14:paraId="51C18D85" w14:textId="132E9E9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77.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Lerche V, Voss A. Retest reliability of the parameters of the Ratcliff diffusion model. </w:t>
      </w:r>
      <w:r w:rsidR="00D13090" w:rsidRPr="0041550F">
        <w:rPr>
          <w:rFonts w:ascii="Times New Roman" w:eastAsia="Times New Roman" w:hAnsi="Times New Roman" w:cs="Times New Roman"/>
          <w:i/>
          <w:sz w:val="24"/>
          <w:szCs w:val="24"/>
        </w:rPr>
        <w:t>Psychological Research</w:t>
      </w:r>
      <w:r w:rsidR="00D13090" w:rsidRPr="0041550F">
        <w:rPr>
          <w:rFonts w:ascii="Times New Roman" w:eastAsia="Times New Roman" w:hAnsi="Times New Roman" w:cs="Times New Roman"/>
          <w:sz w:val="24"/>
          <w:szCs w:val="24"/>
        </w:rPr>
        <w:t>. 2017;81(3):629–52. Available from: https://doi.org/10.1007/s00426-016-0770-5</w:t>
      </w:r>
      <w:r w:rsidRPr="0041550F">
        <w:rPr>
          <w:rFonts w:ascii="Times New Roman" w:hAnsi="Times New Roman" w:cs="Times New Roman"/>
          <w:noProof/>
          <w:sz w:val="24"/>
          <w:szCs w:val="24"/>
        </w:rPr>
        <w:t xml:space="preserve"> </w:t>
      </w:r>
    </w:p>
    <w:p w14:paraId="095EF8B1" w14:textId="495A7D0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78.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Price RB, Brown V, Siegle GJ. Computational modeling applied to the Dot-Probe Task yields improved reliability and mechanistic insights. </w:t>
      </w:r>
      <w:r w:rsidR="00D13090" w:rsidRPr="0041550F">
        <w:rPr>
          <w:rFonts w:ascii="Times New Roman" w:eastAsia="Times New Roman" w:hAnsi="Times New Roman" w:cs="Times New Roman"/>
          <w:i/>
          <w:sz w:val="24"/>
          <w:szCs w:val="24"/>
        </w:rPr>
        <w:t>Biological Psychiatry</w:t>
      </w:r>
      <w:r w:rsidR="00D13090" w:rsidRPr="0041550F">
        <w:rPr>
          <w:rFonts w:ascii="Times New Roman" w:eastAsia="Times New Roman" w:hAnsi="Times New Roman" w:cs="Times New Roman"/>
          <w:sz w:val="24"/>
          <w:szCs w:val="24"/>
        </w:rPr>
        <w:t>. 2019;85:606–12. Available from: https://doi.org/10.1016/j.biopsych.2018.09.022</w:t>
      </w:r>
    </w:p>
    <w:p w14:paraId="1B775BD2" w14:textId="26F8A0CC"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79.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Pirrone A, Dickinson A, Gomez R, Stafford T, Milne E. Understanding perceptual judgment in autism spectrum disorder using the drift diffusion model. </w:t>
      </w:r>
      <w:r w:rsidR="00D13090" w:rsidRPr="0041550F">
        <w:rPr>
          <w:rFonts w:ascii="Times New Roman" w:eastAsia="Times New Roman" w:hAnsi="Times New Roman" w:cs="Times New Roman"/>
          <w:i/>
          <w:sz w:val="24"/>
          <w:szCs w:val="24"/>
        </w:rPr>
        <w:t>Neuropsychology</w:t>
      </w:r>
      <w:r w:rsidR="00D13090" w:rsidRPr="0041550F">
        <w:rPr>
          <w:rFonts w:ascii="Times New Roman" w:eastAsia="Times New Roman" w:hAnsi="Times New Roman" w:cs="Times New Roman"/>
          <w:sz w:val="24"/>
          <w:szCs w:val="24"/>
        </w:rPr>
        <w:t xml:space="preserve">. 2017;31(2):173–80. Available from: </w:t>
      </w:r>
      <w:r w:rsidR="00D13090" w:rsidRPr="0041550F">
        <w:rPr>
          <w:rFonts w:ascii="Times New Roman" w:eastAsia="Times New Roman" w:hAnsi="Times New Roman" w:cs="Times New Roman"/>
          <w:sz w:val="24"/>
          <w:szCs w:val="24"/>
        </w:rPr>
        <w:lastRenderedPageBreak/>
        <w:t>https://doi.org/10.1037/neu0000320</w:t>
      </w:r>
    </w:p>
    <w:p w14:paraId="4D0A3FA2" w14:textId="16FF6EB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80. </w:t>
      </w:r>
      <w:r w:rsidRPr="0041550F">
        <w:rPr>
          <w:rFonts w:ascii="Times New Roman" w:hAnsi="Times New Roman" w:cs="Times New Roman"/>
          <w:noProof/>
          <w:sz w:val="24"/>
          <w:szCs w:val="24"/>
        </w:rPr>
        <w:tab/>
      </w:r>
      <w:r w:rsidR="00D13090" w:rsidRPr="0041550F">
        <w:rPr>
          <w:rFonts w:ascii="Times New Roman" w:eastAsia="Times New Roman" w:hAnsi="Times New Roman" w:cs="Times New Roman"/>
          <w:sz w:val="24"/>
          <w:szCs w:val="24"/>
        </w:rPr>
        <w:t xml:space="preserve">Field M, Heather N, Murphy JG, Stafford T, Tucker JA, Witkiewitz, K. Recovery from addiction: Behavioral economics and value-based decision making. </w:t>
      </w:r>
      <w:r w:rsidR="00D13090" w:rsidRPr="0041550F">
        <w:rPr>
          <w:rFonts w:ascii="Times New Roman" w:eastAsia="Times New Roman" w:hAnsi="Times New Roman" w:cs="Times New Roman"/>
          <w:i/>
          <w:sz w:val="24"/>
          <w:szCs w:val="24"/>
        </w:rPr>
        <w:t>Psychology of Addictive Behaviors</w:t>
      </w:r>
      <w:r w:rsidR="00D13090" w:rsidRPr="0041550F">
        <w:rPr>
          <w:rFonts w:ascii="Times New Roman" w:eastAsia="Times New Roman" w:hAnsi="Times New Roman" w:cs="Times New Roman"/>
          <w:sz w:val="24"/>
          <w:szCs w:val="24"/>
        </w:rPr>
        <w:t>. 2020;34(1):182–93. Available from: https://doi.org/10.1037/adb0000518</w:t>
      </w:r>
    </w:p>
    <w:p w14:paraId="1D381A79" w14:textId="7D628886"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81.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Kathawalla U-K, Silverstein P, Syed M. Easing into open science: A guide for graduate students and their advisors.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xml:space="preserve"> 2020;1–34. Available from: https://doi.org/10.31234/osf.io/vzjdp</w:t>
      </w:r>
    </w:p>
    <w:p w14:paraId="0C5C47A9" w14:textId="024BAD02"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82.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Soderberg CK. Using OSF to share data: A step-by-step guide.</w:t>
      </w:r>
      <w:r w:rsidR="00DE39B4" w:rsidRPr="0041550F">
        <w:rPr>
          <w:rFonts w:ascii="Times New Roman" w:eastAsia="Times New Roman" w:hAnsi="Times New Roman" w:cs="Times New Roman"/>
          <w:i/>
          <w:sz w:val="24"/>
          <w:szCs w:val="24"/>
        </w:rPr>
        <w:t xml:space="preserve"> Advances in Methods &amp; Practices in Psychological Science</w:t>
      </w:r>
      <w:r w:rsidR="00DE39B4" w:rsidRPr="0041550F">
        <w:rPr>
          <w:rFonts w:ascii="Times New Roman" w:eastAsia="Times New Roman" w:hAnsi="Times New Roman" w:cs="Times New Roman"/>
          <w:sz w:val="24"/>
          <w:szCs w:val="24"/>
        </w:rPr>
        <w:t>. 2018; 1:115-120. Available from: https://doi.org/10.1177/2515245918757689</w:t>
      </w:r>
      <w:r w:rsidRPr="0041550F">
        <w:rPr>
          <w:rFonts w:ascii="Times New Roman" w:hAnsi="Times New Roman" w:cs="Times New Roman"/>
          <w:noProof/>
          <w:sz w:val="24"/>
          <w:szCs w:val="24"/>
        </w:rPr>
        <w:t xml:space="preserve"> </w:t>
      </w:r>
    </w:p>
    <w:p w14:paraId="4B35DE9C" w14:textId="38355E3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83.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Kiyonaga A, Scimeca JM. Practical considerations for navigating Registered Reports. </w:t>
      </w:r>
      <w:r w:rsidR="00DE39B4" w:rsidRPr="0041550F">
        <w:rPr>
          <w:rFonts w:ascii="Times New Roman" w:eastAsia="Times New Roman" w:hAnsi="Times New Roman" w:cs="Times New Roman"/>
          <w:i/>
          <w:sz w:val="24"/>
          <w:szCs w:val="24"/>
        </w:rPr>
        <w:t>Trends in Neuroscience</w:t>
      </w:r>
      <w:r w:rsidR="00DE39B4" w:rsidRPr="0041550F">
        <w:rPr>
          <w:rFonts w:ascii="Times New Roman" w:eastAsia="Times New Roman" w:hAnsi="Times New Roman" w:cs="Times New Roman"/>
          <w:sz w:val="24"/>
          <w:szCs w:val="24"/>
        </w:rPr>
        <w:t>. 2019;42(9):568–72. Available from: https://doi.org/10.1016/j.tins.2019.07.003</w:t>
      </w:r>
    </w:p>
    <w:p w14:paraId="6CA9D3B2" w14:textId="46581DDE"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84.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Adewumi MT, Vo N, Tritz D, Beaman J, Vassar M. An evaluation of the practice of transparency and reproducibility in addiction medicine literature.</w:t>
      </w:r>
      <w:r w:rsidR="00DE39B4" w:rsidRPr="0041550F">
        <w:rPr>
          <w:rFonts w:ascii="Times New Roman" w:eastAsia="Times New Roman" w:hAnsi="Times New Roman" w:cs="Times New Roman"/>
          <w:i/>
          <w:sz w:val="24"/>
          <w:szCs w:val="24"/>
        </w:rPr>
        <w:t xml:space="preserve"> Addictive Behaviors.</w:t>
      </w:r>
      <w:r w:rsidR="00DE39B4" w:rsidRPr="0041550F">
        <w:rPr>
          <w:rFonts w:ascii="Times New Roman" w:eastAsia="Times New Roman" w:hAnsi="Times New Roman" w:cs="Times New Roman"/>
          <w:sz w:val="24"/>
          <w:szCs w:val="24"/>
        </w:rPr>
        <w:t xml:space="preserve"> 2021;112:106560. Available from: https://doi.org/10.1016/j.addbeh.2020.106560</w:t>
      </w:r>
    </w:p>
    <w:p w14:paraId="4A2B4960" w14:textId="7447961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85.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Iqbal SA, Wallach JD, Khoury MJ, Schully SD, Ioannidis JPA. Reproducible research practices and transparency across the biomedical literature. </w:t>
      </w:r>
      <w:r w:rsidR="00DE39B4" w:rsidRPr="0041550F">
        <w:rPr>
          <w:rFonts w:ascii="Times New Roman" w:eastAsia="Times New Roman" w:hAnsi="Times New Roman" w:cs="Times New Roman"/>
          <w:i/>
          <w:sz w:val="24"/>
          <w:szCs w:val="24"/>
        </w:rPr>
        <w:t>PLoS Biology.</w:t>
      </w:r>
      <w:r w:rsidR="00DE39B4" w:rsidRPr="0041550F">
        <w:rPr>
          <w:rFonts w:ascii="Times New Roman" w:eastAsia="Times New Roman" w:hAnsi="Times New Roman" w:cs="Times New Roman"/>
          <w:sz w:val="24"/>
          <w:szCs w:val="24"/>
        </w:rPr>
        <w:t xml:space="preserve"> 2016;14(1):1–13. Available from: https://doi.org/10.1371/journal.pbio.1002333</w:t>
      </w:r>
    </w:p>
    <w:p w14:paraId="79AACF7F" w14:textId="11F364CF"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86.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Hardwicke T, Thibault R, Kosie J, Wallach J, Kidwell M, Ioannidis J. Estimating the prevalence of transparency and reproducibility-related research practices in psychology (2014-2017). </w:t>
      </w:r>
      <w:r w:rsidR="00DE39B4" w:rsidRPr="0041550F">
        <w:rPr>
          <w:rFonts w:ascii="Times New Roman" w:eastAsia="Times New Roman" w:hAnsi="Times New Roman" w:cs="Times New Roman"/>
          <w:i/>
          <w:sz w:val="24"/>
          <w:szCs w:val="24"/>
        </w:rPr>
        <w:t>MetaArXiv</w:t>
      </w:r>
      <w:r w:rsidR="00DE39B4" w:rsidRPr="0041550F">
        <w:rPr>
          <w:rFonts w:ascii="Times New Roman" w:eastAsia="Times New Roman" w:hAnsi="Times New Roman" w:cs="Times New Roman"/>
          <w:sz w:val="24"/>
          <w:szCs w:val="24"/>
        </w:rPr>
        <w:t xml:space="preserve">. 2020. Available from: </w:t>
      </w:r>
      <w:r w:rsidR="00DE39B4" w:rsidRPr="0041550F">
        <w:rPr>
          <w:rFonts w:ascii="Times New Roman" w:eastAsia="Times New Roman" w:hAnsi="Times New Roman" w:cs="Times New Roman"/>
          <w:sz w:val="24"/>
          <w:szCs w:val="24"/>
        </w:rPr>
        <w:lastRenderedPageBreak/>
        <w:t xml:space="preserve">https://doi.org/10.31222/osf.io/9sz2y  </w:t>
      </w:r>
    </w:p>
    <w:p w14:paraId="28E7435C" w14:textId="21E49498"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87.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Allen C, Mehler DMA. Open science challenges, benefits and tips in early career and beyond. </w:t>
      </w:r>
      <w:r w:rsidR="00DE39B4" w:rsidRPr="0041550F">
        <w:rPr>
          <w:rFonts w:ascii="Times New Roman" w:eastAsia="Times New Roman" w:hAnsi="Times New Roman" w:cs="Times New Roman"/>
          <w:i/>
          <w:sz w:val="24"/>
          <w:szCs w:val="24"/>
        </w:rPr>
        <w:t>PLoS Biology</w:t>
      </w:r>
      <w:r w:rsidR="00DE39B4" w:rsidRPr="0041550F">
        <w:rPr>
          <w:rFonts w:ascii="Times New Roman" w:eastAsia="Times New Roman" w:hAnsi="Times New Roman" w:cs="Times New Roman"/>
          <w:sz w:val="24"/>
          <w:szCs w:val="24"/>
        </w:rPr>
        <w:t>. 2019;17(12):1-14 (e3000246) Available from: https://doi.org/10.1371/journal.pbio.3000246</w:t>
      </w:r>
    </w:p>
    <w:p w14:paraId="4B0FDC97" w14:textId="75C4C2F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88.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Piwowar HA, Vision TJ. Data reuse and the open data citation advantage. </w:t>
      </w:r>
      <w:r w:rsidR="00DE39B4" w:rsidRPr="0041550F">
        <w:rPr>
          <w:rFonts w:ascii="Times New Roman" w:eastAsia="Times New Roman" w:hAnsi="Times New Roman" w:cs="Times New Roman"/>
          <w:i/>
          <w:sz w:val="24"/>
          <w:szCs w:val="24"/>
        </w:rPr>
        <w:t>PeerJ</w:t>
      </w:r>
      <w:r w:rsidR="00DE39B4" w:rsidRPr="0041550F">
        <w:rPr>
          <w:rFonts w:ascii="Times New Roman" w:eastAsia="Times New Roman" w:hAnsi="Times New Roman" w:cs="Times New Roman"/>
          <w:sz w:val="24"/>
          <w:szCs w:val="24"/>
        </w:rPr>
        <w:t>. 2013;2013(1):1–25. Available from: https://doi.org/10.7717/peerj.175</w:t>
      </w:r>
    </w:p>
    <w:p w14:paraId="3A8E613A" w14:textId="42D07CBD"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89.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McKiernan EC, Bourne PE, Brown CT, Buck S, Kenall A, Lin J, et al. How open science helps researchers succeed. </w:t>
      </w:r>
      <w:r w:rsidR="00DE39B4" w:rsidRPr="0041550F">
        <w:rPr>
          <w:rFonts w:ascii="Times New Roman" w:eastAsia="Times New Roman" w:hAnsi="Times New Roman" w:cs="Times New Roman"/>
          <w:i/>
          <w:sz w:val="24"/>
          <w:szCs w:val="24"/>
        </w:rPr>
        <w:t>eLife</w:t>
      </w:r>
      <w:r w:rsidR="00DE39B4" w:rsidRPr="0041550F">
        <w:rPr>
          <w:rFonts w:ascii="Times New Roman" w:eastAsia="Times New Roman" w:hAnsi="Times New Roman" w:cs="Times New Roman"/>
          <w:sz w:val="24"/>
          <w:szCs w:val="24"/>
        </w:rPr>
        <w:t>. 2016;5:1–19. Available from: https://doi.org/10.7554/eLife.16800</w:t>
      </w:r>
    </w:p>
    <w:p w14:paraId="0334B5C8" w14:textId="7A375A3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90.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Gorman DM. Use of publication procedures to improve research integrity by addiction journals. </w:t>
      </w:r>
      <w:r w:rsidR="00DE39B4" w:rsidRPr="0041550F">
        <w:rPr>
          <w:rFonts w:ascii="Times New Roman" w:eastAsia="Times New Roman" w:hAnsi="Times New Roman" w:cs="Times New Roman"/>
          <w:i/>
          <w:sz w:val="24"/>
          <w:szCs w:val="24"/>
        </w:rPr>
        <w:t>Addiction</w:t>
      </w:r>
      <w:r w:rsidR="00DE39B4" w:rsidRPr="0041550F">
        <w:rPr>
          <w:rFonts w:ascii="Times New Roman" w:eastAsia="Times New Roman" w:hAnsi="Times New Roman" w:cs="Times New Roman"/>
          <w:sz w:val="24"/>
          <w:szCs w:val="24"/>
        </w:rPr>
        <w:t>. 2019;114(8):1478–86. Available from: https://doi.org/10.1111/add.14604</w:t>
      </w:r>
    </w:p>
    <w:p w14:paraId="182E669E" w14:textId="17955A40"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91.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Scheel A, Schijen M, Lakens D. An excess of positive results: Comparing the standard Psychology literature with Registered Reports.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2020;1–14. Available from: https://doi.org/10.31234/osf.io/p6e9c</w:t>
      </w:r>
      <w:r w:rsidRPr="0041550F">
        <w:rPr>
          <w:rFonts w:ascii="Times New Roman" w:hAnsi="Times New Roman" w:cs="Times New Roman"/>
          <w:noProof/>
          <w:sz w:val="24"/>
          <w:szCs w:val="24"/>
        </w:rPr>
        <w:t xml:space="preserve"> </w:t>
      </w:r>
    </w:p>
    <w:p w14:paraId="47236E47" w14:textId="4E89ED99"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92.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Obels P, Lakens D, Coles NA, Gottfried J, Green SA. Analysis of open data and computational reproducibility in Registered Reports in Psychology. </w:t>
      </w:r>
      <w:r w:rsidR="00DE39B4" w:rsidRPr="0041550F">
        <w:rPr>
          <w:rFonts w:ascii="Times New Roman" w:eastAsia="Times New Roman" w:hAnsi="Times New Roman" w:cs="Times New Roman"/>
          <w:i/>
          <w:sz w:val="24"/>
          <w:szCs w:val="24"/>
        </w:rPr>
        <w:t>Advances in Methods &amp; Practices in Psychological Science</w:t>
      </w:r>
      <w:r w:rsidR="00DE39B4" w:rsidRPr="0041550F">
        <w:rPr>
          <w:rFonts w:ascii="Times New Roman" w:eastAsia="Times New Roman" w:hAnsi="Times New Roman" w:cs="Times New Roman"/>
          <w:sz w:val="24"/>
          <w:szCs w:val="24"/>
        </w:rPr>
        <w:t>. 2020;3(2):229–37. Available from: https://doi.org/10.31234/osf.io/fk8vh</w:t>
      </w:r>
      <w:r w:rsidRPr="0041550F">
        <w:rPr>
          <w:rFonts w:ascii="Times New Roman" w:hAnsi="Times New Roman" w:cs="Times New Roman"/>
          <w:noProof/>
          <w:sz w:val="24"/>
          <w:szCs w:val="24"/>
        </w:rPr>
        <w:t xml:space="preserve"> </w:t>
      </w:r>
    </w:p>
    <w:p w14:paraId="354A7116" w14:textId="191AEB9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93.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Chambers C. The registered reports revolution: Lessons in cultural reform. </w:t>
      </w:r>
      <w:r w:rsidR="00DE39B4" w:rsidRPr="0041550F">
        <w:rPr>
          <w:rFonts w:ascii="Times New Roman" w:eastAsia="Times New Roman" w:hAnsi="Times New Roman" w:cs="Times New Roman"/>
          <w:i/>
          <w:sz w:val="24"/>
          <w:szCs w:val="24"/>
        </w:rPr>
        <w:t>Significance</w:t>
      </w:r>
      <w:r w:rsidR="00DE39B4" w:rsidRPr="0041550F">
        <w:rPr>
          <w:rFonts w:ascii="Times New Roman" w:eastAsia="Times New Roman" w:hAnsi="Times New Roman" w:cs="Times New Roman"/>
          <w:sz w:val="24"/>
          <w:szCs w:val="24"/>
        </w:rPr>
        <w:t>. 2019;16(4):23–7. Available from: https://doi.org/10.1111/j.1740-9713.2019.01299.x</w:t>
      </w:r>
    </w:p>
    <w:p w14:paraId="03E123ED" w14:textId="3687C7AB"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szCs w:val="24"/>
        </w:rPr>
      </w:pPr>
      <w:r w:rsidRPr="0041550F">
        <w:rPr>
          <w:rFonts w:ascii="Times New Roman" w:hAnsi="Times New Roman" w:cs="Times New Roman"/>
          <w:noProof/>
          <w:sz w:val="24"/>
          <w:szCs w:val="24"/>
        </w:rPr>
        <w:t xml:space="preserve">94.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Chambers C, Tzavella L. Registered Reports: Past, Present and Future. </w:t>
      </w:r>
      <w:r w:rsidR="00DE39B4" w:rsidRPr="0041550F">
        <w:rPr>
          <w:rFonts w:ascii="Times New Roman" w:eastAsia="Times New Roman" w:hAnsi="Times New Roman" w:cs="Times New Roman"/>
          <w:i/>
          <w:sz w:val="24"/>
          <w:szCs w:val="24"/>
        </w:rPr>
        <w:t>MetaArXiv</w:t>
      </w:r>
      <w:r w:rsidR="00DE39B4" w:rsidRPr="0041550F">
        <w:rPr>
          <w:rFonts w:ascii="Times New Roman" w:eastAsia="Times New Roman" w:hAnsi="Times New Roman" w:cs="Times New Roman"/>
          <w:sz w:val="24"/>
          <w:szCs w:val="24"/>
        </w:rPr>
        <w:t xml:space="preserve">. </w:t>
      </w:r>
      <w:r w:rsidR="00DE39B4" w:rsidRPr="0041550F">
        <w:rPr>
          <w:rFonts w:ascii="Times New Roman" w:eastAsia="Times New Roman" w:hAnsi="Times New Roman" w:cs="Times New Roman"/>
          <w:sz w:val="24"/>
          <w:szCs w:val="24"/>
        </w:rPr>
        <w:lastRenderedPageBreak/>
        <w:t>2020. Available from: https://doi.org/10.31222/osf.io/43298</w:t>
      </w:r>
    </w:p>
    <w:p w14:paraId="6F2BE0C9" w14:textId="0D4E6CC4" w:rsidR="00E948D4" w:rsidRPr="0041550F" w:rsidRDefault="00E948D4" w:rsidP="00E948D4">
      <w:pPr>
        <w:widowControl w:val="0"/>
        <w:autoSpaceDE w:val="0"/>
        <w:autoSpaceDN w:val="0"/>
        <w:adjustRightInd w:val="0"/>
        <w:spacing w:line="480" w:lineRule="auto"/>
        <w:ind w:left="640" w:hanging="640"/>
        <w:rPr>
          <w:rFonts w:ascii="Times New Roman" w:hAnsi="Times New Roman" w:cs="Times New Roman"/>
          <w:noProof/>
          <w:sz w:val="24"/>
        </w:rPr>
      </w:pPr>
      <w:r w:rsidRPr="0041550F">
        <w:rPr>
          <w:rFonts w:ascii="Times New Roman" w:hAnsi="Times New Roman" w:cs="Times New Roman"/>
          <w:noProof/>
          <w:sz w:val="24"/>
          <w:szCs w:val="24"/>
        </w:rPr>
        <w:t xml:space="preserve">95. </w:t>
      </w:r>
      <w:r w:rsidRPr="0041550F">
        <w:rPr>
          <w:rFonts w:ascii="Times New Roman" w:hAnsi="Times New Roman" w:cs="Times New Roman"/>
          <w:noProof/>
          <w:sz w:val="24"/>
          <w:szCs w:val="24"/>
        </w:rPr>
        <w:tab/>
      </w:r>
      <w:r w:rsidR="00DE39B4" w:rsidRPr="0041550F">
        <w:rPr>
          <w:rFonts w:ascii="Times New Roman" w:eastAsia="Times New Roman" w:hAnsi="Times New Roman" w:cs="Times New Roman"/>
          <w:sz w:val="24"/>
          <w:szCs w:val="24"/>
        </w:rPr>
        <w:t xml:space="preserve">Protzko J, Krosnick J, Nelson L, Nosek B, Axt J, Berent M, Buttrick N, DeBell M, Ebersole C, Lundmark S, MacInnis B, O’Donnell M, Perfecto H, Pustejovsky J, Roeder S, Walleczek J, Schooler JW. High replicability of newly-discovered social-behavioral findings is achievable. </w:t>
      </w:r>
      <w:r w:rsidR="00DE39B4" w:rsidRPr="0041550F">
        <w:rPr>
          <w:rFonts w:ascii="Times New Roman" w:eastAsia="Times New Roman" w:hAnsi="Times New Roman" w:cs="Times New Roman"/>
          <w:i/>
          <w:sz w:val="24"/>
          <w:szCs w:val="24"/>
        </w:rPr>
        <w:t>PsyArXiv</w:t>
      </w:r>
      <w:r w:rsidR="00DE39B4" w:rsidRPr="0041550F">
        <w:rPr>
          <w:rFonts w:ascii="Times New Roman" w:eastAsia="Times New Roman" w:hAnsi="Times New Roman" w:cs="Times New Roman"/>
          <w:sz w:val="24"/>
          <w:szCs w:val="24"/>
        </w:rPr>
        <w:t xml:space="preserve">. 2020. Available from:  </w:t>
      </w:r>
      <w:r w:rsidR="00DE39B4" w:rsidRPr="0041550F">
        <w:t xml:space="preserve"> </w:t>
      </w:r>
      <w:hyperlink r:id="rId24">
        <w:r w:rsidR="00DE39B4" w:rsidRPr="0041550F">
          <w:rPr>
            <w:rFonts w:ascii="Times New Roman" w:eastAsia="Times New Roman" w:hAnsi="Times New Roman" w:cs="Times New Roman"/>
            <w:color w:val="0000FF"/>
            <w:sz w:val="24"/>
            <w:szCs w:val="24"/>
            <w:u w:val="single"/>
          </w:rPr>
          <w:t>https://doi.org/10.31234/osf.io/n2a9x</w:t>
        </w:r>
      </w:hyperlink>
    </w:p>
    <w:p w14:paraId="0000009B" w14:textId="08E0CE77" w:rsidR="00CB2059" w:rsidRDefault="0072560E" w:rsidP="0033778B">
      <w:pPr>
        <w:widowControl w:val="0"/>
        <w:autoSpaceDE w:val="0"/>
        <w:autoSpaceDN w:val="0"/>
        <w:adjustRightInd w:val="0"/>
        <w:spacing w:line="480" w:lineRule="auto"/>
        <w:ind w:left="640" w:hanging="640"/>
        <w:rPr>
          <w:rFonts w:ascii="Times New Roman" w:eastAsia="Times New Roman" w:hAnsi="Times New Roman" w:cs="Times New Roman"/>
          <w:sz w:val="24"/>
          <w:szCs w:val="24"/>
        </w:rPr>
      </w:pPr>
      <w:r w:rsidRPr="0041550F">
        <w:rPr>
          <w:rFonts w:ascii="Times New Roman" w:eastAsia="Times New Roman" w:hAnsi="Times New Roman" w:cs="Times New Roman"/>
          <w:sz w:val="24"/>
          <w:szCs w:val="24"/>
        </w:rPr>
        <w:fldChar w:fldCharType="end"/>
      </w:r>
      <w:r w:rsidR="00C3572E">
        <w:rPr>
          <w:rFonts w:ascii="Times New Roman" w:eastAsia="Times New Roman" w:hAnsi="Times New Roman" w:cs="Times New Roman"/>
          <w:sz w:val="24"/>
          <w:szCs w:val="24"/>
        </w:rPr>
        <w:t xml:space="preserve"> </w:t>
      </w:r>
    </w:p>
    <w:sectPr w:rsidR="00CB2059">
      <w:headerReference w:type="default" r:id="rId25"/>
      <w:footerReference w:type="defaul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3460" w14:textId="77777777" w:rsidR="00986E36" w:rsidRDefault="00986E36">
      <w:pPr>
        <w:spacing w:after="0" w:line="240" w:lineRule="auto"/>
      </w:pPr>
      <w:r>
        <w:separator/>
      </w:r>
    </w:p>
  </w:endnote>
  <w:endnote w:type="continuationSeparator" w:id="0">
    <w:p w14:paraId="65D1F4E9" w14:textId="77777777" w:rsidR="00986E36" w:rsidRDefault="009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5B438879" w:rsidR="00615E11" w:rsidRDefault="00615E1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0000009F" w14:textId="77777777" w:rsidR="00615E11" w:rsidRDefault="00615E1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8420A" w14:textId="77777777" w:rsidR="00986E36" w:rsidRDefault="00986E36">
      <w:pPr>
        <w:spacing w:after="0" w:line="240" w:lineRule="auto"/>
      </w:pPr>
      <w:r>
        <w:separator/>
      </w:r>
    </w:p>
  </w:footnote>
  <w:footnote w:type="continuationSeparator" w:id="0">
    <w:p w14:paraId="3E0B90CD" w14:textId="77777777" w:rsidR="00986E36" w:rsidRDefault="00986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77777777" w:rsidR="00615E11" w:rsidRDefault="00615E11">
    <w:pPr>
      <w:pBdr>
        <w:top w:val="nil"/>
        <w:left w:val="nil"/>
        <w:bottom w:val="nil"/>
        <w:right w:val="nil"/>
        <w:between w:val="nil"/>
      </w:pBdr>
      <w:tabs>
        <w:tab w:val="center" w:pos="4513"/>
        <w:tab w:val="right" w:pos="9026"/>
      </w:tabs>
      <w:spacing w:after="0" w:line="240" w:lineRule="auto"/>
      <w:jc w:val="right"/>
      <w:rPr>
        <w:color w:val="000000"/>
      </w:rPr>
    </w:pPr>
  </w:p>
  <w:p w14:paraId="0000009D" w14:textId="37FB41A4" w:rsidR="00615E11" w:rsidRDefault="00615E11">
    <w:pPr>
      <w:pBdr>
        <w:top w:val="nil"/>
        <w:left w:val="nil"/>
        <w:bottom w:val="nil"/>
        <w:right w:val="nil"/>
        <w:between w:val="nil"/>
      </w:pBdr>
      <w:tabs>
        <w:tab w:val="center" w:pos="4513"/>
        <w:tab w:val="right" w:pos="9026"/>
      </w:tabs>
      <w:spacing w:after="0" w:line="240" w:lineRule="auto"/>
      <w:rPr>
        <w:color w:val="000000"/>
      </w:rPr>
    </w:pPr>
    <w:r>
      <w:rPr>
        <w:color w:val="000000"/>
      </w:rPr>
      <w:t>METHODOLOGICAL RIGOUR IN COGNITIVE ALCOHOL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C6843"/>
    <w:multiLevelType w:val="multilevel"/>
    <w:tmpl w:val="347C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B47BB"/>
    <w:multiLevelType w:val="hybridMultilevel"/>
    <w:tmpl w:val="8E62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8527D"/>
    <w:multiLevelType w:val="multilevel"/>
    <w:tmpl w:val="8556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50835"/>
    <w:multiLevelType w:val="hybridMultilevel"/>
    <w:tmpl w:val="8F62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59"/>
    <w:rsid w:val="000005FE"/>
    <w:rsid w:val="00005579"/>
    <w:rsid w:val="00006678"/>
    <w:rsid w:val="00006C54"/>
    <w:rsid w:val="00006CBC"/>
    <w:rsid w:val="0001024C"/>
    <w:rsid w:val="00012D4F"/>
    <w:rsid w:val="00016107"/>
    <w:rsid w:val="000165BB"/>
    <w:rsid w:val="00016C18"/>
    <w:rsid w:val="00016EB3"/>
    <w:rsid w:val="0002097E"/>
    <w:rsid w:val="00020D2F"/>
    <w:rsid w:val="00020DE1"/>
    <w:rsid w:val="00020ED1"/>
    <w:rsid w:val="00021B3F"/>
    <w:rsid w:val="00022561"/>
    <w:rsid w:val="00022875"/>
    <w:rsid w:val="00023258"/>
    <w:rsid w:val="000242EA"/>
    <w:rsid w:val="00025219"/>
    <w:rsid w:val="00026322"/>
    <w:rsid w:val="00026596"/>
    <w:rsid w:val="00027CF4"/>
    <w:rsid w:val="00027E25"/>
    <w:rsid w:val="000314C5"/>
    <w:rsid w:val="00031805"/>
    <w:rsid w:val="00033464"/>
    <w:rsid w:val="00033945"/>
    <w:rsid w:val="000404BD"/>
    <w:rsid w:val="00041F2F"/>
    <w:rsid w:val="0004267A"/>
    <w:rsid w:val="00042B9A"/>
    <w:rsid w:val="00042CD4"/>
    <w:rsid w:val="00043036"/>
    <w:rsid w:val="00043697"/>
    <w:rsid w:val="000439F0"/>
    <w:rsid w:val="00044D4F"/>
    <w:rsid w:val="00047311"/>
    <w:rsid w:val="00047476"/>
    <w:rsid w:val="000475E7"/>
    <w:rsid w:val="00050990"/>
    <w:rsid w:val="00051390"/>
    <w:rsid w:val="00051C1A"/>
    <w:rsid w:val="00051EA0"/>
    <w:rsid w:val="00053563"/>
    <w:rsid w:val="0005500E"/>
    <w:rsid w:val="000560FD"/>
    <w:rsid w:val="0006004B"/>
    <w:rsid w:val="000614A3"/>
    <w:rsid w:val="000625AC"/>
    <w:rsid w:val="00063E9E"/>
    <w:rsid w:val="00064BC8"/>
    <w:rsid w:val="00066079"/>
    <w:rsid w:val="00067B48"/>
    <w:rsid w:val="00070086"/>
    <w:rsid w:val="00071052"/>
    <w:rsid w:val="00071950"/>
    <w:rsid w:val="000721BC"/>
    <w:rsid w:val="000727F7"/>
    <w:rsid w:val="000735B1"/>
    <w:rsid w:val="00073EBB"/>
    <w:rsid w:val="00074374"/>
    <w:rsid w:val="000757C1"/>
    <w:rsid w:val="00076DBC"/>
    <w:rsid w:val="0008240E"/>
    <w:rsid w:val="00083180"/>
    <w:rsid w:val="00086166"/>
    <w:rsid w:val="00086F47"/>
    <w:rsid w:val="00090C29"/>
    <w:rsid w:val="00091C11"/>
    <w:rsid w:val="00097374"/>
    <w:rsid w:val="000A04B1"/>
    <w:rsid w:val="000A050C"/>
    <w:rsid w:val="000A16DD"/>
    <w:rsid w:val="000A3051"/>
    <w:rsid w:val="000A4F45"/>
    <w:rsid w:val="000A4F74"/>
    <w:rsid w:val="000A5A65"/>
    <w:rsid w:val="000A6288"/>
    <w:rsid w:val="000A64C5"/>
    <w:rsid w:val="000A6EC2"/>
    <w:rsid w:val="000B1BC1"/>
    <w:rsid w:val="000B2D89"/>
    <w:rsid w:val="000B3CE8"/>
    <w:rsid w:val="000B45D4"/>
    <w:rsid w:val="000B5886"/>
    <w:rsid w:val="000B5C03"/>
    <w:rsid w:val="000B775F"/>
    <w:rsid w:val="000C301C"/>
    <w:rsid w:val="000C3AE9"/>
    <w:rsid w:val="000D2A42"/>
    <w:rsid w:val="000D46E5"/>
    <w:rsid w:val="000D5BF5"/>
    <w:rsid w:val="000D77AF"/>
    <w:rsid w:val="000E2798"/>
    <w:rsid w:val="000E2982"/>
    <w:rsid w:val="000E2B08"/>
    <w:rsid w:val="000E34AD"/>
    <w:rsid w:val="000E5039"/>
    <w:rsid w:val="000E782E"/>
    <w:rsid w:val="000E7B76"/>
    <w:rsid w:val="000F0589"/>
    <w:rsid w:val="000F087E"/>
    <w:rsid w:val="000F2124"/>
    <w:rsid w:val="000F2A29"/>
    <w:rsid w:val="000F405C"/>
    <w:rsid w:val="000F6137"/>
    <w:rsid w:val="000F6E98"/>
    <w:rsid w:val="001001C7"/>
    <w:rsid w:val="00101EF3"/>
    <w:rsid w:val="00102673"/>
    <w:rsid w:val="00103252"/>
    <w:rsid w:val="00103354"/>
    <w:rsid w:val="001037E3"/>
    <w:rsid w:val="00103DAF"/>
    <w:rsid w:val="00105C69"/>
    <w:rsid w:val="0010669F"/>
    <w:rsid w:val="0010724A"/>
    <w:rsid w:val="0011119B"/>
    <w:rsid w:val="00113D76"/>
    <w:rsid w:val="001160AF"/>
    <w:rsid w:val="00116CB7"/>
    <w:rsid w:val="00117A86"/>
    <w:rsid w:val="0012076E"/>
    <w:rsid w:val="0012154C"/>
    <w:rsid w:val="001219C3"/>
    <w:rsid w:val="00122B4F"/>
    <w:rsid w:val="00122DC5"/>
    <w:rsid w:val="0012780B"/>
    <w:rsid w:val="00130ABC"/>
    <w:rsid w:val="00132332"/>
    <w:rsid w:val="0013754F"/>
    <w:rsid w:val="00137FD6"/>
    <w:rsid w:val="00137FEF"/>
    <w:rsid w:val="0014097D"/>
    <w:rsid w:val="00141C55"/>
    <w:rsid w:val="00142E21"/>
    <w:rsid w:val="0014383E"/>
    <w:rsid w:val="001441B9"/>
    <w:rsid w:val="00144E88"/>
    <w:rsid w:val="001457AB"/>
    <w:rsid w:val="0015069A"/>
    <w:rsid w:val="00150C2C"/>
    <w:rsid w:val="00150E6E"/>
    <w:rsid w:val="00151485"/>
    <w:rsid w:val="00153200"/>
    <w:rsid w:val="001533BF"/>
    <w:rsid w:val="00153C48"/>
    <w:rsid w:val="00154E4C"/>
    <w:rsid w:val="00157755"/>
    <w:rsid w:val="00157E6C"/>
    <w:rsid w:val="001612AE"/>
    <w:rsid w:val="001618DA"/>
    <w:rsid w:val="001628EB"/>
    <w:rsid w:val="001630E3"/>
    <w:rsid w:val="0016520D"/>
    <w:rsid w:val="001700C5"/>
    <w:rsid w:val="00170457"/>
    <w:rsid w:val="001745F2"/>
    <w:rsid w:val="001749F3"/>
    <w:rsid w:val="00174B2E"/>
    <w:rsid w:val="001750CF"/>
    <w:rsid w:val="0018037D"/>
    <w:rsid w:val="00181127"/>
    <w:rsid w:val="00181375"/>
    <w:rsid w:val="0018211A"/>
    <w:rsid w:val="0018279C"/>
    <w:rsid w:val="00183816"/>
    <w:rsid w:val="00183BAA"/>
    <w:rsid w:val="00184FE0"/>
    <w:rsid w:val="00187126"/>
    <w:rsid w:val="00187742"/>
    <w:rsid w:val="00187CAC"/>
    <w:rsid w:val="00190005"/>
    <w:rsid w:val="001909A1"/>
    <w:rsid w:val="0019218A"/>
    <w:rsid w:val="001926FE"/>
    <w:rsid w:val="00194FC2"/>
    <w:rsid w:val="0019788E"/>
    <w:rsid w:val="001A0742"/>
    <w:rsid w:val="001A1EEF"/>
    <w:rsid w:val="001A23E6"/>
    <w:rsid w:val="001A2F1A"/>
    <w:rsid w:val="001A325C"/>
    <w:rsid w:val="001A3B10"/>
    <w:rsid w:val="001A4875"/>
    <w:rsid w:val="001A5227"/>
    <w:rsid w:val="001A5BC1"/>
    <w:rsid w:val="001A6626"/>
    <w:rsid w:val="001B079B"/>
    <w:rsid w:val="001B4A0F"/>
    <w:rsid w:val="001B5670"/>
    <w:rsid w:val="001B59D5"/>
    <w:rsid w:val="001B6283"/>
    <w:rsid w:val="001B669E"/>
    <w:rsid w:val="001B6A57"/>
    <w:rsid w:val="001B7A28"/>
    <w:rsid w:val="001C0632"/>
    <w:rsid w:val="001C0713"/>
    <w:rsid w:val="001C0A01"/>
    <w:rsid w:val="001C16F7"/>
    <w:rsid w:val="001C3EC7"/>
    <w:rsid w:val="001C44FB"/>
    <w:rsid w:val="001C6B92"/>
    <w:rsid w:val="001C6E35"/>
    <w:rsid w:val="001C7130"/>
    <w:rsid w:val="001C72C2"/>
    <w:rsid w:val="001C77E9"/>
    <w:rsid w:val="001D3657"/>
    <w:rsid w:val="001D59F6"/>
    <w:rsid w:val="001D62A1"/>
    <w:rsid w:val="001D6B09"/>
    <w:rsid w:val="001D7F47"/>
    <w:rsid w:val="001E0921"/>
    <w:rsid w:val="001E14BF"/>
    <w:rsid w:val="001E22BE"/>
    <w:rsid w:val="001E286F"/>
    <w:rsid w:val="001E2897"/>
    <w:rsid w:val="001E2BCD"/>
    <w:rsid w:val="001E3C0A"/>
    <w:rsid w:val="001E3FB3"/>
    <w:rsid w:val="001E400A"/>
    <w:rsid w:val="001E48FF"/>
    <w:rsid w:val="001E4D4D"/>
    <w:rsid w:val="001E6B72"/>
    <w:rsid w:val="001F07FC"/>
    <w:rsid w:val="001F08E3"/>
    <w:rsid w:val="001F08FD"/>
    <w:rsid w:val="001F1685"/>
    <w:rsid w:val="001F1E98"/>
    <w:rsid w:val="001F295D"/>
    <w:rsid w:val="001F46AF"/>
    <w:rsid w:val="001F663F"/>
    <w:rsid w:val="001F6F94"/>
    <w:rsid w:val="00204BF8"/>
    <w:rsid w:val="002050FE"/>
    <w:rsid w:val="0020677F"/>
    <w:rsid w:val="0020794D"/>
    <w:rsid w:val="002101F8"/>
    <w:rsid w:val="00210BC5"/>
    <w:rsid w:val="00211506"/>
    <w:rsid w:val="00211C3A"/>
    <w:rsid w:val="00211CAE"/>
    <w:rsid w:val="0021384B"/>
    <w:rsid w:val="00216617"/>
    <w:rsid w:val="002167B7"/>
    <w:rsid w:val="002215B4"/>
    <w:rsid w:val="00223325"/>
    <w:rsid w:val="0022333E"/>
    <w:rsid w:val="002233DA"/>
    <w:rsid w:val="00223F07"/>
    <w:rsid w:val="00226E95"/>
    <w:rsid w:val="00230A87"/>
    <w:rsid w:val="00231E51"/>
    <w:rsid w:val="00233B4A"/>
    <w:rsid w:val="0023542D"/>
    <w:rsid w:val="00235CA3"/>
    <w:rsid w:val="00236EAA"/>
    <w:rsid w:val="00237E52"/>
    <w:rsid w:val="0024082F"/>
    <w:rsid w:val="0024088C"/>
    <w:rsid w:val="00240C71"/>
    <w:rsid w:val="00240D83"/>
    <w:rsid w:val="00241384"/>
    <w:rsid w:val="00241B30"/>
    <w:rsid w:val="00241BFE"/>
    <w:rsid w:val="002435EE"/>
    <w:rsid w:val="00243987"/>
    <w:rsid w:val="002455D2"/>
    <w:rsid w:val="002456E6"/>
    <w:rsid w:val="002459EE"/>
    <w:rsid w:val="00246C2C"/>
    <w:rsid w:val="00247C50"/>
    <w:rsid w:val="00251591"/>
    <w:rsid w:val="00251975"/>
    <w:rsid w:val="00251BEA"/>
    <w:rsid w:val="002526EA"/>
    <w:rsid w:val="002554D0"/>
    <w:rsid w:val="0025611D"/>
    <w:rsid w:val="00257FEE"/>
    <w:rsid w:val="00260AF3"/>
    <w:rsid w:val="0026266E"/>
    <w:rsid w:val="0026490D"/>
    <w:rsid w:val="0027054E"/>
    <w:rsid w:val="00270BB3"/>
    <w:rsid w:val="00270C54"/>
    <w:rsid w:val="002714C9"/>
    <w:rsid w:val="00271527"/>
    <w:rsid w:val="0027172C"/>
    <w:rsid w:val="00272431"/>
    <w:rsid w:val="00272593"/>
    <w:rsid w:val="00272773"/>
    <w:rsid w:val="00273263"/>
    <w:rsid w:val="002757FD"/>
    <w:rsid w:val="00275A2B"/>
    <w:rsid w:val="00276BC0"/>
    <w:rsid w:val="002819E8"/>
    <w:rsid w:val="00284031"/>
    <w:rsid w:val="002845D7"/>
    <w:rsid w:val="0028487E"/>
    <w:rsid w:val="00284C2E"/>
    <w:rsid w:val="00284D23"/>
    <w:rsid w:val="00285B44"/>
    <w:rsid w:val="00290C8B"/>
    <w:rsid w:val="00290EAE"/>
    <w:rsid w:val="002918B1"/>
    <w:rsid w:val="0029251E"/>
    <w:rsid w:val="00293BB7"/>
    <w:rsid w:val="00294E3A"/>
    <w:rsid w:val="002A0BC8"/>
    <w:rsid w:val="002A2B5C"/>
    <w:rsid w:val="002A385A"/>
    <w:rsid w:val="002A4B1F"/>
    <w:rsid w:val="002A5E6C"/>
    <w:rsid w:val="002A7619"/>
    <w:rsid w:val="002A78C3"/>
    <w:rsid w:val="002A79BF"/>
    <w:rsid w:val="002B4B44"/>
    <w:rsid w:val="002B4D4B"/>
    <w:rsid w:val="002B743F"/>
    <w:rsid w:val="002C0ADC"/>
    <w:rsid w:val="002C0D4C"/>
    <w:rsid w:val="002C31CE"/>
    <w:rsid w:val="002C3BE1"/>
    <w:rsid w:val="002C4348"/>
    <w:rsid w:val="002C4530"/>
    <w:rsid w:val="002C56BA"/>
    <w:rsid w:val="002D0F16"/>
    <w:rsid w:val="002D3A85"/>
    <w:rsid w:val="002D57A5"/>
    <w:rsid w:val="002D5955"/>
    <w:rsid w:val="002D5988"/>
    <w:rsid w:val="002D6408"/>
    <w:rsid w:val="002E2CFA"/>
    <w:rsid w:val="002E3059"/>
    <w:rsid w:val="002E48DC"/>
    <w:rsid w:val="002F01EB"/>
    <w:rsid w:val="002F11CF"/>
    <w:rsid w:val="002F1E8B"/>
    <w:rsid w:val="002F221B"/>
    <w:rsid w:val="002F2A78"/>
    <w:rsid w:val="002F2F37"/>
    <w:rsid w:val="002F359B"/>
    <w:rsid w:val="002F5812"/>
    <w:rsid w:val="002F58B3"/>
    <w:rsid w:val="002F6787"/>
    <w:rsid w:val="002F7B02"/>
    <w:rsid w:val="00300DAF"/>
    <w:rsid w:val="003018F1"/>
    <w:rsid w:val="003040D5"/>
    <w:rsid w:val="0030574D"/>
    <w:rsid w:val="00310D44"/>
    <w:rsid w:val="00311263"/>
    <w:rsid w:val="00311D98"/>
    <w:rsid w:val="00312173"/>
    <w:rsid w:val="003131CC"/>
    <w:rsid w:val="00317901"/>
    <w:rsid w:val="003211BD"/>
    <w:rsid w:val="0032357C"/>
    <w:rsid w:val="003246E6"/>
    <w:rsid w:val="00325118"/>
    <w:rsid w:val="00325C9E"/>
    <w:rsid w:val="0033477D"/>
    <w:rsid w:val="0033778B"/>
    <w:rsid w:val="0034307F"/>
    <w:rsid w:val="00345CE9"/>
    <w:rsid w:val="0034627F"/>
    <w:rsid w:val="003472FE"/>
    <w:rsid w:val="00350A89"/>
    <w:rsid w:val="00353F2A"/>
    <w:rsid w:val="00355376"/>
    <w:rsid w:val="00355444"/>
    <w:rsid w:val="00355A58"/>
    <w:rsid w:val="003568FA"/>
    <w:rsid w:val="003569F6"/>
    <w:rsid w:val="00360F2D"/>
    <w:rsid w:val="003622F6"/>
    <w:rsid w:val="00364B10"/>
    <w:rsid w:val="00366279"/>
    <w:rsid w:val="00366298"/>
    <w:rsid w:val="003667BA"/>
    <w:rsid w:val="003671A6"/>
    <w:rsid w:val="00370186"/>
    <w:rsid w:val="00370F1D"/>
    <w:rsid w:val="003712A8"/>
    <w:rsid w:val="003735CF"/>
    <w:rsid w:val="003761DC"/>
    <w:rsid w:val="00377AF0"/>
    <w:rsid w:val="00380B1B"/>
    <w:rsid w:val="00381A4C"/>
    <w:rsid w:val="003826C9"/>
    <w:rsid w:val="0038499F"/>
    <w:rsid w:val="00386EC8"/>
    <w:rsid w:val="00387B16"/>
    <w:rsid w:val="00387C49"/>
    <w:rsid w:val="0039012C"/>
    <w:rsid w:val="00390635"/>
    <w:rsid w:val="00391109"/>
    <w:rsid w:val="00391266"/>
    <w:rsid w:val="00393283"/>
    <w:rsid w:val="003967DE"/>
    <w:rsid w:val="003A102E"/>
    <w:rsid w:val="003A30EC"/>
    <w:rsid w:val="003A4F2F"/>
    <w:rsid w:val="003A5A7E"/>
    <w:rsid w:val="003A5C35"/>
    <w:rsid w:val="003A7A99"/>
    <w:rsid w:val="003B010B"/>
    <w:rsid w:val="003B1FCA"/>
    <w:rsid w:val="003B34B4"/>
    <w:rsid w:val="003B38A8"/>
    <w:rsid w:val="003B585E"/>
    <w:rsid w:val="003B6F04"/>
    <w:rsid w:val="003C07A1"/>
    <w:rsid w:val="003C0B4C"/>
    <w:rsid w:val="003C4013"/>
    <w:rsid w:val="003C7F24"/>
    <w:rsid w:val="003D17DA"/>
    <w:rsid w:val="003D30ED"/>
    <w:rsid w:val="003D3FBE"/>
    <w:rsid w:val="003D41FA"/>
    <w:rsid w:val="003D52E4"/>
    <w:rsid w:val="003D5BA8"/>
    <w:rsid w:val="003D6D78"/>
    <w:rsid w:val="003D7CAA"/>
    <w:rsid w:val="003E1189"/>
    <w:rsid w:val="003E29AB"/>
    <w:rsid w:val="003E39DA"/>
    <w:rsid w:val="003E4089"/>
    <w:rsid w:val="003E41A5"/>
    <w:rsid w:val="003E52B8"/>
    <w:rsid w:val="003E5454"/>
    <w:rsid w:val="003E78CD"/>
    <w:rsid w:val="003E7AC5"/>
    <w:rsid w:val="003E7C86"/>
    <w:rsid w:val="003F11C7"/>
    <w:rsid w:val="003F18A0"/>
    <w:rsid w:val="003F3547"/>
    <w:rsid w:val="003F4764"/>
    <w:rsid w:val="003F47A2"/>
    <w:rsid w:val="003F5B45"/>
    <w:rsid w:val="003F5B52"/>
    <w:rsid w:val="003F707C"/>
    <w:rsid w:val="004011C9"/>
    <w:rsid w:val="0040139B"/>
    <w:rsid w:val="00401487"/>
    <w:rsid w:val="004020FF"/>
    <w:rsid w:val="004024FE"/>
    <w:rsid w:val="00402AE6"/>
    <w:rsid w:val="0040311B"/>
    <w:rsid w:val="004039B3"/>
    <w:rsid w:val="00404475"/>
    <w:rsid w:val="00404793"/>
    <w:rsid w:val="004069F7"/>
    <w:rsid w:val="0040749A"/>
    <w:rsid w:val="0040788A"/>
    <w:rsid w:val="00414239"/>
    <w:rsid w:val="0041442D"/>
    <w:rsid w:val="004147F5"/>
    <w:rsid w:val="0041550F"/>
    <w:rsid w:val="00416AFE"/>
    <w:rsid w:val="004213B3"/>
    <w:rsid w:val="00421F2D"/>
    <w:rsid w:val="004306E2"/>
    <w:rsid w:val="00432854"/>
    <w:rsid w:val="004356DC"/>
    <w:rsid w:val="004361AA"/>
    <w:rsid w:val="00436258"/>
    <w:rsid w:val="0043708B"/>
    <w:rsid w:val="004370EA"/>
    <w:rsid w:val="0044000B"/>
    <w:rsid w:val="0044062E"/>
    <w:rsid w:val="00440ADE"/>
    <w:rsid w:val="00441CFB"/>
    <w:rsid w:val="00443784"/>
    <w:rsid w:val="004443A4"/>
    <w:rsid w:val="00444563"/>
    <w:rsid w:val="0044699C"/>
    <w:rsid w:val="00446BD3"/>
    <w:rsid w:val="0044733D"/>
    <w:rsid w:val="0045545F"/>
    <w:rsid w:val="00455D4B"/>
    <w:rsid w:val="00456B63"/>
    <w:rsid w:val="00457097"/>
    <w:rsid w:val="00460175"/>
    <w:rsid w:val="00462672"/>
    <w:rsid w:val="00462C9B"/>
    <w:rsid w:val="00462DB0"/>
    <w:rsid w:val="00463474"/>
    <w:rsid w:val="00463B72"/>
    <w:rsid w:val="00472239"/>
    <w:rsid w:val="0047543D"/>
    <w:rsid w:val="00475A75"/>
    <w:rsid w:val="0047788B"/>
    <w:rsid w:val="0048029B"/>
    <w:rsid w:val="00482E24"/>
    <w:rsid w:val="00483422"/>
    <w:rsid w:val="0048364C"/>
    <w:rsid w:val="004839AE"/>
    <w:rsid w:val="00484FC0"/>
    <w:rsid w:val="0048645D"/>
    <w:rsid w:val="00491217"/>
    <w:rsid w:val="00492BD8"/>
    <w:rsid w:val="004933AE"/>
    <w:rsid w:val="0049526D"/>
    <w:rsid w:val="004960D2"/>
    <w:rsid w:val="004A04DD"/>
    <w:rsid w:val="004A089B"/>
    <w:rsid w:val="004A1111"/>
    <w:rsid w:val="004A147F"/>
    <w:rsid w:val="004A28E9"/>
    <w:rsid w:val="004A4D35"/>
    <w:rsid w:val="004A5235"/>
    <w:rsid w:val="004A753F"/>
    <w:rsid w:val="004A76EB"/>
    <w:rsid w:val="004A7808"/>
    <w:rsid w:val="004A7EE1"/>
    <w:rsid w:val="004B2B64"/>
    <w:rsid w:val="004B33DB"/>
    <w:rsid w:val="004B3A22"/>
    <w:rsid w:val="004B41BF"/>
    <w:rsid w:val="004B68B4"/>
    <w:rsid w:val="004B69D3"/>
    <w:rsid w:val="004B6A45"/>
    <w:rsid w:val="004C01BC"/>
    <w:rsid w:val="004C5654"/>
    <w:rsid w:val="004C620A"/>
    <w:rsid w:val="004C71DC"/>
    <w:rsid w:val="004C75C0"/>
    <w:rsid w:val="004C7C36"/>
    <w:rsid w:val="004D34EE"/>
    <w:rsid w:val="004E3E21"/>
    <w:rsid w:val="004E5129"/>
    <w:rsid w:val="004F0351"/>
    <w:rsid w:val="004F168A"/>
    <w:rsid w:val="004F1B99"/>
    <w:rsid w:val="004F1BA6"/>
    <w:rsid w:val="004F3A86"/>
    <w:rsid w:val="004F5F2E"/>
    <w:rsid w:val="00500A6A"/>
    <w:rsid w:val="005013F4"/>
    <w:rsid w:val="00506B1E"/>
    <w:rsid w:val="00510825"/>
    <w:rsid w:val="00510B54"/>
    <w:rsid w:val="00513851"/>
    <w:rsid w:val="00515223"/>
    <w:rsid w:val="005209FF"/>
    <w:rsid w:val="00520F12"/>
    <w:rsid w:val="00521713"/>
    <w:rsid w:val="0052319E"/>
    <w:rsid w:val="0052623B"/>
    <w:rsid w:val="005270F2"/>
    <w:rsid w:val="00531007"/>
    <w:rsid w:val="0053112F"/>
    <w:rsid w:val="00531D3A"/>
    <w:rsid w:val="00535A13"/>
    <w:rsid w:val="0053622B"/>
    <w:rsid w:val="0053760A"/>
    <w:rsid w:val="00540516"/>
    <w:rsid w:val="00542539"/>
    <w:rsid w:val="00542DA5"/>
    <w:rsid w:val="00542F53"/>
    <w:rsid w:val="0054359F"/>
    <w:rsid w:val="00543750"/>
    <w:rsid w:val="005437E0"/>
    <w:rsid w:val="00543E8F"/>
    <w:rsid w:val="005454AC"/>
    <w:rsid w:val="005456DE"/>
    <w:rsid w:val="00545AFC"/>
    <w:rsid w:val="00546D82"/>
    <w:rsid w:val="00547622"/>
    <w:rsid w:val="0054786A"/>
    <w:rsid w:val="005502B1"/>
    <w:rsid w:val="005516B0"/>
    <w:rsid w:val="0055507F"/>
    <w:rsid w:val="00555C07"/>
    <w:rsid w:val="005569D8"/>
    <w:rsid w:val="00556DF2"/>
    <w:rsid w:val="0056014C"/>
    <w:rsid w:val="005636AE"/>
    <w:rsid w:val="00563B0B"/>
    <w:rsid w:val="005643C7"/>
    <w:rsid w:val="005664D7"/>
    <w:rsid w:val="00566F76"/>
    <w:rsid w:val="00567136"/>
    <w:rsid w:val="00567623"/>
    <w:rsid w:val="00570C31"/>
    <w:rsid w:val="00571B06"/>
    <w:rsid w:val="00571B9B"/>
    <w:rsid w:val="00575395"/>
    <w:rsid w:val="00575E4B"/>
    <w:rsid w:val="00580CFC"/>
    <w:rsid w:val="00581F18"/>
    <w:rsid w:val="0058224F"/>
    <w:rsid w:val="00584EF4"/>
    <w:rsid w:val="00587FF2"/>
    <w:rsid w:val="005911E9"/>
    <w:rsid w:val="00591351"/>
    <w:rsid w:val="0059221F"/>
    <w:rsid w:val="0059325F"/>
    <w:rsid w:val="00593DBE"/>
    <w:rsid w:val="00594B7C"/>
    <w:rsid w:val="005955B3"/>
    <w:rsid w:val="005959DE"/>
    <w:rsid w:val="005963F8"/>
    <w:rsid w:val="00596FEB"/>
    <w:rsid w:val="00597AA2"/>
    <w:rsid w:val="00597F45"/>
    <w:rsid w:val="005A19B3"/>
    <w:rsid w:val="005A6AD0"/>
    <w:rsid w:val="005A755D"/>
    <w:rsid w:val="005A7756"/>
    <w:rsid w:val="005B0098"/>
    <w:rsid w:val="005B1FAC"/>
    <w:rsid w:val="005B4DC7"/>
    <w:rsid w:val="005B583A"/>
    <w:rsid w:val="005C00D0"/>
    <w:rsid w:val="005C0110"/>
    <w:rsid w:val="005C0E24"/>
    <w:rsid w:val="005C4B0A"/>
    <w:rsid w:val="005C4BDA"/>
    <w:rsid w:val="005C7E5B"/>
    <w:rsid w:val="005D2B5A"/>
    <w:rsid w:val="005D314F"/>
    <w:rsid w:val="005D3AF0"/>
    <w:rsid w:val="005D49E8"/>
    <w:rsid w:val="005D5679"/>
    <w:rsid w:val="005D5E0A"/>
    <w:rsid w:val="005D7107"/>
    <w:rsid w:val="005D74FC"/>
    <w:rsid w:val="005E0D01"/>
    <w:rsid w:val="005E1042"/>
    <w:rsid w:val="005E1134"/>
    <w:rsid w:val="005E1306"/>
    <w:rsid w:val="005E1EAA"/>
    <w:rsid w:val="005E26C5"/>
    <w:rsid w:val="005E54DE"/>
    <w:rsid w:val="005E713E"/>
    <w:rsid w:val="005E7248"/>
    <w:rsid w:val="005F067D"/>
    <w:rsid w:val="005F0960"/>
    <w:rsid w:val="005F1BAC"/>
    <w:rsid w:val="005F1E8D"/>
    <w:rsid w:val="005F571B"/>
    <w:rsid w:val="005F5D39"/>
    <w:rsid w:val="005F5F79"/>
    <w:rsid w:val="005F6CB3"/>
    <w:rsid w:val="005F79C3"/>
    <w:rsid w:val="00600067"/>
    <w:rsid w:val="0060015D"/>
    <w:rsid w:val="0060196C"/>
    <w:rsid w:val="00602413"/>
    <w:rsid w:val="006051B3"/>
    <w:rsid w:val="00605C82"/>
    <w:rsid w:val="00605E90"/>
    <w:rsid w:val="00606D76"/>
    <w:rsid w:val="0060776D"/>
    <w:rsid w:val="006100E0"/>
    <w:rsid w:val="00610348"/>
    <w:rsid w:val="00610847"/>
    <w:rsid w:val="00612E19"/>
    <w:rsid w:val="00613E52"/>
    <w:rsid w:val="00615E11"/>
    <w:rsid w:val="0061646B"/>
    <w:rsid w:val="00616C3E"/>
    <w:rsid w:val="00617782"/>
    <w:rsid w:val="006209C2"/>
    <w:rsid w:val="00633942"/>
    <w:rsid w:val="006342D5"/>
    <w:rsid w:val="00635C7B"/>
    <w:rsid w:val="006362B8"/>
    <w:rsid w:val="0063665B"/>
    <w:rsid w:val="00636E96"/>
    <w:rsid w:val="006370E9"/>
    <w:rsid w:val="00641126"/>
    <w:rsid w:val="006419D6"/>
    <w:rsid w:val="00642CF9"/>
    <w:rsid w:val="0064739D"/>
    <w:rsid w:val="0064752F"/>
    <w:rsid w:val="0064776E"/>
    <w:rsid w:val="006500B3"/>
    <w:rsid w:val="00650F1D"/>
    <w:rsid w:val="00657055"/>
    <w:rsid w:val="00660092"/>
    <w:rsid w:val="00662FB9"/>
    <w:rsid w:val="0066398E"/>
    <w:rsid w:val="00664816"/>
    <w:rsid w:val="006652E0"/>
    <w:rsid w:val="00665975"/>
    <w:rsid w:val="00667F8D"/>
    <w:rsid w:val="006712D2"/>
    <w:rsid w:val="00672390"/>
    <w:rsid w:val="00674E4C"/>
    <w:rsid w:val="006764C5"/>
    <w:rsid w:val="006778F4"/>
    <w:rsid w:val="00680FB9"/>
    <w:rsid w:val="00682E4F"/>
    <w:rsid w:val="006831A7"/>
    <w:rsid w:val="00684512"/>
    <w:rsid w:val="00693525"/>
    <w:rsid w:val="006945A6"/>
    <w:rsid w:val="006962E4"/>
    <w:rsid w:val="006971C9"/>
    <w:rsid w:val="0069790B"/>
    <w:rsid w:val="006A20D9"/>
    <w:rsid w:val="006A41EC"/>
    <w:rsid w:val="006A448C"/>
    <w:rsid w:val="006A5550"/>
    <w:rsid w:val="006A59C4"/>
    <w:rsid w:val="006A614A"/>
    <w:rsid w:val="006B08AD"/>
    <w:rsid w:val="006B09EE"/>
    <w:rsid w:val="006B0AD4"/>
    <w:rsid w:val="006B0DF5"/>
    <w:rsid w:val="006B12B2"/>
    <w:rsid w:val="006B3490"/>
    <w:rsid w:val="006B394E"/>
    <w:rsid w:val="006B39CE"/>
    <w:rsid w:val="006B4E4A"/>
    <w:rsid w:val="006B4FF4"/>
    <w:rsid w:val="006C271B"/>
    <w:rsid w:val="006C422F"/>
    <w:rsid w:val="006C5391"/>
    <w:rsid w:val="006D344C"/>
    <w:rsid w:val="006D38DB"/>
    <w:rsid w:val="006D4BDC"/>
    <w:rsid w:val="006D66EE"/>
    <w:rsid w:val="006E0583"/>
    <w:rsid w:val="006E0A46"/>
    <w:rsid w:val="006E4F5B"/>
    <w:rsid w:val="006F7825"/>
    <w:rsid w:val="006F7F77"/>
    <w:rsid w:val="0070065B"/>
    <w:rsid w:val="0070201C"/>
    <w:rsid w:val="0070243E"/>
    <w:rsid w:val="00705666"/>
    <w:rsid w:val="007059E3"/>
    <w:rsid w:val="00705D84"/>
    <w:rsid w:val="00706060"/>
    <w:rsid w:val="00710363"/>
    <w:rsid w:val="00710AE0"/>
    <w:rsid w:val="00710BDC"/>
    <w:rsid w:val="00710C0D"/>
    <w:rsid w:val="00710FC8"/>
    <w:rsid w:val="00711C0A"/>
    <w:rsid w:val="00712133"/>
    <w:rsid w:val="00712C2F"/>
    <w:rsid w:val="00713A12"/>
    <w:rsid w:val="007148C7"/>
    <w:rsid w:val="00714B5B"/>
    <w:rsid w:val="00715498"/>
    <w:rsid w:val="00716DC3"/>
    <w:rsid w:val="00720F45"/>
    <w:rsid w:val="0072278C"/>
    <w:rsid w:val="00722F00"/>
    <w:rsid w:val="00723494"/>
    <w:rsid w:val="007240D7"/>
    <w:rsid w:val="0072456A"/>
    <w:rsid w:val="0072560E"/>
    <w:rsid w:val="00725BA6"/>
    <w:rsid w:val="007306A0"/>
    <w:rsid w:val="00731665"/>
    <w:rsid w:val="00732B27"/>
    <w:rsid w:val="00732C28"/>
    <w:rsid w:val="0073414F"/>
    <w:rsid w:val="007363F6"/>
    <w:rsid w:val="007364A9"/>
    <w:rsid w:val="00736572"/>
    <w:rsid w:val="00737C64"/>
    <w:rsid w:val="00737F4A"/>
    <w:rsid w:val="007424A9"/>
    <w:rsid w:val="00742F12"/>
    <w:rsid w:val="00742F44"/>
    <w:rsid w:val="00743DFF"/>
    <w:rsid w:val="00745F7F"/>
    <w:rsid w:val="00747509"/>
    <w:rsid w:val="00747687"/>
    <w:rsid w:val="0075314A"/>
    <w:rsid w:val="00761601"/>
    <w:rsid w:val="00764072"/>
    <w:rsid w:val="00764A24"/>
    <w:rsid w:val="00765AB6"/>
    <w:rsid w:val="00765CB0"/>
    <w:rsid w:val="00766D8B"/>
    <w:rsid w:val="007704F7"/>
    <w:rsid w:val="007709DC"/>
    <w:rsid w:val="00772381"/>
    <w:rsid w:val="00772981"/>
    <w:rsid w:val="00773064"/>
    <w:rsid w:val="007743B0"/>
    <w:rsid w:val="00774640"/>
    <w:rsid w:val="007777CB"/>
    <w:rsid w:val="00777CDD"/>
    <w:rsid w:val="007800BC"/>
    <w:rsid w:val="007818A5"/>
    <w:rsid w:val="00783A6E"/>
    <w:rsid w:val="00783BF6"/>
    <w:rsid w:val="00783E37"/>
    <w:rsid w:val="007843E2"/>
    <w:rsid w:val="00786687"/>
    <w:rsid w:val="00786822"/>
    <w:rsid w:val="00786BA7"/>
    <w:rsid w:val="00790184"/>
    <w:rsid w:val="00792964"/>
    <w:rsid w:val="00792C4F"/>
    <w:rsid w:val="0079552A"/>
    <w:rsid w:val="007957E7"/>
    <w:rsid w:val="00797953"/>
    <w:rsid w:val="007A0567"/>
    <w:rsid w:val="007A0841"/>
    <w:rsid w:val="007A2C13"/>
    <w:rsid w:val="007A3A67"/>
    <w:rsid w:val="007A4A7B"/>
    <w:rsid w:val="007A64B6"/>
    <w:rsid w:val="007A6981"/>
    <w:rsid w:val="007A76BF"/>
    <w:rsid w:val="007A7CE2"/>
    <w:rsid w:val="007A7F3F"/>
    <w:rsid w:val="007B027C"/>
    <w:rsid w:val="007B09E9"/>
    <w:rsid w:val="007B489B"/>
    <w:rsid w:val="007B7153"/>
    <w:rsid w:val="007C1BD0"/>
    <w:rsid w:val="007C26DB"/>
    <w:rsid w:val="007C2D88"/>
    <w:rsid w:val="007C3845"/>
    <w:rsid w:val="007C4A45"/>
    <w:rsid w:val="007C54F9"/>
    <w:rsid w:val="007C6523"/>
    <w:rsid w:val="007D0DE3"/>
    <w:rsid w:val="007D1D25"/>
    <w:rsid w:val="007D2899"/>
    <w:rsid w:val="007D30FF"/>
    <w:rsid w:val="007D37FB"/>
    <w:rsid w:val="007D6E01"/>
    <w:rsid w:val="007D7A25"/>
    <w:rsid w:val="007E0331"/>
    <w:rsid w:val="007E214B"/>
    <w:rsid w:val="007E29E5"/>
    <w:rsid w:val="007E7796"/>
    <w:rsid w:val="007F34EA"/>
    <w:rsid w:val="007F3632"/>
    <w:rsid w:val="007F57A1"/>
    <w:rsid w:val="007F5C49"/>
    <w:rsid w:val="007F6A7B"/>
    <w:rsid w:val="007F79E0"/>
    <w:rsid w:val="007F7AA2"/>
    <w:rsid w:val="0080057C"/>
    <w:rsid w:val="0080077E"/>
    <w:rsid w:val="00800CBF"/>
    <w:rsid w:val="008020D1"/>
    <w:rsid w:val="00803C45"/>
    <w:rsid w:val="008065C0"/>
    <w:rsid w:val="00810CAD"/>
    <w:rsid w:val="00811A78"/>
    <w:rsid w:val="00811A8F"/>
    <w:rsid w:val="00812C6E"/>
    <w:rsid w:val="008132E2"/>
    <w:rsid w:val="008136C3"/>
    <w:rsid w:val="008136E2"/>
    <w:rsid w:val="00813880"/>
    <w:rsid w:val="0081400D"/>
    <w:rsid w:val="00815BAF"/>
    <w:rsid w:val="00815FC2"/>
    <w:rsid w:val="0082002A"/>
    <w:rsid w:val="00821597"/>
    <w:rsid w:val="00821A7D"/>
    <w:rsid w:val="00821E64"/>
    <w:rsid w:val="008222D5"/>
    <w:rsid w:val="00822840"/>
    <w:rsid w:val="00823919"/>
    <w:rsid w:val="00823CC4"/>
    <w:rsid w:val="00824323"/>
    <w:rsid w:val="00824E49"/>
    <w:rsid w:val="008309AA"/>
    <w:rsid w:val="008310E8"/>
    <w:rsid w:val="00834177"/>
    <w:rsid w:val="0083715B"/>
    <w:rsid w:val="008373E3"/>
    <w:rsid w:val="008403CF"/>
    <w:rsid w:val="00840F7E"/>
    <w:rsid w:val="0084186C"/>
    <w:rsid w:val="00841B1A"/>
    <w:rsid w:val="00843F1C"/>
    <w:rsid w:val="00844532"/>
    <w:rsid w:val="00845C04"/>
    <w:rsid w:val="00845D76"/>
    <w:rsid w:val="008461E0"/>
    <w:rsid w:val="008468B7"/>
    <w:rsid w:val="00850579"/>
    <w:rsid w:val="00852AD8"/>
    <w:rsid w:val="00852EAD"/>
    <w:rsid w:val="00853ABE"/>
    <w:rsid w:val="00853D88"/>
    <w:rsid w:val="0085615C"/>
    <w:rsid w:val="00860000"/>
    <w:rsid w:val="0086031E"/>
    <w:rsid w:val="00863061"/>
    <w:rsid w:val="0086514F"/>
    <w:rsid w:val="008656B1"/>
    <w:rsid w:val="00866546"/>
    <w:rsid w:val="00871588"/>
    <w:rsid w:val="00871DD8"/>
    <w:rsid w:val="00875739"/>
    <w:rsid w:val="00876114"/>
    <w:rsid w:val="00876A07"/>
    <w:rsid w:val="008772DC"/>
    <w:rsid w:val="00877A82"/>
    <w:rsid w:val="00877DC3"/>
    <w:rsid w:val="0088179B"/>
    <w:rsid w:val="00881B5D"/>
    <w:rsid w:val="00881CF0"/>
    <w:rsid w:val="008830AD"/>
    <w:rsid w:val="00884075"/>
    <w:rsid w:val="00885006"/>
    <w:rsid w:val="00885739"/>
    <w:rsid w:val="00885988"/>
    <w:rsid w:val="00885FD6"/>
    <w:rsid w:val="00886404"/>
    <w:rsid w:val="00892B59"/>
    <w:rsid w:val="00895A1F"/>
    <w:rsid w:val="008962BD"/>
    <w:rsid w:val="008A3572"/>
    <w:rsid w:val="008A4E77"/>
    <w:rsid w:val="008A586D"/>
    <w:rsid w:val="008B0ADE"/>
    <w:rsid w:val="008B1461"/>
    <w:rsid w:val="008B230A"/>
    <w:rsid w:val="008B3116"/>
    <w:rsid w:val="008B3A50"/>
    <w:rsid w:val="008B3DB3"/>
    <w:rsid w:val="008B6216"/>
    <w:rsid w:val="008B636B"/>
    <w:rsid w:val="008B7249"/>
    <w:rsid w:val="008B7C83"/>
    <w:rsid w:val="008C0872"/>
    <w:rsid w:val="008C1850"/>
    <w:rsid w:val="008C1F86"/>
    <w:rsid w:val="008C3B9A"/>
    <w:rsid w:val="008C459A"/>
    <w:rsid w:val="008C5491"/>
    <w:rsid w:val="008C7DFC"/>
    <w:rsid w:val="008D162D"/>
    <w:rsid w:val="008D26EF"/>
    <w:rsid w:val="008D6521"/>
    <w:rsid w:val="008E089B"/>
    <w:rsid w:val="008E1369"/>
    <w:rsid w:val="008E2387"/>
    <w:rsid w:val="008E424A"/>
    <w:rsid w:val="008E653D"/>
    <w:rsid w:val="008E7A5C"/>
    <w:rsid w:val="008E7CB5"/>
    <w:rsid w:val="008F071D"/>
    <w:rsid w:val="008F1804"/>
    <w:rsid w:val="008F3B0F"/>
    <w:rsid w:val="008F43AE"/>
    <w:rsid w:val="008F55E3"/>
    <w:rsid w:val="008F57F1"/>
    <w:rsid w:val="00900341"/>
    <w:rsid w:val="00901006"/>
    <w:rsid w:val="0090342A"/>
    <w:rsid w:val="009046CE"/>
    <w:rsid w:val="009051E5"/>
    <w:rsid w:val="0090563B"/>
    <w:rsid w:val="0090722B"/>
    <w:rsid w:val="00911374"/>
    <w:rsid w:val="00915FF6"/>
    <w:rsid w:val="00917094"/>
    <w:rsid w:val="00920848"/>
    <w:rsid w:val="00923436"/>
    <w:rsid w:val="0092345C"/>
    <w:rsid w:val="009246B2"/>
    <w:rsid w:val="009252CB"/>
    <w:rsid w:val="00926CD4"/>
    <w:rsid w:val="009310F0"/>
    <w:rsid w:val="00931580"/>
    <w:rsid w:val="00932D0F"/>
    <w:rsid w:val="00934548"/>
    <w:rsid w:val="00935E09"/>
    <w:rsid w:val="00937929"/>
    <w:rsid w:val="009407B2"/>
    <w:rsid w:val="00940D89"/>
    <w:rsid w:val="0094138B"/>
    <w:rsid w:val="00941678"/>
    <w:rsid w:val="009422BF"/>
    <w:rsid w:val="00944549"/>
    <w:rsid w:val="00945B5F"/>
    <w:rsid w:val="00945E17"/>
    <w:rsid w:val="00946961"/>
    <w:rsid w:val="00947228"/>
    <w:rsid w:val="00947356"/>
    <w:rsid w:val="00947CD2"/>
    <w:rsid w:val="00950DC6"/>
    <w:rsid w:val="0095333B"/>
    <w:rsid w:val="00954427"/>
    <w:rsid w:val="0095569E"/>
    <w:rsid w:val="00956731"/>
    <w:rsid w:val="00957075"/>
    <w:rsid w:val="00962117"/>
    <w:rsid w:val="0096332D"/>
    <w:rsid w:val="009644A2"/>
    <w:rsid w:val="009648AC"/>
    <w:rsid w:val="0097270B"/>
    <w:rsid w:val="009746AB"/>
    <w:rsid w:val="00975154"/>
    <w:rsid w:val="009765F0"/>
    <w:rsid w:val="00976F07"/>
    <w:rsid w:val="009773D2"/>
    <w:rsid w:val="009817B0"/>
    <w:rsid w:val="009834F6"/>
    <w:rsid w:val="00984D01"/>
    <w:rsid w:val="009852CB"/>
    <w:rsid w:val="00986E36"/>
    <w:rsid w:val="00992119"/>
    <w:rsid w:val="009926EC"/>
    <w:rsid w:val="0099360C"/>
    <w:rsid w:val="0099550C"/>
    <w:rsid w:val="009960E6"/>
    <w:rsid w:val="009965E2"/>
    <w:rsid w:val="00996BE3"/>
    <w:rsid w:val="0099767E"/>
    <w:rsid w:val="009A2FFD"/>
    <w:rsid w:val="009A3BE1"/>
    <w:rsid w:val="009A4074"/>
    <w:rsid w:val="009A5803"/>
    <w:rsid w:val="009A5BAB"/>
    <w:rsid w:val="009B4D17"/>
    <w:rsid w:val="009B5295"/>
    <w:rsid w:val="009B5BDE"/>
    <w:rsid w:val="009B71DD"/>
    <w:rsid w:val="009B7837"/>
    <w:rsid w:val="009C1D3F"/>
    <w:rsid w:val="009C43F6"/>
    <w:rsid w:val="009D3105"/>
    <w:rsid w:val="009D5072"/>
    <w:rsid w:val="009D534E"/>
    <w:rsid w:val="009D6EAC"/>
    <w:rsid w:val="009E0890"/>
    <w:rsid w:val="009E10FE"/>
    <w:rsid w:val="009E18D2"/>
    <w:rsid w:val="009E3D61"/>
    <w:rsid w:val="009F3D38"/>
    <w:rsid w:val="009F58F8"/>
    <w:rsid w:val="009F5FF5"/>
    <w:rsid w:val="009F7298"/>
    <w:rsid w:val="00A00CC0"/>
    <w:rsid w:val="00A042F4"/>
    <w:rsid w:val="00A04BB6"/>
    <w:rsid w:val="00A0716A"/>
    <w:rsid w:val="00A105D5"/>
    <w:rsid w:val="00A17B72"/>
    <w:rsid w:val="00A17BFA"/>
    <w:rsid w:val="00A221AB"/>
    <w:rsid w:val="00A22CF9"/>
    <w:rsid w:val="00A2347D"/>
    <w:rsid w:val="00A237A7"/>
    <w:rsid w:val="00A2445C"/>
    <w:rsid w:val="00A305F6"/>
    <w:rsid w:val="00A312DC"/>
    <w:rsid w:val="00A318E7"/>
    <w:rsid w:val="00A33F4D"/>
    <w:rsid w:val="00A34D5B"/>
    <w:rsid w:val="00A35463"/>
    <w:rsid w:val="00A377B4"/>
    <w:rsid w:val="00A379CF"/>
    <w:rsid w:val="00A408AE"/>
    <w:rsid w:val="00A40CDA"/>
    <w:rsid w:val="00A41FC1"/>
    <w:rsid w:val="00A443DA"/>
    <w:rsid w:val="00A44FF9"/>
    <w:rsid w:val="00A45C88"/>
    <w:rsid w:val="00A45D50"/>
    <w:rsid w:val="00A46EA8"/>
    <w:rsid w:val="00A474FD"/>
    <w:rsid w:val="00A51660"/>
    <w:rsid w:val="00A5270D"/>
    <w:rsid w:val="00A5565C"/>
    <w:rsid w:val="00A56B31"/>
    <w:rsid w:val="00A60845"/>
    <w:rsid w:val="00A60BC7"/>
    <w:rsid w:val="00A646DB"/>
    <w:rsid w:val="00A64C35"/>
    <w:rsid w:val="00A65A63"/>
    <w:rsid w:val="00A666B8"/>
    <w:rsid w:val="00A678B4"/>
    <w:rsid w:val="00A67C54"/>
    <w:rsid w:val="00A67DE7"/>
    <w:rsid w:val="00A70493"/>
    <w:rsid w:val="00A70EAA"/>
    <w:rsid w:val="00A717A7"/>
    <w:rsid w:val="00A7184C"/>
    <w:rsid w:val="00A730ED"/>
    <w:rsid w:val="00A752E4"/>
    <w:rsid w:val="00A769EC"/>
    <w:rsid w:val="00A779DC"/>
    <w:rsid w:val="00A81D01"/>
    <w:rsid w:val="00A83B9D"/>
    <w:rsid w:val="00A85A69"/>
    <w:rsid w:val="00A85DBF"/>
    <w:rsid w:val="00A8631C"/>
    <w:rsid w:val="00A93A8D"/>
    <w:rsid w:val="00A94F86"/>
    <w:rsid w:val="00A955E5"/>
    <w:rsid w:val="00A96F71"/>
    <w:rsid w:val="00A97AFB"/>
    <w:rsid w:val="00AA02E4"/>
    <w:rsid w:val="00AA34BD"/>
    <w:rsid w:val="00AA4AEB"/>
    <w:rsid w:val="00AA4D2A"/>
    <w:rsid w:val="00AA68D9"/>
    <w:rsid w:val="00AB278E"/>
    <w:rsid w:val="00AB7EED"/>
    <w:rsid w:val="00AC160A"/>
    <w:rsid w:val="00AC1F3A"/>
    <w:rsid w:val="00AC24DE"/>
    <w:rsid w:val="00AC271B"/>
    <w:rsid w:val="00AC27F0"/>
    <w:rsid w:val="00AC50C9"/>
    <w:rsid w:val="00AC65C7"/>
    <w:rsid w:val="00AC79FD"/>
    <w:rsid w:val="00AD16BF"/>
    <w:rsid w:val="00AD34CB"/>
    <w:rsid w:val="00AD4BA1"/>
    <w:rsid w:val="00AD62B1"/>
    <w:rsid w:val="00AD671C"/>
    <w:rsid w:val="00AD6F23"/>
    <w:rsid w:val="00AD78DB"/>
    <w:rsid w:val="00AE0C05"/>
    <w:rsid w:val="00AE1654"/>
    <w:rsid w:val="00AE181C"/>
    <w:rsid w:val="00AE1D19"/>
    <w:rsid w:val="00AE2AA3"/>
    <w:rsid w:val="00AE315E"/>
    <w:rsid w:val="00AE339A"/>
    <w:rsid w:val="00AE4655"/>
    <w:rsid w:val="00AE5314"/>
    <w:rsid w:val="00AE5A11"/>
    <w:rsid w:val="00AE5B18"/>
    <w:rsid w:val="00AE5B7E"/>
    <w:rsid w:val="00AE67CD"/>
    <w:rsid w:val="00AF3F1D"/>
    <w:rsid w:val="00AF5176"/>
    <w:rsid w:val="00AF5B2A"/>
    <w:rsid w:val="00AF6360"/>
    <w:rsid w:val="00B0173D"/>
    <w:rsid w:val="00B0184A"/>
    <w:rsid w:val="00B04713"/>
    <w:rsid w:val="00B059B0"/>
    <w:rsid w:val="00B05F10"/>
    <w:rsid w:val="00B06CC1"/>
    <w:rsid w:val="00B07CEE"/>
    <w:rsid w:val="00B07DAA"/>
    <w:rsid w:val="00B103FB"/>
    <w:rsid w:val="00B135EC"/>
    <w:rsid w:val="00B2062D"/>
    <w:rsid w:val="00B20A03"/>
    <w:rsid w:val="00B213E6"/>
    <w:rsid w:val="00B223A9"/>
    <w:rsid w:val="00B23D15"/>
    <w:rsid w:val="00B24D60"/>
    <w:rsid w:val="00B26165"/>
    <w:rsid w:val="00B269B7"/>
    <w:rsid w:val="00B30A8A"/>
    <w:rsid w:val="00B31EF6"/>
    <w:rsid w:val="00B31FDB"/>
    <w:rsid w:val="00B32344"/>
    <w:rsid w:val="00B330FB"/>
    <w:rsid w:val="00B340E5"/>
    <w:rsid w:val="00B34ADF"/>
    <w:rsid w:val="00B34FD9"/>
    <w:rsid w:val="00B358F6"/>
    <w:rsid w:val="00B37082"/>
    <w:rsid w:val="00B447A8"/>
    <w:rsid w:val="00B4539C"/>
    <w:rsid w:val="00B531A4"/>
    <w:rsid w:val="00B53428"/>
    <w:rsid w:val="00B5655C"/>
    <w:rsid w:val="00B56B33"/>
    <w:rsid w:val="00B61DC2"/>
    <w:rsid w:val="00B622B4"/>
    <w:rsid w:val="00B62980"/>
    <w:rsid w:val="00B63A43"/>
    <w:rsid w:val="00B643C2"/>
    <w:rsid w:val="00B653BA"/>
    <w:rsid w:val="00B657E6"/>
    <w:rsid w:val="00B7016B"/>
    <w:rsid w:val="00B70FE8"/>
    <w:rsid w:val="00B7294B"/>
    <w:rsid w:val="00B73080"/>
    <w:rsid w:val="00B753CD"/>
    <w:rsid w:val="00B761D3"/>
    <w:rsid w:val="00B769EC"/>
    <w:rsid w:val="00B81013"/>
    <w:rsid w:val="00B8236E"/>
    <w:rsid w:val="00B84875"/>
    <w:rsid w:val="00B84A5B"/>
    <w:rsid w:val="00B86F0D"/>
    <w:rsid w:val="00B8781C"/>
    <w:rsid w:val="00B95EA2"/>
    <w:rsid w:val="00B9680B"/>
    <w:rsid w:val="00B96D95"/>
    <w:rsid w:val="00BA011F"/>
    <w:rsid w:val="00BA3824"/>
    <w:rsid w:val="00BA44F3"/>
    <w:rsid w:val="00BA5176"/>
    <w:rsid w:val="00BA5E91"/>
    <w:rsid w:val="00BA6359"/>
    <w:rsid w:val="00BA7414"/>
    <w:rsid w:val="00BA75F3"/>
    <w:rsid w:val="00BB043E"/>
    <w:rsid w:val="00BB0AD7"/>
    <w:rsid w:val="00BB1B73"/>
    <w:rsid w:val="00BB1FFB"/>
    <w:rsid w:val="00BB383A"/>
    <w:rsid w:val="00BB39F7"/>
    <w:rsid w:val="00BB3B6B"/>
    <w:rsid w:val="00BC16E6"/>
    <w:rsid w:val="00BC19EB"/>
    <w:rsid w:val="00BC1D2C"/>
    <w:rsid w:val="00BC1F3F"/>
    <w:rsid w:val="00BC2114"/>
    <w:rsid w:val="00BC3885"/>
    <w:rsid w:val="00BC4BED"/>
    <w:rsid w:val="00BC7E7B"/>
    <w:rsid w:val="00BD75CE"/>
    <w:rsid w:val="00BE12E9"/>
    <w:rsid w:val="00BE18AE"/>
    <w:rsid w:val="00BE2092"/>
    <w:rsid w:val="00BE269F"/>
    <w:rsid w:val="00BE3A9D"/>
    <w:rsid w:val="00BE41B1"/>
    <w:rsid w:val="00BE41CE"/>
    <w:rsid w:val="00BE5B1D"/>
    <w:rsid w:val="00BE659B"/>
    <w:rsid w:val="00BF1379"/>
    <w:rsid w:val="00BF507C"/>
    <w:rsid w:val="00C013B2"/>
    <w:rsid w:val="00C01A08"/>
    <w:rsid w:val="00C04608"/>
    <w:rsid w:val="00C04779"/>
    <w:rsid w:val="00C04FEA"/>
    <w:rsid w:val="00C0654F"/>
    <w:rsid w:val="00C07192"/>
    <w:rsid w:val="00C07CA2"/>
    <w:rsid w:val="00C10749"/>
    <w:rsid w:val="00C119A4"/>
    <w:rsid w:val="00C1359A"/>
    <w:rsid w:val="00C14EBD"/>
    <w:rsid w:val="00C20E0C"/>
    <w:rsid w:val="00C225AD"/>
    <w:rsid w:val="00C23309"/>
    <w:rsid w:val="00C24C68"/>
    <w:rsid w:val="00C276DE"/>
    <w:rsid w:val="00C30FD3"/>
    <w:rsid w:val="00C31F95"/>
    <w:rsid w:val="00C35058"/>
    <w:rsid w:val="00C350A2"/>
    <w:rsid w:val="00C3572E"/>
    <w:rsid w:val="00C3605D"/>
    <w:rsid w:val="00C42F00"/>
    <w:rsid w:val="00C44531"/>
    <w:rsid w:val="00C44F65"/>
    <w:rsid w:val="00C4541D"/>
    <w:rsid w:val="00C46E56"/>
    <w:rsid w:val="00C471C6"/>
    <w:rsid w:val="00C520F9"/>
    <w:rsid w:val="00C53324"/>
    <w:rsid w:val="00C554AF"/>
    <w:rsid w:val="00C57371"/>
    <w:rsid w:val="00C6072B"/>
    <w:rsid w:val="00C60D8C"/>
    <w:rsid w:val="00C60F6C"/>
    <w:rsid w:val="00C62700"/>
    <w:rsid w:val="00C629BD"/>
    <w:rsid w:val="00C62AE8"/>
    <w:rsid w:val="00C643AD"/>
    <w:rsid w:val="00C64538"/>
    <w:rsid w:val="00C645CC"/>
    <w:rsid w:val="00C6479D"/>
    <w:rsid w:val="00C657BE"/>
    <w:rsid w:val="00C65863"/>
    <w:rsid w:val="00C66C94"/>
    <w:rsid w:val="00C66D15"/>
    <w:rsid w:val="00C7241D"/>
    <w:rsid w:val="00C72555"/>
    <w:rsid w:val="00C73271"/>
    <w:rsid w:val="00C73C87"/>
    <w:rsid w:val="00C7757B"/>
    <w:rsid w:val="00C80DD2"/>
    <w:rsid w:val="00C84D34"/>
    <w:rsid w:val="00C90917"/>
    <w:rsid w:val="00C9164D"/>
    <w:rsid w:val="00C92B44"/>
    <w:rsid w:val="00C94883"/>
    <w:rsid w:val="00C94F75"/>
    <w:rsid w:val="00C97F5C"/>
    <w:rsid w:val="00CA20E3"/>
    <w:rsid w:val="00CA2BAD"/>
    <w:rsid w:val="00CA3328"/>
    <w:rsid w:val="00CA4695"/>
    <w:rsid w:val="00CA57C1"/>
    <w:rsid w:val="00CA5D68"/>
    <w:rsid w:val="00CA6700"/>
    <w:rsid w:val="00CB1FA9"/>
    <w:rsid w:val="00CB2059"/>
    <w:rsid w:val="00CB2D40"/>
    <w:rsid w:val="00CB3871"/>
    <w:rsid w:val="00CB4788"/>
    <w:rsid w:val="00CB50CE"/>
    <w:rsid w:val="00CC0897"/>
    <w:rsid w:val="00CC302D"/>
    <w:rsid w:val="00CC450A"/>
    <w:rsid w:val="00CC79A7"/>
    <w:rsid w:val="00CD0279"/>
    <w:rsid w:val="00CD17D1"/>
    <w:rsid w:val="00CD1BBA"/>
    <w:rsid w:val="00CD3ABB"/>
    <w:rsid w:val="00CD424E"/>
    <w:rsid w:val="00CD429C"/>
    <w:rsid w:val="00CD4537"/>
    <w:rsid w:val="00CD6686"/>
    <w:rsid w:val="00CD6AB0"/>
    <w:rsid w:val="00CD6F8F"/>
    <w:rsid w:val="00CD782A"/>
    <w:rsid w:val="00CE0140"/>
    <w:rsid w:val="00CE23D4"/>
    <w:rsid w:val="00CE2422"/>
    <w:rsid w:val="00CE2FFF"/>
    <w:rsid w:val="00CE3EA2"/>
    <w:rsid w:val="00CE405C"/>
    <w:rsid w:val="00CE5214"/>
    <w:rsid w:val="00CE53D6"/>
    <w:rsid w:val="00CE6F66"/>
    <w:rsid w:val="00CF1243"/>
    <w:rsid w:val="00CF2420"/>
    <w:rsid w:val="00CF3C62"/>
    <w:rsid w:val="00CF475F"/>
    <w:rsid w:val="00CF604F"/>
    <w:rsid w:val="00CF69D2"/>
    <w:rsid w:val="00CF6A97"/>
    <w:rsid w:val="00CF6BE6"/>
    <w:rsid w:val="00CF6EB6"/>
    <w:rsid w:val="00CF7500"/>
    <w:rsid w:val="00D009B5"/>
    <w:rsid w:val="00D0100F"/>
    <w:rsid w:val="00D04C35"/>
    <w:rsid w:val="00D061F3"/>
    <w:rsid w:val="00D0629E"/>
    <w:rsid w:val="00D0634B"/>
    <w:rsid w:val="00D076E9"/>
    <w:rsid w:val="00D1080E"/>
    <w:rsid w:val="00D1096D"/>
    <w:rsid w:val="00D10C85"/>
    <w:rsid w:val="00D11959"/>
    <w:rsid w:val="00D11A7F"/>
    <w:rsid w:val="00D11BB3"/>
    <w:rsid w:val="00D13090"/>
    <w:rsid w:val="00D159A7"/>
    <w:rsid w:val="00D15ECD"/>
    <w:rsid w:val="00D16105"/>
    <w:rsid w:val="00D21111"/>
    <w:rsid w:val="00D2125D"/>
    <w:rsid w:val="00D22330"/>
    <w:rsid w:val="00D2285C"/>
    <w:rsid w:val="00D25624"/>
    <w:rsid w:val="00D27E03"/>
    <w:rsid w:val="00D3041E"/>
    <w:rsid w:val="00D3066C"/>
    <w:rsid w:val="00D306C4"/>
    <w:rsid w:val="00D33AE9"/>
    <w:rsid w:val="00D33CC6"/>
    <w:rsid w:val="00D34538"/>
    <w:rsid w:val="00D347F9"/>
    <w:rsid w:val="00D35657"/>
    <w:rsid w:val="00D3596B"/>
    <w:rsid w:val="00D37558"/>
    <w:rsid w:val="00D37FA4"/>
    <w:rsid w:val="00D37FDD"/>
    <w:rsid w:val="00D423E0"/>
    <w:rsid w:val="00D434A5"/>
    <w:rsid w:val="00D47B3B"/>
    <w:rsid w:val="00D506BC"/>
    <w:rsid w:val="00D50C14"/>
    <w:rsid w:val="00D5252C"/>
    <w:rsid w:val="00D52F2A"/>
    <w:rsid w:val="00D539C8"/>
    <w:rsid w:val="00D53E7F"/>
    <w:rsid w:val="00D540F1"/>
    <w:rsid w:val="00D5431D"/>
    <w:rsid w:val="00D568E4"/>
    <w:rsid w:val="00D57F37"/>
    <w:rsid w:val="00D62C83"/>
    <w:rsid w:val="00D641A8"/>
    <w:rsid w:val="00D650EA"/>
    <w:rsid w:val="00D65308"/>
    <w:rsid w:val="00D65764"/>
    <w:rsid w:val="00D65A52"/>
    <w:rsid w:val="00D668FD"/>
    <w:rsid w:val="00D66BF6"/>
    <w:rsid w:val="00D67346"/>
    <w:rsid w:val="00D71D32"/>
    <w:rsid w:val="00D72FD3"/>
    <w:rsid w:val="00D76503"/>
    <w:rsid w:val="00D7719E"/>
    <w:rsid w:val="00D819AA"/>
    <w:rsid w:val="00D823F8"/>
    <w:rsid w:val="00D87331"/>
    <w:rsid w:val="00D90A33"/>
    <w:rsid w:val="00D919BC"/>
    <w:rsid w:val="00D938DE"/>
    <w:rsid w:val="00D94529"/>
    <w:rsid w:val="00D9464E"/>
    <w:rsid w:val="00D95EF3"/>
    <w:rsid w:val="00D96768"/>
    <w:rsid w:val="00D97BC7"/>
    <w:rsid w:val="00DA0700"/>
    <w:rsid w:val="00DA098A"/>
    <w:rsid w:val="00DA134C"/>
    <w:rsid w:val="00DA1505"/>
    <w:rsid w:val="00DA23D2"/>
    <w:rsid w:val="00DA4C57"/>
    <w:rsid w:val="00DA4CA7"/>
    <w:rsid w:val="00DA56BD"/>
    <w:rsid w:val="00DA712D"/>
    <w:rsid w:val="00DA7504"/>
    <w:rsid w:val="00DB1679"/>
    <w:rsid w:val="00DB3E20"/>
    <w:rsid w:val="00DB4681"/>
    <w:rsid w:val="00DB526C"/>
    <w:rsid w:val="00DB57F1"/>
    <w:rsid w:val="00DB5BAC"/>
    <w:rsid w:val="00DC0EF4"/>
    <w:rsid w:val="00DC17EC"/>
    <w:rsid w:val="00DC2508"/>
    <w:rsid w:val="00DC28C5"/>
    <w:rsid w:val="00DC2F70"/>
    <w:rsid w:val="00DC4475"/>
    <w:rsid w:val="00DC4D7C"/>
    <w:rsid w:val="00DC5915"/>
    <w:rsid w:val="00DC5BA3"/>
    <w:rsid w:val="00DD0A3C"/>
    <w:rsid w:val="00DD3BDA"/>
    <w:rsid w:val="00DD3D11"/>
    <w:rsid w:val="00DD59D7"/>
    <w:rsid w:val="00DD666D"/>
    <w:rsid w:val="00DD73C9"/>
    <w:rsid w:val="00DD7941"/>
    <w:rsid w:val="00DE0A79"/>
    <w:rsid w:val="00DE0CEF"/>
    <w:rsid w:val="00DE14F5"/>
    <w:rsid w:val="00DE39B4"/>
    <w:rsid w:val="00DE3DCC"/>
    <w:rsid w:val="00DF03C2"/>
    <w:rsid w:val="00DF2568"/>
    <w:rsid w:val="00DF50F6"/>
    <w:rsid w:val="00DF5D58"/>
    <w:rsid w:val="00DF7E34"/>
    <w:rsid w:val="00E01FC4"/>
    <w:rsid w:val="00E03CBF"/>
    <w:rsid w:val="00E04054"/>
    <w:rsid w:val="00E04675"/>
    <w:rsid w:val="00E047B5"/>
    <w:rsid w:val="00E0723B"/>
    <w:rsid w:val="00E139C2"/>
    <w:rsid w:val="00E13F31"/>
    <w:rsid w:val="00E165CC"/>
    <w:rsid w:val="00E17C0A"/>
    <w:rsid w:val="00E20024"/>
    <w:rsid w:val="00E20C08"/>
    <w:rsid w:val="00E213C4"/>
    <w:rsid w:val="00E22D28"/>
    <w:rsid w:val="00E23769"/>
    <w:rsid w:val="00E237A5"/>
    <w:rsid w:val="00E24804"/>
    <w:rsid w:val="00E25CAB"/>
    <w:rsid w:val="00E26A22"/>
    <w:rsid w:val="00E270DE"/>
    <w:rsid w:val="00E2799C"/>
    <w:rsid w:val="00E3135F"/>
    <w:rsid w:val="00E3229E"/>
    <w:rsid w:val="00E337E7"/>
    <w:rsid w:val="00E34678"/>
    <w:rsid w:val="00E354CC"/>
    <w:rsid w:val="00E35D93"/>
    <w:rsid w:val="00E3620A"/>
    <w:rsid w:val="00E407D6"/>
    <w:rsid w:val="00E412C6"/>
    <w:rsid w:val="00E433BA"/>
    <w:rsid w:val="00E443E3"/>
    <w:rsid w:val="00E45569"/>
    <w:rsid w:val="00E46394"/>
    <w:rsid w:val="00E46BDC"/>
    <w:rsid w:val="00E46FA9"/>
    <w:rsid w:val="00E470C4"/>
    <w:rsid w:val="00E47362"/>
    <w:rsid w:val="00E5166C"/>
    <w:rsid w:val="00E516C4"/>
    <w:rsid w:val="00E528F8"/>
    <w:rsid w:val="00E535B9"/>
    <w:rsid w:val="00E549D1"/>
    <w:rsid w:val="00E54FF5"/>
    <w:rsid w:val="00E55D54"/>
    <w:rsid w:val="00E56CD3"/>
    <w:rsid w:val="00E57A0A"/>
    <w:rsid w:val="00E57EF5"/>
    <w:rsid w:val="00E61977"/>
    <w:rsid w:val="00E627C9"/>
    <w:rsid w:val="00E629BD"/>
    <w:rsid w:val="00E655A4"/>
    <w:rsid w:val="00E66C0F"/>
    <w:rsid w:val="00E67AC1"/>
    <w:rsid w:val="00E713ED"/>
    <w:rsid w:val="00E72460"/>
    <w:rsid w:val="00E7341A"/>
    <w:rsid w:val="00E73A18"/>
    <w:rsid w:val="00E7592D"/>
    <w:rsid w:val="00E77132"/>
    <w:rsid w:val="00E8734B"/>
    <w:rsid w:val="00E87D96"/>
    <w:rsid w:val="00E91CDC"/>
    <w:rsid w:val="00E92763"/>
    <w:rsid w:val="00E92842"/>
    <w:rsid w:val="00E93E0F"/>
    <w:rsid w:val="00E948D4"/>
    <w:rsid w:val="00E94F1A"/>
    <w:rsid w:val="00E955B8"/>
    <w:rsid w:val="00E9688F"/>
    <w:rsid w:val="00E97723"/>
    <w:rsid w:val="00EA0652"/>
    <w:rsid w:val="00EA0810"/>
    <w:rsid w:val="00EA0A5A"/>
    <w:rsid w:val="00EA23E2"/>
    <w:rsid w:val="00EA24B7"/>
    <w:rsid w:val="00EA2FB2"/>
    <w:rsid w:val="00EA3DD1"/>
    <w:rsid w:val="00EA613A"/>
    <w:rsid w:val="00EB0DC1"/>
    <w:rsid w:val="00EB1947"/>
    <w:rsid w:val="00EB1B9F"/>
    <w:rsid w:val="00EB251C"/>
    <w:rsid w:val="00EB2B03"/>
    <w:rsid w:val="00EB54EF"/>
    <w:rsid w:val="00EB775A"/>
    <w:rsid w:val="00EC0576"/>
    <w:rsid w:val="00EC288C"/>
    <w:rsid w:val="00EC3347"/>
    <w:rsid w:val="00EC415C"/>
    <w:rsid w:val="00EC48BC"/>
    <w:rsid w:val="00EC5F08"/>
    <w:rsid w:val="00EC6965"/>
    <w:rsid w:val="00EC777F"/>
    <w:rsid w:val="00EC7890"/>
    <w:rsid w:val="00ED021A"/>
    <w:rsid w:val="00ED270F"/>
    <w:rsid w:val="00ED272F"/>
    <w:rsid w:val="00ED293F"/>
    <w:rsid w:val="00ED3B6C"/>
    <w:rsid w:val="00ED4A38"/>
    <w:rsid w:val="00ED5560"/>
    <w:rsid w:val="00ED6BBE"/>
    <w:rsid w:val="00ED6EF9"/>
    <w:rsid w:val="00ED7CE1"/>
    <w:rsid w:val="00EE03E2"/>
    <w:rsid w:val="00EE07A7"/>
    <w:rsid w:val="00EE47D0"/>
    <w:rsid w:val="00EE4A8A"/>
    <w:rsid w:val="00EE4CC9"/>
    <w:rsid w:val="00EE5075"/>
    <w:rsid w:val="00EE5844"/>
    <w:rsid w:val="00EF0F0C"/>
    <w:rsid w:val="00EF1215"/>
    <w:rsid w:val="00EF40A4"/>
    <w:rsid w:val="00EF442C"/>
    <w:rsid w:val="00EF4834"/>
    <w:rsid w:val="00EF620F"/>
    <w:rsid w:val="00EF7767"/>
    <w:rsid w:val="00F01112"/>
    <w:rsid w:val="00F02129"/>
    <w:rsid w:val="00F02652"/>
    <w:rsid w:val="00F02B8E"/>
    <w:rsid w:val="00F0307D"/>
    <w:rsid w:val="00F03BB2"/>
    <w:rsid w:val="00F04632"/>
    <w:rsid w:val="00F04BAB"/>
    <w:rsid w:val="00F060DA"/>
    <w:rsid w:val="00F0632B"/>
    <w:rsid w:val="00F06EC9"/>
    <w:rsid w:val="00F0714A"/>
    <w:rsid w:val="00F15735"/>
    <w:rsid w:val="00F1592B"/>
    <w:rsid w:val="00F15B09"/>
    <w:rsid w:val="00F15CBC"/>
    <w:rsid w:val="00F21BD8"/>
    <w:rsid w:val="00F220BB"/>
    <w:rsid w:val="00F227F1"/>
    <w:rsid w:val="00F24D6E"/>
    <w:rsid w:val="00F26C14"/>
    <w:rsid w:val="00F26F6A"/>
    <w:rsid w:val="00F32C86"/>
    <w:rsid w:val="00F36654"/>
    <w:rsid w:val="00F40EE0"/>
    <w:rsid w:val="00F42C7D"/>
    <w:rsid w:val="00F5067D"/>
    <w:rsid w:val="00F51E3D"/>
    <w:rsid w:val="00F53576"/>
    <w:rsid w:val="00F543BA"/>
    <w:rsid w:val="00F54D3C"/>
    <w:rsid w:val="00F5517E"/>
    <w:rsid w:val="00F568C2"/>
    <w:rsid w:val="00F57B61"/>
    <w:rsid w:val="00F57EBD"/>
    <w:rsid w:val="00F6242C"/>
    <w:rsid w:val="00F62644"/>
    <w:rsid w:val="00F63694"/>
    <w:rsid w:val="00F637A6"/>
    <w:rsid w:val="00F63C55"/>
    <w:rsid w:val="00F659E4"/>
    <w:rsid w:val="00F671D7"/>
    <w:rsid w:val="00F675D1"/>
    <w:rsid w:val="00F67804"/>
    <w:rsid w:val="00F67F29"/>
    <w:rsid w:val="00F703DA"/>
    <w:rsid w:val="00F70EF9"/>
    <w:rsid w:val="00F7146D"/>
    <w:rsid w:val="00F752A8"/>
    <w:rsid w:val="00F75838"/>
    <w:rsid w:val="00F83822"/>
    <w:rsid w:val="00F841A6"/>
    <w:rsid w:val="00F844E0"/>
    <w:rsid w:val="00F84C25"/>
    <w:rsid w:val="00F855D5"/>
    <w:rsid w:val="00F85F17"/>
    <w:rsid w:val="00F8740C"/>
    <w:rsid w:val="00F91ABE"/>
    <w:rsid w:val="00F9265A"/>
    <w:rsid w:val="00F92C3E"/>
    <w:rsid w:val="00F935B6"/>
    <w:rsid w:val="00F94488"/>
    <w:rsid w:val="00F96363"/>
    <w:rsid w:val="00FA1270"/>
    <w:rsid w:val="00FA1EE7"/>
    <w:rsid w:val="00FA3D1E"/>
    <w:rsid w:val="00FA3F8D"/>
    <w:rsid w:val="00FA4641"/>
    <w:rsid w:val="00FA46D7"/>
    <w:rsid w:val="00FA4939"/>
    <w:rsid w:val="00FA5165"/>
    <w:rsid w:val="00FA5EFF"/>
    <w:rsid w:val="00FA70A3"/>
    <w:rsid w:val="00FA735F"/>
    <w:rsid w:val="00FB21F8"/>
    <w:rsid w:val="00FB23BC"/>
    <w:rsid w:val="00FB4673"/>
    <w:rsid w:val="00FB4688"/>
    <w:rsid w:val="00FB5134"/>
    <w:rsid w:val="00FB554F"/>
    <w:rsid w:val="00FB56B0"/>
    <w:rsid w:val="00FB5B92"/>
    <w:rsid w:val="00FC072B"/>
    <w:rsid w:val="00FC0F3F"/>
    <w:rsid w:val="00FC18F1"/>
    <w:rsid w:val="00FC4911"/>
    <w:rsid w:val="00FC63FB"/>
    <w:rsid w:val="00FC6D9D"/>
    <w:rsid w:val="00FD0D71"/>
    <w:rsid w:val="00FD13A4"/>
    <w:rsid w:val="00FD380B"/>
    <w:rsid w:val="00FD3D45"/>
    <w:rsid w:val="00FD4074"/>
    <w:rsid w:val="00FD4A98"/>
    <w:rsid w:val="00FD5367"/>
    <w:rsid w:val="00FD5A38"/>
    <w:rsid w:val="00FD762E"/>
    <w:rsid w:val="00FE1BC3"/>
    <w:rsid w:val="00FE2045"/>
    <w:rsid w:val="00FE5865"/>
    <w:rsid w:val="00FE5BAD"/>
    <w:rsid w:val="00FE5F8A"/>
    <w:rsid w:val="00FE68A3"/>
    <w:rsid w:val="00FE7055"/>
    <w:rsid w:val="00FE79FB"/>
    <w:rsid w:val="00FF15B4"/>
    <w:rsid w:val="00FF22B4"/>
    <w:rsid w:val="00FF3706"/>
    <w:rsid w:val="00FF4A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E480"/>
  <w15:docId w15:val="{392AD902-5175-4F6D-A7A3-94B3C3D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7561"/>
    <w:rPr>
      <w:color w:val="0000FF"/>
      <w:u w:val="single"/>
    </w:rPr>
  </w:style>
  <w:style w:type="character" w:customStyle="1" w:styleId="UnresolvedMention1">
    <w:name w:val="Unresolved Mention1"/>
    <w:basedOn w:val="DefaultParagraphFont"/>
    <w:uiPriority w:val="99"/>
    <w:semiHidden/>
    <w:unhideWhenUsed/>
    <w:rsid w:val="008D46CD"/>
    <w:rPr>
      <w:color w:val="605E5C"/>
      <w:shd w:val="clear" w:color="auto" w:fill="E1DFDD"/>
    </w:rPr>
  </w:style>
  <w:style w:type="character" w:styleId="FollowedHyperlink">
    <w:name w:val="FollowedHyperlink"/>
    <w:basedOn w:val="DefaultParagraphFont"/>
    <w:uiPriority w:val="99"/>
    <w:semiHidden/>
    <w:unhideWhenUsed/>
    <w:rsid w:val="00E25A58"/>
    <w:rPr>
      <w:color w:val="954F72" w:themeColor="followedHyperlink"/>
      <w:u w:val="single"/>
    </w:rPr>
  </w:style>
  <w:style w:type="paragraph" w:styleId="BalloonText">
    <w:name w:val="Balloon Text"/>
    <w:basedOn w:val="Normal"/>
    <w:link w:val="BalloonTextChar"/>
    <w:uiPriority w:val="99"/>
    <w:semiHidden/>
    <w:unhideWhenUsed/>
    <w:rsid w:val="0074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5B23"/>
    <w:rPr>
      <w:sz w:val="16"/>
      <w:szCs w:val="16"/>
    </w:rPr>
  </w:style>
  <w:style w:type="paragraph" w:styleId="CommentText">
    <w:name w:val="annotation text"/>
    <w:basedOn w:val="Normal"/>
    <w:link w:val="CommentTextChar"/>
    <w:uiPriority w:val="99"/>
    <w:unhideWhenUsed/>
    <w:rsid w:val="00D35B23"/>
    <w:pPr>
      <w:spacing w:line="240" w:lineRule="auto"/>
    </w:pPr>
    <w:rPr>
      <w:sz w:val="20"/>
      <w:szCs w:val="20"/>
    </w:rPr>
  </w:style>
  <w:style w:type="character" w:customStyle="1" w:styleId="CommentTextChar">
    <w:name w:val="Comment Text Char"/>
    <w:basedOn w:val="DefaultParagraphFont"/>
    <w:link w:val="CommentText"/>
    <w:uiPriority w:val="99"/>
    <w:rsid w:val="00D35B23"/>
    <w:rPr>
      <w:sz w:val="20"/>
      <w:szCs w:val="20"/>
    </w:rPr>
  </w:style>
  <w:style w:type="paragraph" w:styleId="CommentSubject">
    <w:name w:val="annotation subject"/>
    <w:basedOn w:val="CommentText"/>
    <w:next w:val="CommentText"/>
    <w:link w:val="CommentSubjectChar"/>
    <w:uiPriority w:val="99"/>
    <w:semiHidden/>
    <w:unhideWhenUsed/>
    <w:rsid w:val="00D35B23"/>
    <w:rPr>
      <w:b/>
      <w:bCs/>
    </w:rPr>
  </w:style>
  <w:style w:type="character" w:customStyle="1" w:styleId="CommentSubjectChar">
    <w:name w:val="Comment Subject Char"/>
    <w:basedOn w:val="CommentTextChar"/>
    <w:link w:val="CommentSubject"/>
    <w:uiPriority w:val="99"/>
    <w:semiHidden/>
    <w:rsid w:val="00D35B23"/>
    <w:rPr>
      <w:b/>
      <w:bCs/>
      <w:sz w:val="20"/>
      <w:szCs w:val="20"/>
    </w:rPr>
  </w:style>
  <w:style w:type="paragraph" w:styleId="Header">
    <w:name w:val="header"/>
    <w:basedOn w:val="Normal"/>
    <w:link w:val="HeaderChar"/>
    <w:uiPriority w:val="99"/>
    <w:unhideWhenUsed/>
    <w:rsid w:val="00A4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A40"/>
  </w:style>
  <w:style w:type="paragraph" w:styleId="Footer">
    <w:name w:val="footer"/>
    <w:basedOn w:val="Normal"/>
    <w:link w:val="FooterChar"/>
    <w:uiPriority w:val="99"/>
    <w:unhideWhenUsed/>
    <w:rsid w:val="00A4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A40"/>
  </w:style>
  <w:style w:type="paragraph" w:styleId="ListParagraph">
    <w:name w:val="List Paragraph"/>
    <w:basedOn w:val="Normal"/>
    <w:uiPriority w:val="34"/>
    <w:qFormat/>
    <w:rsid w:val="00AB4A86"/>
    <w:pPr>
      <w:ind w:left="720"/>
      <w:contextualSpacing/>
    </w:pPr>
  </w:style>
  <w:style w:type="character" w:customStyle="1" w:styleId="UnresolvedMention2">
    <w:name w:val="Unresolved Mention2"/>
    <w:basedOn w:val="DefaultParagraphFont"/>
    <w:uiPriority w:val="99"/>
    <w:semiHidden/>
    <w:unhideWhenUsed/>
    <w:rsid w:val="00FE7641"/>
    <w:rPr>
      <w:color w:val="605E5C"/>
      <w:shd w:val="clear" w:color="auto" w:fill="E1DFDD"/>
    </w:rPr>
  </w:style>
  <w:style w:type="paragraph" w:styleId="Revision">
    <w:name w:val="Revision"/>
    <w:hidden/>
    <w:uiPriority w:val="99"/>
    <w:semiHidden/>
    <w:rsid w:val="00620F63"/>
    <w:pPr>
      <w:spacing w:after="0" w:line="240" w:lineRule="auto"/>
    </w:pPr>
  </w:style>
  <w:style w:type="character" w:customStyle="1" w:styleId="UnresolvedMention3">
    <w:name w:val="Unresolved Mention3"/>
    <w:basedOn w:val="DefaultParagraphFont"/>
    <w:uiPriority w:val="99"/>
    <w:semiHidden/>
    <w:unhideWhenUsed/>
    <w:rsid w:val="00D649F7"/>
    <w:rPr>
      <w:color w:val="605E5C"/>
      <w:shd w:val="clear" w:color="auto" w:fill="E1DFDD"/>
    </w:rPr>
  </w:style>
  <w:style w:type="character" w:styleId="Emphasis">
    <w:name w:val="Emphasis"/>
    <w:basedOn w:val="DefaultParagraphFont"/>
    <w:uiPriority w:val="20"/>
    <w:qFormat/>
    <w:rsid w:val="00C276DE"/>
    <w:rPr>
      <w:i/>
      <w:iCs/>
    </w:rPr>
  </w:style>
  <w:style w:type="paragraph" w:styleId="NormalWeb">
    <w:name w:val="Normal (Web)"/>
    <w:basedOn w:val="Normal"/>
    <w:uiPriority w:val="99"/>
    <w:semiHidden/>
    <w:unhideWhenUsed/>
    <w:rsid w:val="00C24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C68"/>
    <w:rPr>
      <w:b/>
      <w:bCs/>
    </w:rPr>
  </w:style>
  <w:style w:type="table" w:styleId="TableGrid">
    <w:name w:val="Table Grid"/>
    <w:basedOn w:val="TableNormal"/>
    <w:uiPriority w:val="39"/>
    <w:rsid w:val="0033778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72555"/>
  </w:style>
  <w:style w:type="character" w:customStyle="1" w:styleId="normaltextrun">
    <w:name w:val="normaltextrun"/>
    <w:basedOn w:val="DefaultParagraphFont"/>
    <w:rsid w:val="00355376"/>
  </w:style>
  <w:style w:type="character" w:customStyle="1" w:styleId="eop">
    <w:name w:val="eop"/>
    <w:basedOn w:val="DefaultParagraphFont"/>
    <w:rsid w:val="0035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78078">
      <w:bodyDiv w:val="1"/>
      <w:marLeft w:val="0"/>
      <w:marRight w:val="0"/>
      <w:marTop w:val="0"/>
      <w:marBottom w:val="0"/>
      <w:divBdr>
        <w:top w:val="none" w:sz="0" w:space="0" w:color="auto"/>
        <w:left w:val="none" w:sz="0" w:space="0" w:color="auto"/>
        <w:bottom w:val="none" w:sz="0" w:space="0" w:color="auto"/>
        <w:right w:val="none" w:sz="0" w:space="0" w:color="auto"/>
      </w:divBdr>
    </w:div>
    <w:div w:id="596443524">
      <w:bodyDiv w:val="1"/>
      <w:marLeft w:val="0"/>
      <w:marRight w:val="0"/>
      <w:marTop w:val="0"/>
      <w:marBottom w:val="0"/>
      <w:divBdr>
        <w:top w:val="none" w:sz="0" w:space="0" w:color="auto"/>
        <w:left w:val="none" w:sz="0" w:space="0" w:color="auto"/>
        <w:bottom w:val="none" w:sz="0" w:space="0" w:color="auto"/>
        <w:right w:val="none" w:sz="0" w:space="0" w:color="auto"/>
      </w:divBdr>
    </w:div>
    <w:div w:id="894198971">
      <w:bodyDiv w:val="1"/>
      <w:marLeft w:val="0"/>
      <w:marRight w:val="0"/>
      <w:marTop w:val="0"/>
      <w:marBottom w:val="0"/>
      <w:divBdr>
        <w:top w:val="none" w:sz="0" w:space="0" w:color="auto"/>
        <w:left w:val="none" w:sz="0" w:space="0" w:color="auto"/>
        <w:bottom w:val="none" w:sz="0" w:space="0" w:color="auto"/>
        <w:right w:val="none" w:sz="0" w:space="0" w:color="auto"/>
      </w:divBdr>
    </w:div>
    <w:div w:id="1185172294">
      <w:bodyDiv w:val="1"/>
      <w:marLeft w:val="0"/>
      <w:marRight w:val="0"/>
      <w:marTop w:val="0"/>
      <w:marBottom w:val="0"/>
      <w:divBdr>
        <w:top w:val="none" w:sz="0" w:space="0" w:color="auto"/>
        <w:left w:val="none" w:sz="0" w:space="0" w:color="auto"/>
        <w:bottom w:val="none" w:sz="0" w:space="0" w:color="auto"/>
        <w:right w:val="none" w:sz="0" w:space="0" w:color="auto"/>
      </w:divBdr>
      <w:divsChild>
        <w:div w:id="1479302482">
          <w:marLeft w:val="0"/>
          <w:marRight w:val="0"/>
          <w:marTop w:val="0"/>
          <w:marBottom w:val="0"/>
          <w:divBdr>
            <w:top w:val="none" w:sz="0" w:space="0" w:color="auto"/>
            <w:left w:val="none" w:sz="0" w:space="0" w:color="auto"/>
            <w:bottom w:val="none" w:sz="0" w:space="0" w:color="auto"/>
            <w:right w:val="none" w:sz="0" w:space="0" w:color="auto"/>
          </w:divBdr>
        </w:div>
        <w:div w:id="790974264">
          <w:marLeft w:val="0"/>
          <w:marRight w:val="0"/>
          <w:marTop w:val="0"/>
          <w:marBottom w:val="0"/>
          <w:divBdr>
            <w:top w:val="none" w:sz="0" w:space="0" w:color="auto"/>
            <w:left w:val="none" w:sz="0" w:space="0" w:color="auto"/>
            <w:bottom w:val="none" w:sz="0" w:space="0" w:color="auto"/>
            <w:right w:val="none" w:sz="0" w:space="0" w:color="auto"/>
          </w:divBdr>
        </w:div>
      </w:divsChild>
    </w:div>
    <w:div w:id="1491285690">
      <w:bodyDiv w:val="1"/>
      <w:marLeft w:val="0"/>
      <w:marRight w:val="0"/>
      <w:marTop w:val="0"/>
      <w:marBottom w:val="0"/>
      <w:divBdr>
        <w:top w:val="none" w:sz="0" w:space="0" w:color="auto"/>
        <w:left w:val="none" w:sz="0" w:space="0" w:color="auto"/>
        <w:bottom w:val="none" w:sz="0" w:space="0" w:color="auto"/>
        <w:right w:val="none" w:sz="0" w:space="0" w:color="auto"/>
      </w:divBdr>
    </w:div>
    <w:div w:id="1508442571">
      <w:bodyDiv w:val="1"/>
      <w:marLeft w:val="0"/>
      <w:marRight w:val="0"/>
      <w:marTop w:val="0"/>
      <w:marBottom w:val="0"/>
      <w:divBdr>
        <w:top w:val="none" w:sz="0" w:space="0" w:color="auto"/>
        <w:left w:val="none" w:sz="0" w:space="0" w:color="auto"/>
        <w:bottom w:val="none" w:sz="0" w:space="0" w:color="auto"/>
        <w:right w:val="none" w:sz="0" w:space="0" w:color="auto"/>
      </w:divBdr>
      <w:divsChild>
        <w:div w:id="641423814">
          <w:marLeft w:val="0"/>
          <w:marRight w:val="0"/>
          <w:marTop w:val="0"/>
          <w:marBottom w:val="0"/>
          <w:divBdr>
            <w:top w:val="none" w:sz="0" w:space="0" w:color="auto"/>
            <w:left w:val="none" w:sz="0" w:space="0" w:color="auto"/>
            <w:bottom w:val="none" w:sz="0" w:space="0" w:color="auto"/>
            <w:right w:val="none" w:sz="0" w:space="0" w:color="auto"/>
          </w:divBdr>
        </w:div>
        <w:div w:id="712071741">
          <w:marLeft w:val="0"/>
          <w:marRight w:val="0"/>
          <w:marTop w:val="0"/>
          <w:marBottom w:val="0"/>
          <w:divBdr>
            <w:top w:val="none" w:sz="0" w:space="0" w:color="auto"/>
            <w:left w:val="none" w:sz="0" w:space="0" w:color="auto"/>
            <w:bottom w:val="none" w:sz="0" w:space="0" w:color="auto"/>
            <w:right w:val="none" w:sz="0" w:space="0" w:color="auto"/>
          </w:divBdr>
        </w:div>
        <w:div w:id="52510236">
          <w:marLeft w:val="0"/>
          <w:marRight w:val="0"/>
          <w:marTop w:val="0"/>
          <w:marBottom w:val="0"/>
          <w:divBdr>
            <w:top w:val="none" w:sz="0" w:space="0" w:color="auto"/>
            <w:left w:val="none" w:sz="0" w:space="0" w:color="auto"/>
            <w:bottom w:val="none" w:sz="0" w:space="0" w:color="auto"/>
            <w:right w:val="none" w:sz="0" w:space="0" w:color="auto"/>
          </w:divBdr>
        </w:div>
      </w:divsChild>
    </w:div>
    <w:div w:id="1771192926">
      <w:bodyDiv w:val="1"/>
      <w:marLeft w:val="0"/>
      <w:marRight w:val="0"/>
      <w:marTop w:val="0"/>
      <w:marBottom w:val="0"/>
      <w:divBdr>
        <w:top w:val="none" w:sz="0" w:space="0" w:color="auto"/>
        <w:left w:val="none" w:sz="0" w:space="0" w:color="auto"/>
        <w:bottom w:val="none" w:sz="0" w:space="0" w:color="auto"/>
        <w:right w:val="none" w:sz="0" w:space="0" w:color="auto"/>
      </w:divBdr>
      <w:divsChild>
        <w:div w:id="2036418998">
          <w:marLeft w:val="0"/>
          <w:marRight w:val="0"/>
          <w:marTop w:val="0"/>
          <w:marBottom w:val="0"/>
          <w:divBdr>
            <w:top w:val="none" w:sz="0" w:space="0" w:color="auto"/>
            <w:left w:val="none" w:sz="0" w:space="0" w:color="auto"/>
            <w:bottom w:val="none" w:sz="0" w:space="0" w:color="auto"/>
            <w:right w:val="none" w:sz="0" w:space="0" w:color="auto"/>
          </w:divBdr>
        </w:div>
        <w:div w:id="1725131279">
          <w:marLeft w:val="0"/>
          <w:marRight w:val="0"/>
          <w:marTop w:val="0"/>
          <w:marBottom w:val="0"/>
          <w:divBdr>
            <w:top w:val="none" w:sz="0" w:space="0" w:color="auto"/>
            <w:left w:val="none" w:sz="0" w:space="0" w:color="auto"/>
            <w:bottom w:val="none" w:sz="0" w:space="0" w:color="auto"/>
            <w:right w:val="none" w:sz="0" w:space="0" w:color="auto"/>
          </w:divBdr>
        </w:div>
        <w:div w:id="1777023681">
          <w:marLeft w:val="0"/>
          <w:marRight w:val="0"/>
          <w:marTop w:val="0"/>
          <w:marBottom w:val="0"/>
          <w:divBdr>
            <w:top w:val="none" w:sz="0" w:space="0" w:color="auto"/>
            <w:left w:val="none" w:sz="0" w:space="0" w:color="auto"/>
            <w:bottom w:val="none" w:sz="0" w:space="0" w:color="auto"/>
            <w:right w:val="none" w:sz="0" w:space="0" w:color="auto"/>
          </w:divBdr>
        </w:div>
        <w:div w:id="286816394">
          <w:marLeft w:val="0"/>
          <w:marRight w:val="0"/>
          <w:marTop w:val="0"/>
          <w:marBottom w:val="0"/>
          <w:divBdr>
            <w:top w:val="none" w:sz="0" w:space="0" w:color="auto"/>
            <w:left w:val="none" w:sz="0" w:space="0" w:color="auto"/>
            <w:bottom w:val="none" w:sz="0" w:space="0" w:color="auto"/>
            <w:right w:val="none" w:sz="0" w:space="0" w:color="auto"/>
          </w:divBdr>
        </w:div>
        <w:div w:id="1759012456">
          <w:marLeft w:val="0"/>
          <w:marRight w:val="0"/>
          <w:marTop w:val="0"/>
          <w:marBottom w:val="0"/>
          <w:divBdr>
            <w:top w:val="none" w:sz="0" w:space="0" w:color="auto"/>
            <w:left w:val="none" w:sz="0" w:space="0" w:color="auto"/>
            <w:bottom w:val="none" w:sz="0" w:space="0" w:color="auto"/>
            <w:right w:val="none" w:sz="0" w:space="0" w:color="auto"/>
          </w:divBdr>
        </w:div>
        <w:div w:id="1553931258">
          <w:marLeft w:val="0"/>
          <w:marRight w:val="0"/>
          <w:marTop w:val="0"/>
          <w:marBottom w:val="0"/>
          <w:divBdr>
            <w:top w:val="none" w:sz="0" w:space="0" w:color="auto"/>
            <w:left w:val="none" w:sz="0" w:space="0" w:color="auto"/>
            <w:bottom w:val="none" w:sz="0" w:space="0" w:color="auto"/>
            <w:right w:val="none" w:sz="0" w:space="0" w:color="auto"/>
          </w:divBdr>
        </w:div>
        <w:div w:id="1538815998">
          <w:marLeft w:val="0"/>
          <w:marRight w:val="0"/>
          <w:marTop w:val="0"/>
          <w:marBottom w:val="0"/>
          <w:divBdr>
            <w:top w:val="none" w:sz="0" w:space="0" w:color="auto"/>
            <w:left w:val="none" w:sz="0" w:space="0" w:color="auto"/>
            <w:bottom w:val="none" w:sz="0" w:space="0" w:color="auto"/>
            <w:right w:val="none" w:sz="0" w:space="0" w:color="auto"/>
          </w:divBdr>
        </w:div>
        <w:div w:id="159203280">
          <w:marLeft w:val="0"/>
          <w:marRight w:val="0"/>
          <w:marTop w:val="0"/>
          <w:marBottom w:val="0"/>
          <w:divBdr>
            <w:top w:val="none" w:sz="0" w:space="0" w:color="auto"/>
            <w:left w:val="none" w:sz="0" w:space="0" w:color="auto"/>
            <w:bottom w:val="none" w:sz="0" w:space="0" w:color="auto"/>
            <w:right w:val="none" w:sz="0" w:space="0" w:color="auto"/>
          </w:divBdr>
        </w:div>
        <w:div w:id="500630444">
          <w:marLeft w:val="0"/>
          <w:marRight w:val="0"/>
          <w:marTop w:val="0"/>
          <w:marBottom w:val="0"/>
          <w:divBdr>
            <w:top w:val="none" w:sz="0" w:space="0" w:color="auto"/>
            <w:left w:val="none" w:sz="0" w:space="0" w:color="auto"/>
            <w:bottom w:val="none" w:sz="0" w:space="0" w:color="auto"/>
            <w:right w:val="none" w:sz="0" w:space="0" w:color="auto"/>
          </w:divBdr>
        </w:div>
      </w:divsChild>
    </w:div>
    <w:div w:id="213440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sv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www.osf.io"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f.io/x7gcq/" TargetMode="External"/><Relationship Id="rId24" Type="http://schemas.openxmlformats.org/officeDocument/2006/relationships/hyperlink" Target="https://doi.org/10.31234/osf.io/n2a9x"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osf.io" TargetMode="External"/><Relationship Id="rId28" Type="http://schemas.openxmlformats.org/officeDocument/2006/relationships/theme" Target="theme/theme1.xml"/><Relationship Id="rId10" Type="http://schemas.openxmlformats.org/officeDocument/2006/relationships/hyperlink" Target="https://osf.io/x7gcq/"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pennington@aston.ac.uk" TargetMode="External"/><Relationship Id="rId14" Type="http://schemas.openxmlformats.org/officeDocument/2006/relationships/image" Target="media/image1.jpeg"/><Relationship Id="rId22" Type="http://schemas.openxmlformats.org/officeDocument/2006/relationships/image" Target="media/image9.sv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nningc\Documents\Research\Alcohol%20&amp;%20Eating%20Research\Pennington-Jones%20Collabs\Pennington-Jones%20Methodological%20Rigour%20Commentary\Revision%201\Manuscript_Figu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v>Yes</c:v>
          </c:tx>
          <c:spPr>
            <a:solidFill>
              <a:schemeClr val="dk1">
                <a:tint val="88500"/>
              </a:schemeClr>
            </a:solidFill>
            <a:ln>
              <a:noFill/>
            </a:ln>
            <a:effectLst/>
          </c:spPr>
          <c:invertIfNegative val="0"/>
          <c:dLbls>
            <c:dLbl>
              <c:idx val="0"/>
              <c:layout>
                <c:manualLayout>
                  <c:x val="2.2222222222222223E-2"/>
                  <c:y val="8.42902140117185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AB-4BD8-9229-08BF98E85E1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6"/>
              <c:pt idx="0">
                <c:v>Study preregisteration</c:v>
              </c:pt>
              <c:pt idx="1">
                <c:v>Reliability Estimation</c:v>
              </c:pt>
              <c:pt idx="2">
                <c:v>Disambiguating indices of AB</c:v>
              </c:pt>
              <c:pt idx="3">
                <c:v>Validation Procedure</c:v>
              </c:pt>
              <c:pt idx="4">
                <c:v>Transparent Stimulus Selection</c:v>
              </c:pt>
              <c:pt idx="5">
                <c:v>Matched Control Stimuli</c:v>
              </c:pt>
            </c:strLit>
          </c:cat>
          <c:val>
            <c:numRef>
              <c:f>Sheet1!$F$9:$F$14</c:f>
              <c:numCache>
                <c:formatCode>General</c:formatCode>
                <c:ptCount val="6"/>
                <c:pt idx="0">
                  <c:v>1.56</c:v>
                </c:pt>
                <c:pt idx="1">
                  <c:v>22.06</c:v>
                </c:pt>
                <c:pt idx="2">
                  <c:v>27.94</c:v>
                </c:pt>
                <c:pt idx="3">
                  <c:v>19.12</c:v>
                </c:pt>
                <c:pt idx="4">
                  <c:v>38.24</c:v>
                </c:pt>
                <c:pt idx="5">
                  <c:v>52.94</c:v>
                </c:pt>
              </c:numCache>
            </c:numRef>
          </c:val>
          <c:extLst>
            <c:ext xmlns:c16="http://schemas.microsoft.com/office/drawing/2014/chart" uri="{C3380CC4-5D6E-409C-BE32-E72D297353CC}">
              <c16:uniqueId val="{00000001-0DAB-4BD8-9229-08BF98E85E1E}"/>
            </c:ext>
          </c:extLst>
        </c:ser>
        <c:ser>
          <c:idx val="1"/>
          <c:order val="1"/>
          <c:tx>
            <c:v>No/Unknown</c:v>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6"/>
              <c:pt idx="0">
                <c:v>Study preregisteration</c:v>
              </c:pt>
              <c:pt idx="1">
                <c:v>Reliability Estimation</c:v>
              </c:pt>
              <c:pt idx="2">
                <c:v>Disambiguating indices of AB</c:v>
              </c:pt>
              <c:pt idx="3">
                <c:v>Validation Procedure</c:v>
              </c:pt>
              <c:pt idx="4">
                <c:v>Transparent Stimulus Selection</c:v>
              </c:pt>
              <c:pt idx="5">
                <c:v>Matched Control Stimuli</c:v>
              </c:pt>
            </c:strLit>
          </c:cat>
          <c:val>
            <c:numRef>
              <c:f>Sheet1!$G$9:$G$14</c:f>
              <c:numCache>
                <c:formatCode>General</c:formatCode>
                <c:ptCount val="6"/>
                <c:pt idx="0">
                  <c:v>98.44</c:v>
                </c:pt>
                <c:pt idx="1">
                  <c:v>77.94</c:v>
                </c:pt>
                <c:pt idx="2">
                  <c:v>72.06</c:v>
                </c:pt>
                <c:pt idx="3">
                  <c:v>80.88</c:v>
                </c:pt>
                <c:pt idx="4">
                  <c:v>61.76</c:v>
                </c:pt>
                <c:pt idx="5">
                  <c:v>47.06</c:v>
                </c:pt>
              </c:numCache>
            </c:numRef>
          </c:val>
          <c:extLst>
            <c:ext xmlns:c16="http://schemas.microsoft.com/office/drawing/2014/chart" uri="{C3380CC4-5D6E-409C-BE32-E72D297353CC}">
              <c16:uniqueId val="{00000002-0DAB-4BD8-9229-08BF98E85E1E}"/>
            </c:ext>
          </c:extLst>
        </c:ser>
        <c:dLbls>
          <c:showLegendKey val="0"/>
          <c:showVal val="1"/>
          <c:showCatName val="0"/>
          <c:showSerName val="0"/>
          <c:showPercent val="0"/>
          <c:showBubbleSize val="0"/>
        </c:dLbls>
        <c:gapWidth val="79"/>
        <c:overlap val="100"/>
        <c:axId val="519591352"/>
        <c:axId val="519592136"/>
      </c:barChart>
      <c:catAx>
        <c:axId val="51959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en-US"/>
          </a:p>
        </c:txPr>
        <c:crossAx val="519592136"/>
        <c:crosses val="autoZero"/>
        <c:auto val="1"/>
        <c:lblAlgn val="ctr"/>
        <c:lblOffset val="100"/>
        <c:noMultiLvlLbl val="0"/>
      </c:catAx>
      <c:valAx>
        <c:axId val="519592136"/>
        <c:scaling>
          <c:orientation val="minMax"/>
        </c:scaling>
        <c:delete val="1"/>
        <c:axPos val="b"/>
        <c:numFmt formatCode="General" sourceLinked="1"/>
        <c:majorTickMark val="none"/>
        <c:minorTickMark val="none"/>
        <c:tickLblPos val="nextTo"/>
        <c:crossAx val="519591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G1sR9suzpLu05E6e/O9+syaxCA==">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</go:docsCustomData>
</go:gDocsCustomXmlDataStorage>
</file>

<file path=customXml/itemProps1.xml><?xml version="1.0" encoding="utf-8"?>
<ds:datastoreItem xmlns:ds="http://schemas.openxmlformats.org/officeDocument/2006/customXml" ds:itemID="{A36018A7-0A96-4866-B666-A03A2E3D70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69294</Words>
  <Characters>394981</Characters>
  <Application>Microsoft Office Word</Application>
  <DocSecurity>0</DocSecurity>
  <Lines>3291</Lines>
  <Paragraphs>926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463349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Charlotte</dc:creator>
  <cp:lastModifiedBy>Pennington, Charlotte</cp:lastModifiedBy>
  <cp:revision>5</cp:revision>
  <dcterms:created xsi:type="dcterms:W3CDTF">2021-04-20T18:53:00Z</dcterms:created>
  <dcterms:modified xsi:type="dcterms:W3CDTF">2021-05-13T09:35:00Z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1a7d2ddd-767c-312d-a8f2-d7d4193dea97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