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5821" w14:textId="14ED17E4" w:rsidR="007C27D2" w:rsidRPr="00691A93" w:rsidRDefault="007C27D2" w:rsidP="007C27D2">
      <w:pPr>
        <w:rPr>
          <w:b/>
          <w:bCs/>
          <w:sz w:val="36"/>
        </w:rPr>
      </w:pPr>
      <w:bookmarkStart w:id="0" w:name="_Toc81317161"/>
      <w:r w:rsidRPr="00691A93">
        <w:rPr>
          <w:b/>
          <w:bCs/>
        </w:rPr>
        <w:t>Supplementary material</w:t>
      </w:r>
    </w:p>
    <w:p w14:paraId="3CFE71B9" w14:textId="0B4E5CA2" w:rsidR="00691A93" w:rsidRPr="00691A93" w:rsidRDefault="00691A93" w:rsidP="00691A93">
      <w:pPr>
        <w:spacing w:after="200" w:line="480" w:lineRule="auto"/>
        <w:contextualSpacing/>
        <w:jc w:val="center"/>
        <w:rPr>
          <w:rFonts w:ascii="Times New Roman" w:hAnsi="Times New Roman" w:cs="Times New Roman"/>
          <w:b/>
          <w:bCs/>
          <w:color w:val="000000" w:themeColor="text1"/>
          <w:sz w:val="36"/>
          <w:szCs w:val="36"/>
        </w:rPr>
      </w:pPr>
      <w:r w:rsidRPr="00691A93">
        <w:rPr>
          <w:rFonts w:ascii="Times New Roman" w:hAnsi="Times New Roman" w:cs="Times New Roman"/>
          <w:b/>
          <w:bCs/>
          <w:color w:val="000000" w:themeColor="text1"/>
          <w:sz w:val="36"/>
          <w:szCs w:val="36"/>
        </w:rPr>
        <w:t xml:space="preserve">Variable Operation of a Renewable Energy-Driven Reverse Osmosis System Using Model Predictive Control and Variable Recovery: Towards Large-Scale Implementation </w:t>
      </w:r>
    </w:p>
    <w:p w14:paraId="58447A7B" w14:textId="561BB366" w:rsidR="00691A93" w:rsidRDefault="00691A93" w:rsidP="00691A93">
      <w:pPr>
        <w:spacing w:after="200" w:line="480" w:lineRule="auto"/>
        <w:contextualSpacing/>
        <w:jc w:val="center"/>
        <w:rPr>
          <w:rFonts w:ascii="Times New Roman" w:hAnsi="Times New Roman" w:cs="Times New Roman"/>
          <w:b/>
          <w:bCs/>
          <w:color w:val="000000" w:themeColor="text1"/>
          <w:sz w:val="28"/>
          <w:szCs w:val="28"/>
        </w:rPr>
      </w:pPr>
    </w:p>
    <w:p w14:paraId="00D9F39D" w14:textId="33E58E47" w:rsidR="00691A93" w:rsidRDefault="00691A93" w:rsidP="00691A93">
      <w:pPr>
        <w:spacing w:after="200" w:line="480" w:lineRule="auto"/>
        <w:contextualSpacing/>
        <w:jc w:val="center"/>
        <w:rPr>
          <w:rFonts w:ascii="Times New Roman" w:hAnsi="Times New Roman" w:cs="Times New Roman"/>
          <w:b/>
          <w:bCs/>
          <w:color w:val="000000" w:themeColor="text1"/>
          <w:sz w:val="28"/>
          <w:szCs w:val="28"/>
        </w:rPr>
      </w:pPr>
    </w:p>
    <w:p w14:paraId="08901A74" w14:textId="423E6A7E" w:rsidR="00691A93" w:rsidRPr="00691A93" w:rsidRDefault="00691A93" w:rsidP="00691A93">
      <w:pPr>
        <w:spacing w:after="200" w:line="480" w:lineRule="auto"/>
        <w:contextualSpacing/>
        <w:jc w:val="center"/>
        <w:rPr>
          <w:rFonts w:ascii="Times New Roman" w:hAnsi="Times New Roman" w:cs="Times New Roman"/>
          <w:b/>
          <w:bCs/>
          <w:color w:val="000000" w:themeColor="text1"/>
          <w:sz w:val="32"/>
          <w:szCs w:val="32"/>
        </w:rPr>
      </w:pPr>
      <w:r w:rsidRPr="00691A93">
        <w:rPr>
          <w:rFonts w:ascii="Times New Roman" w:hAnsi="Times New Roman" w:cs="Times New Roman"/>
          <w:b/>
          <w:bCs/>
          <w:color w:val="000000" w:themeColor="text1"/>
          <w:sz w:val="32"/>
          <w:szCs w:val="32"/>
        </w:rPr>
        <w:t>Desalination</w:t>
      </w:r>
    </w:p>
    <w:p w14:paraId="7058351E" w14:textId="77777777" w:rsidR="00691A93" w:rsidRDefault="00691A93" w:rsidP="00691A93">
      <w:pPr>
        <w:spacing w:after="200" w:line="480" w:lineRule="auto"/>
        <w:contextualSpacing/>
        <w:jc w:val="center"/>
        <w:rPr>
          <w:rFonts w:ascii="Times New Roman" w:hAnsi="Times New Roman" w:cs="Times New Roman"/>
          <w:b/>
          <w:bCs/>
          <w:color w:val="000000" w:themeColor="text1"/>
          <w:sz w:val="28"/>
          <w:szCs w:val="28"/>
        </w:rPr>
      </w:pPr>
    </w:p>
    <w:p w14:paraId="3A5D99E4" w14:textId="77777777" w:rsidR="00691A93" w:rsidRPr="00691A93" w:rsidRDefault="00691A93" w:rsidP="001F6A60">
      <w:pPr>
        <w:spacing w:after="200" w:line="480" w:lineRule="auto"/>
        <w:contextualSpacing/>
        <w:jc w:val="both"/>
        <w:rPr>
          <w:rFonts w:ascii="Times New Roman" w:hAnsi="Times New Roman" w:cs="Times New Roman"/>
          <w:b/>
          <w:bCs/>
          <w:color w:val="000000" w:themeColor="text1"/>
          <w:sz w:val="28"/>
          <w:szCs w:val="28"/>
        </w:rPr>
      </w:pPr>
    </w:p>
    <w:p w14:paraId="085D96AF" w14:textId="6F882EED" w:rsidR="00691A93" w:rsidRDefault="00691A93" w:rsidP="001F6A60">
      <w:pPr>
        <w:spacing w:after="200" w:line="480" w:lineRule="auto"/>
        <w:contextualSpacing/>
        <w:jc w:val="both"/>
        <w:rPr>
          <w:rFonts w:ascii="Times New Roman" w:hAnsi="Times New Roman" w:cs="Times New Roman"/>
          <w:vertAlign w:val="superscript"/>
          <w:lang w:val="en-US"/>
        </w:rPr>
      </w:pPr>
      <w:r w:rsidRPr="00691A93">
        <w:rPr>
          <w:rFonts w:ascii="Times New Roman" w:hAnsi="Times New Roman" w:cs="Times New Roman"/>
          <w:lang w:val="en-US"/>
        </w:rPr>
        <w:t xml:space="preserve">Mohamed T. Mito </w:t>
      </w:r>
      <w:r w:rsidRPr="00691A93">
        <w:rPr>
          <w:rFonts w:ascii="Times New Roman" w:hAnsi="Times New Roman" w:cs="Times New Roman"/>
          <w:vertAlign w:val="superscript"/>
          <w:lang w:val="en-US"/>
        </w:rPr>
        <w:t>a, d</w:t>
      </w:r>
      <w:r w:rsidRPr="00691A93">
        <w:rPr>
          <w:rFonts w:ascii="Times New Roman" w:hAnsi="Times New Roman" w:cs="Times New Roman"/>
          <w:lang w:val="en-US"/>
        </w:rPr>
        <w:t xml:space="preserve">, Xianghong </w:t>
      </w:r>
      <w:r w:rsidRPr="00691A93">
        <w:rPr>
          <w:rFonts w:ascii="Times New Roman" w:hAnsi="Times New Roman" w:cs="Times New Roman"/>
          <w:noProof/>
          <w:lang w:val="en-US"/>
        </w:rPr>
        <w:t xml:space="preserve">Ma </w:t>
      </w:r>
      <w:r w:rsidRPr="00691A93">
        <w:rPr>
          <w:rFonts w:ascii="Times New Roman" w:hAnsi="Times New Roman" w:cs="Times New Roman"/>
          <w:noProof/>
          <w:vertAlign w:val="superscript"/>
          <w:lang w:val="en-US"/>
        </w:rPr>
        <w:t>a</w:t>
      </w:r>
      <w:r w:rsidRPr="00691A93">
        <w:rPr>
          <w:rFonts w:ascii="Times New Roman" w:hAnsi="Times New Roman" w:cs="Times New Roman"/>
          <w:lang w:val="en-US"/>
        </w:rPr>
        <w:t xml:space="preserve">, Hanan </w:t>
      </w:r>
      <w:proofErr w:type="spellStart"/>
      <w:r w:rsidRPr="00691A93">
        <w:rPr>
          <w:rFonts w:ascii="Times New Roman" w:hAnsi="Times New Roman" w:cs="Times New Roman"/>
          <w:lang w:val="en-US"/>
        </w:rPr>
        <w:t>Albuflasa</w:t>
      </w:r>
      <w:proofErr w:type="spellEnd"/>
      <w:r w:rsidRPr="00691A93">
        <w:rPr>
          <w:rFonts w:ascii="Times New Roman" w:hAnsi="Times New Roman" w:cs="Times New Roman"/>
          <w:lang w:val="en-US"/>
        </w:rPr>
        <w:t xml:space="preserve"> </w:t>
      </w:r>
      <w:r w:rsidRPr="00691A93">
        <w:rPr>
          <w:rFonts w:ascii="Times New Roman" w:hAnsi="Times New Roman" w:cs="Times New Roman"/>
          <w:vertAlign w:val="superscript"/>
          <w:lang w:val="en-US"/>
        </w:rPr>
        <w:t>b</w:t>
      </w:r>
      <w:r w:rsidRPr="00691A93">
        <w:rPr>
          <w:rFonts w:ascii="Times New Roman" w:hAnsi="Times New Roman" w:cs="Times New Roman"/>
          <w:lang w:val="en-US"/>
        </w:rPr>
        <w:t>, Philip A. Davies *</w:t>
      </w:r>
      <w:r w:rsidRPr="00691A93">
        <w:rPr>
          <w:rFonts w:ascii="Times New Roman" w:hAnsi="Times New Roman" w:cs="Times New Roman"/>
          <w:vertAlign w:val="superscript"/>
          <w:lang w:val="en-US"/>
        </w:rPr>
        <w:t>c</w:t>
      </w:r>
    </w:p>
    <w:p w14:paraId="567D1B0E" w14:textId="77777777" w:rsidR="00691A93" w:rsidRPr="00691A93" w:rsidRDefault="00691A93" w:rsidP="00691A93">
      <w:pPr>
        <w:spacing w:after="200" w:line="480" w:lineRule="auto"/>
        <w:contextualSpacing/>
        <w:jc w:val="both"/>
        <w:rPr>
          <w:rFonts w:ascii="Times New Roman" w:hAnsi="Times New Roman" w:cs="Times New Roman"/>
          <w:lang w:val="en-US"/>
        </w:rPr>
      </w:pPr>
    </w:p>
    <w:p w14:paraId="096A6E33" w14:textId="77777777" w:rsidR="00691A93" w:rsidRPr="00691A93" w:rsidRDefault="00691A93" w:rsidP="00691A93">
      <w:pPr>
        <w:spacing w:after="200" w:line="480" w:lineRule="auto"/>
        <w:contextualSpacing/>
        <w:jc w:val="both"/>
        <w:rPr>
          <w:rFonts w:ascii="Times New Roman" w:hAnsi="Times New Roman" w:cs="Times New Roman"/>
          <w:lang w:val="en-US"/>
        </w:rPr>
      </w:pPr>
      <w:r w:rsidRPr="00691A93">
        <w:rPr>
          <w:rFonts w:ascii="Times New Roman" w:hAnsi="Times New Roman" w:cs="Times New Roman"/>
          <w:vertAlign w:val="superscript"/>
          <w:lang w:val="en-US"/>
        </w:rPr>
        <w:t xml:space="preserve">a </w:t>
      </w:r>
      <w:r w:rsidRPr="00691A93">
        <w:rPr>
          <w:rFonts w:ascii="Times New Roman" w:hAnsi="Times New Roman" w:cs="Times New Roman"/>
          <w:lang w:val="en-US"/>
        </w:rPr>
        <w:t>Sustainable Environment Research Group, School of Engineering and Technology, Aston University, Birmingham B4 7ET, UK.</w:t>
      </w:r>
    </w:p>
    <w:p w14:paraId="53125DF6" w14:textId="77777777" w:rsidR="00691A93" w:rsidRPr="00691A93" w:rsidRDefault="00691A93" w:rsidP="00691A93">
      <w:pPr>
        <w:spacing w:after="200" w:line="480" w:lineRule="auto"/>
        <w:contextualSpacing/>
        <w:jc w:val="both"/>
        <w:rPr>
          <w:rFonts w:ascii="Times New Roman" w:hAnsi="Times New Roman" w:cs="Times New Roman"/>
          <w:lang w:val="en-US"/>
        </w:rPr>
      </w:pPr>
      <w:r w:rsidRPr="00691A93">
        <w:rPr>
          <w:rFonts w:ascii="Times New Roman" w:hAnsi="Times New Roman" w:cs="Times New Roman"/>
          <w:vertAlign w:val="superscript"/>
          <w:lang w:val="en-US"/>
        </w:rPr>
        <w:t xml:space="preserve">b </w:t>
      </w:r>
      <w:r w:rsidRPr="00691A93">
        <w:rPr>
          <w:rFonts w:ascii="Times New Roman" w:hAnsi="Times New Roman" w:cs="Times New Roman"/>
          <w:lang w:val="en-US"/>
        </w:rPr>
        <w:t>Department of Physics, College of Science, University of Bahrain, P O Box 32038, Kingdom of Bahrain.</w:t>
      </w:r>
    </w:p>
    <w:p w14:paraId="02AB927E" w14:textId="77777777" w:rsidR="00691A93" w:rsidRPr="00691A93" w:rsidRDefault="00691A93" w:rsidP="00691A93">
      <w:pPr>
        <w:spacing w:after="200" w:line="480" w:lineRule="auto"/>
        <w:contextualSpacing/>
        <w:jc w:val="both"/>
        <w:rPr>
          <w:rFonts w:ascii="Times New Roman" w:hAnsi="Times New Roman" w:cs="Times New Roman"/>
          <w:lang w:val="en-US"/>
        </w:rPr>
      </w:pPr>
      <w:r w:rsidRPr="00691A93">
        <w:rPr>
          <w:rFonts w:ascii="Times New Roman" w:hAnsi="Times New Roman" w:cs="Times New Roman"/>
          <w:vertAlign w:val="superscript"/>
          <w:lang w:val="en-US"/>
        </w:rPr>
        <w:t xml:space="preserve">c </w:t>
      </w:r>
      <w:r w:rsidRPr="00691A93">
        <w:rPr>
          <w:rFonts w:ascii="Times New Roman" w:hAnsi="Times New Roman" w:cs="Times New Roman"/>
          <w:lang w:val="en-US"/>
        </w:rPr>
        <w:t xml:space="preserve">School of Engineering, University of Birmingham, </w:t>
      </w:r>
      <w:proofErr w:type="spellStart"/>
      <w:r w:rsidRPr="00691A93">
        <w:rPr>
          <w:rFonts w:ascii="Times New Roman" w:hAnsi="Times New Roman" w:cs="Times New Roman"/>
          <w:lang w:val="en-US"/>
        </w:rPr>
        <w:t>Edgbaston</w:t>
      </w:r>
      <w:proofErr w:type="spellEnd"/>
      <w:r w:rsidRPr="00691A93">
        <w:rPr>
          <w:rFonts w:ascii="Times New Roman" w:hAnsi="Times New Roman" w:cs="Times New Roman"/>
          <w:lang w:val="en-US"/>
        </w:rPr>
        <w:t>, Birmingham B15 2TT, UK.</w:t>
      </w:r>
    </w:p>
    <w:p w14:paraId="0B1FA360" w14:textId="3FDC76F9" w:rsidR="00691A93" w:rsidRDefault="00691A93" w:rsidP="00691A93">
      <w:pPr>
        <w:spacing w:line="480" w:lineRule="auto"/>
        <w:jc w:val="both"/>
        <w:rPr>
          <w:rFonts w:ascii="Times New Roman" w:hAnsi="Times New Roman" w:cs="Times New Roman"/>
          <w:lang w:val="en-US"/>
        </w:rPr>
      </w:pPr>
      <w:r w:rsidRPr="00691A93">
        <w:rPr>
          <w:rFonts w:ascii="Times New Roman" w:hAnsi="Times New Roman" w:cs="Times New Roman"/>
          <w:color w:val="000000" w:themeColor="text1"/>
          <w:szCs w:val="24"/>
          <w:vertAlign w:val="superscript"/>
        </w:rPr>
        <w:t xml:space="preserve">d </w:t>
      </w:r>
      <w:r w:rsidRPr="00691A93">
        <w:rPr>
          <w:rFonts w:ascii="Times New Roman" w:hAnsi="Times New Roman" w:cs="Times New Roman"/>
          <w:lang w:val="en-US"/>
        </w:rPr>
        <w:t>Mechanical Engineering Department, College of Engineering and Technology, Arab Academy for Science, Technology and Maritime Transport, Abu-Qir, Alexandria, Egypt.</w:t>
      </w:r>
    </w:p>
    <w:p w14:paraId="07CCF21F" w14:textId="77777777" w:rsidR="00691A93" w:rsidRPr="00691A93" w:rsidRDefault="00691A93" w:rsidP="00691A93">
      <w:pPr>
        <w:spacing w:line="480" w:lineRule="auto"/>
        <w:jc w:val="both"/>
        <w:rPr>
          <w:rFonts w:ascii="Times New Roman" w:hAnsi="Times New Roman" w:cs="Times New Roman"/>
          <w:lang w:val="en-US"/>
        </w:rPr>
      </w:pPr>
    </w:p>
    <w:p w14:paraId="57CB44CF" w14:textId="77777777" w:rsidR="00691A93" w:rsidRPr="00691A93" w:rsidRDefault="00691A93" w:rsidP="00691A93">
      <w:pPr>
        <w:spacing w:line="480" w:lineRule="auto"/>
        <w:jc w:val="both"/>
        <w:rPr>
          <w:rFonts w:ascii="Times New Roman" w:eastAsia="Calibri" w:hAnsi="Times New Roman" w:cs="Times New Roman"/>
          <w:color w:val="0000FF"/>
          <w:u w:val="single"/>
          <w:lang w:val="en-US"/>
        </w:rPr>
      </w:pPr>
      <w:r w:rsidRPr="00691A93">
        <w:rPr>
          <w:rFonts w:ascii="Times New Roman" w:eastAsia="Calibri" w:hAnsi="Times New Roman" w:cs="Times New Roman"/>
          <w:szCs w:val="24"/>
          <w:lang w:val="en-US"/>
        </w:rPr>
        <w:t>*</w:t>
      </w:r>
      <w:proofErr w:type="gramStart"/>
      <w:r w:rsidRPr="00691A93">
        <w:rPr>
          <w:rFonts w:ascii="Times New Roman" w:eastAsia="Calibri" w:hAnsi="Times New Roman" w:cs="Times New Roman"/>
          <w:szCs w:val="24"/>
          <w:lang w:val="en-US"/>
        </w:rPr>
        <w:t>corresponding</w:t>
      </w:r>
      <w:proofErr w:type="gramEnd"/>
      <w:r w:rsidRPr="00691A93">
        <w:rPr>
          <w:rFonts w:ascii="Times New Roman" w:eastAsia="Calibri" w:hAnsi="Times New Roman" w:cs="Times New Roman"/>
          <w:szCs w:val="24"/>
          <w:lang w:val="en-US"/>
        </w:rPr>
        <w:t xml:space="preserve"> author: </w:t>
      </w:r>
      <w:hyperlink r:id="rId8" w:history="1">
        <w:r w:rsidRPr="00691A93">
          <w:rPr>
            <w:rStyle w:val="Hyperlink"/>
            <w:rFonts w:ascii="Times New Roman" w:eastAsia="Calibri" w:hAnsi="Times New Roman" w:cs="Times New Roman"/>
          </w:rPr>
          <w:t>P.A.Davies@bham.ac.uk</w:t>
        </w:r>
      </w:hyperlink>
    </w:p>
    <w:bookmarkEnd w:id="0"/>
    <w:p w14:paraId="6C121B89" w14:textId="40D51466" w:rsidR="006033C9" w:rsidRDefault="00F42E7A" w:rsidP="005A2DB7">
      <w:pPr>
        <w:pStyle w:val="Heading1"/>
      </w:pPr>
      <w:r>
        <w:lastRenderedPageBreak/>
        <w:t>Model validation</w:t>
      </w:r>
    </w:p>
    <w:p w14:paraId="64F30B26" w14:textId="6F13CDDE" w:rsidR="00B47B7E" w:rsidRPr="00210F31" w:rsidRDefault="00B47B7E" w:rsidP="00866FD6">
      <w:pPr>
        <w:spacing w:after="240"/>
        <w:ind w:firstLine="431"/>
        <w:jc w:val="both"/>
      </w:pPr>
      <w:r w:rsidRPr="00210F31">
        <w:t xml:space="preserve">This </w:t>
      </w:r>
      <w:r w:rsidR="001F0C3F">
        <w:t>section</w:t>
      </w:r>
      <w:r w:rsidRPr="00210F31">
        <w:t xml:space="preserve"> describes the model validation using measured data collected from the lab RO system. The model accuracy </w:t>
      </w:r>
      <w:r w:rsidR="00866FD6">
        <w:t>was</w:t>
      </w:r>
      <w:r w:rsidRPr="00210F31">
        <w:t xml:space="preserve"> assessed for predicting the permeate flowrate,</w:t>
      </w:r>
      <w:r w:rsidR="00B23E3F">
        <w:t xml:space="preserve"> brine flowrate,</w:t>
      </w:r>
      <w:r w:rsidRPr="00210F31">
        <w:t xml:space="preserve"> feed pressure, permeate concentration, and power consumption, for defined inputs, i.e., the HPP and </w:t>
      </w:r>
      <w:proofErr w:type="spellStart"/>
      <w:r w:rsidRPr="00210F31">
        <w:t>iSave</w:t>
      </w:r>
      <w:proofErr w:type="spellEnd"/>
      <w:r w:rsidRPr="00210F31">
        <w:t xml:space="preserve"> speed</w:t>
      </w:r>
      <w:r w:rsidR="00C13DE8">
        <w:t>s</w:t>
      </w:r>
      <w:r w:rsidRPr="00210F31">
        <w:t>, and input disturbances. The model steady-state output and dynamic response prediction accuracy are presented as follows:</w:t>
      </w:r>
    </w:p>
    <w:p w14:paraId="44AB1459" w14:textId="639E24F7" w:rsidR="00B47B7E" w:rsidRDefault="00B47B7E" w:rsidP="00E670A5">
      <w:pPr>
        <w:pStyle w:val="Heading2"/>
      </w:pPr>
      <w:r>
        <w:t>Steady-state model validation</w:t>
      </w:r>
    </w:p>
    <w:p w14:paraId="033A61A5" w14:textId="1FAFEFF1" w:rsidR="00B47B7E" w:rsidRPr="00210F31" w:rsidRDefault="00B47B7E" w:rsidP="00866FD6">
      <w:pPr>
        <w:spacing w:after="240"/>
        <w:ind w:firstLine="431"/>
        <w:jc w:val="both"/>
      </w:pPr>
      <w:r w:rsidRPr="00210F31">
        <w:t>The steady-state model outputs were compared to measured data obtained with varying feed concentration (25,000 to 40,000 mg/l) and feed temperature (20 to 30</w:t>
      </w:r>
      <w:r w:rsidRPr="00210F31">
        <w:rPr>
          <w:vertAlign w:val="superscript"/>
        </w:rPr>
        <w:t>o</w:t>
      </w:r>
      <w:r w:rsidRPr="00210F31">
        <w:t>C). The data were recorded and averaged for one minute after the permeate concentration stabilised, thus indicating that the system reached steady state</w:t>
      </w:r>
      <w:r w:rsidRPr="00866FD6">
        <w:t xml:space="preserve">. Details of the measuring instruments and experimental errors </w:t>
      </w:r>
      <w:r w:rsidR="001F0C3F" w:rsidRPr="00866FD6">
        <w:t xml:space="preserve">are </w:t>
      </w:r>
      <w:r w:rsidR="00866FD6" w:rsidRPr="00866FD6">
        <w:t>described</w:t>
      </w:r>
      <w:r w:rsidR="001F0C3F" w:rsidRPr="00866FD6">
        <w:t xml:space="preserve"> in </w:t>
      </w:r>
      <w:r w:rsidR="001F0C3F" w:rsidRPr="00C3774E">
        <w:t>Section S.2</w:t>
      </w:r>
      <w:r w:rsidRPr="00C3774E">
        <w:t>. The dataset</w:t>
      </w:r>
      <w:r w:rsidR="009408D1">
        <w:t xml:space="preserve">, included in </w:t>
      </w:r>
      <w:r w:rsidR="009408D1" w:rsidRPr="00866FD6">
        <w:t xml:space="preserve">supplementary </w:t>
      </w:r>
      <w:r w:rsidR="00C13DE8">
        <w:t>material</w:t>
      </w:r>
      <w:r w:rsidR="009408D1" w:rsidRPr="00866FD6">
        <w:t xml:space="preserve"> </w:t>
      </w:r>
      <w:r w:rsidR="009408D1">
        <w:t>1 -</w:t>
      </w:r>
      <w:r w:rsidR="009408D1" w:rsidRPr="00866FD6">
        <w:t xml:space="preserve"> Appendix </w:t>
      </w:r>
      <w:r w:rsidR="00402D1E">
        <w:t>C</w:t>
      </w:r>
      <w:r w:rsidR="009408D1">
        <w:t>,</w:t>
      </w:r>
      <w:r w:rsidRPr="00866FD6">
        <w:t xml:space="preserve"> was simulated using the RO model at the same inputs and </w:t>
      </w:r>
      <w:r w:rsidR="001C6E61" w:rsidRPr="00866FD6">
        <w:t>disturbances and</w:t>
      </w:r>
      <w:r w:rsidRPr="00866FD6">
        <w:t xml:space="preserve"> compared to the experimental data. </w:t>
      </w:r>
      <w:r w:rsidR="001C6E61" w:rsidRPr="00BE1E89">
        <w:t>A regression analysis showing the correlation between the experimental and simulated data is shown in Fig. S.1.</w:t>
      </w:r>
      <w:r w:rsidR="001C6E61">
        <w:t xml:space="preserve"> </w:t>
      </w:r>
      <w:r w:rsidRPr="00210F31">
        <w:t>The prediction accuracy was assessed using R</w:t>
      </w:r>
      <w:r w:rsidRPr="00210F31">
        <w:rPr>
          <w:vertAlign w:val="superscript"/>
        </w:rPr>
        <w:t>2</w:t>
      </w:r>
      <w:r w:rsidRPr="00210F31">
        <w:t xml:space="preserve"> and RMSE, as summarised in Table </w:t>
      </w:r>
      <w:r w:rsidR="001F0C3F">
        <w:t>S.1</w:t>
      </w:r>
      <w:r w:rsidRPr="00210F31">
        <w:t xml:space="preserve">. </w:t>
      </w:r>
      <w:r w:rsidR="00B23E3F">
        <w:t xml:space="preserve">The </w:t>
      </w:r>
      <w:r w:rsidR="00B23E3F" w:rsidRPr="00EC3AE1">
        <w:t>model showed high accuracy for predicting the permeate flowrate</w:t>
      </w:r>
      <w:r w:rsidR="00B23E3F">
        <w:t>, brine flowrate</w:t>
      </w:r>
      <w:r w:rsidR="00B23E3F" w:rsidRPr="00EC3AE1">
        <w:t>, feed pressure and power presented by a</w:t>
      </w:r>
      <w:r w:rsidR="007E522E">
        <w:t>n</w:t>
      </w:r>
      <w:r w:rsidR="00B23E3F" w:rsidRPr="00EC3AE1">
        <w:t xml:space="preserve"> R</w:t>
      </w:r>
      <w:r w:rsidR="00B23E3F" w:rsidRPr="00B23E3F">
        <w:rPr>
          <w:vertAlign w:val="superscript"/>
        </w:rPr>
        <w:t>2</w:t>
      </w:r>
      <w:r w:rsidR="00B23E3F" w:rsidRPr="00EC3AE1">
        <w:t xml:space="preserve"> of 0.93,</w:t>
      </w:r>
      <w:r w:rsidR="00B23E3F">
        <w:t xml:space="preserve"> 0.97,</w:t>
      </w:r>
      <w:r w:rsidR="00B23E3F" w:rsidRPr="00EC3AE1">
        <w:t xml:space="preserve"> 0.98 and 0.99 and a RMSE of 0.253 m</w:t>
      </w:r>
      <w:r w:rsidR="00B23E3F" w:rsidRPr="00B23E3F">
        <w:rPr>
          <w:vertAlign w:val="superscript"/>
        </w:rPr>
        <w:t>3</w:t>
      </w:r>
      <w:r w:rsidR="00B23E3F" w:rsidRPr="00EC3AE1">
        <w:t>/h,</w:t>
      </w:r>
      <w:r w:rsidR="00B23E3F">
        <w:t xml:space="preserve"> 0.14 </w:t>
      </w:r>
      <w:r w:rsidR="00B23E3F" w:rsidRPr="00EC3AE1">
        <w:t>m</w:t>
      </w:r>
      <w:r w:rsidR="00B23E3F" w:rsidRPr="00B23E3F">
        <w:rPr>
          <w:vertAlign w:val="superscript"/>
        </w:rPr>
        <w:t>3</w:t>
      </w:r>
      <w:r w:rsidR="00B23E3F" w:rsidRPr="00EC3AE1">
        <w:t>/h</w:t>
      </w:r>
      <w:r w:rsidR="00B23E3F">
        <w:t>,</w:t>
      </w:r>
      <w:r w:rsidR="00B23E3F" w:rsidRPr="00EC3AE1">
        <w:t xml:space="preserve"> 1.124 bar and 0.303 kW, respectively.</w:t>
      </w:r>
      <w:r w:rsidRPr="00210F31">
        <w:t xml:space="preserve"> The prediction accuracy for the permeate concentration was more modest compared to other parameters, at a</w:t>
      </w:r>
      <w:r w:rsidR="007E522E">
        <w:t>n</w:t>
      </w:r>
      <w:r w:rsidRPr="00210F31">
        <w:t xml:space="preserve"> R</w:t>
      </w:r>
      <w:r w:rsidRPr="00210F31">
        <w:rPr>
          <w:vertAlign w:val="superscript"/>
        </w:rPr>
        <w:t>2</w:t>
      </w:r>
      <w:r w:rsidRPr="00210F31">
        <w:t xml:space="preserve"> of 0.77 and RMSE of 70.145 mg/l, caused by an overestimation of the permeate concentration at low </w:t>
      </w:r>
      <w:r w:rsidRPr="00C603E9">
        <w:t>flowrates</w:t>
      </w:r>
      <w:r w:rsidR="00C603E9">
        <w:t>,</w:t>
      </w:r>
      <w:r w:rsidRPr="00C603E9">
        <w:t xml:space="preserve"> </w:t>
      </w:r>
      <w:r w:rsidR="001C6E61" w:rsidRPr="00C603E9">
        <w:t xml:space="preserve">as </w:t>
      </w:r>
      <w:r w:rsidR="00953B6C">
        <w:t xml:space="preserve">highlighted </w:t>
      </w:r>
      <w:r w:rsidR="001C6E61" w:rsidRPr="00C603E9">
        <w:t>in Fig. S.1 (e)</w:t>
      </w:r>
      <w:r w:rsidR="00C603E9">
        <w:t xml:space="preserve">. </w:t>
      </w:r>
      <w:r w:rsidR="0041317B">
        <w:t xml:space="preserve">The model accuracy was also checked with ROSA to ensure </w:t>
      </w:r>
      <w:r w:rsidR="00E1620D">
        <w:t>the model validity for predicting the permeate concentration</w:t>
      </w:r>
      <w:r w:rsidR="0041317B">
        <w:t xml:space="preserve">, in which </w:t>
      </w:r>
      <w:r w:rsidR="002E7937">
        <w:t>a</w:t>
      </w:r>
      <w:r w:rsidR="0033443D">
        <w:t xml:space="preserve"> correlation </w:t>
      </w:r>
      <w:r w:rsidR="003D3957">
        <w:t>of</w:t>
      </w:r>
      <w:r w:rsidR="0033443D">
        <w:t xml:space="preserve"> </w:t>
      </w:r>
      <w:r w:rsidR="003D3957">
        <w:t>(</w:t>
      </w:r>
      <w:r w:rsidR="0033443D" w:rsidRPr="00291F4D">
        <w:rPr>
          <w:szCs w:val="24"/>
        </w:rPr>
        <w:t>R</w:t>
      </w:r>
      <w:r w:rsidR="0033443D" w:rsidRPr="00291F4D">
        <w:rPr>
          <w:szCs w:val="24"/>
          <w:vertAlign w:val="superscript"/>
        </w:rPr>
        <w:t>2</w:t>
      </w:r>
      <w:r w:rsidR="0033443D" w:rsidRPr="00291F4D">
        <w:rPr>
          <w:szCs w:val="24"/>
        </w:rPr>
        <w:t xml:space="preserve"> </w:t>
      </w:r>
      <w:r w:rsidR="003D3957">
        <w:rPr>
          <w:szCs w:val="24"/>
        </w:rPr>
        <w:t xml:space="preserve">= </w:t>
      </w:r>
      <w:r w:rsidR="0033443D" w:rsidRPr="00291F4D">
        <w:rPr>
          <w:szCs w:val="24"/>
        </w:rPr>
        <w:t>0.97</w:t>
      </w:r>
      <w:r w:rsidR="003D3957">
        <w:rPr>
          <w:szCs w:val="24"/>
        </w:rPr>
        <w:t>)</w:t>
      </w:r>
      <w:r w:rsidR="002E7937">
        <w:t xml:space="preserve"> between the model outputs and ROSA </w:t>
      </w:r>
      <w:r w:rsidR="002B54F5">
        <w:t xml:space="preserve">was achieved </w:t>
      </w:r>
      <w:r w:rsidR="002E7937">
        <w:rPr>
          <w:szCs w:val="24"/>
        </w:rPr>
        <w:t>for</w:t>
      </w:r>
      <w:r w:rsidR="00C603E9" w:rsidRPr="00291F4D">
        <w:rPr>
          <w:szCs w:val="24"/>
        </w:rPr>
        <w:t xml:space="preserve"> the same inputs and disturbances</w:t>
      </w:r>
      <w:r w:rsidR="002B54F5">
        <w:rPr>
          <w:szCs w:val="24"/>
        </w:rPr>
        <w:t>.</w:t>
      </w:r>
    </w:p>
    <w:p w14:paraId="71C09669" w14:textId="7A469113" w:rsidR="00B47B7E" w:rsidRDefault="00B47B7E" w:rsidP="00EF50ED">
      <w:pPr>
        <w:spacing w:after="240"/>
        <w:jc w:val="both"/>
      </w:pPr>
      <w:r w:rsidRPr="00210F31">
        <w:t xml:space="preserve">Fig. </w:t>
      </w:r>
      <w:r w:rsidR="00EF50ED">
        <w:t>S.</w:t>
      </w:r>
      <w:r w:rsidR="001C6E61">
        <w:t>2</w:t>
      </w:r>
      <w:r w:rsidRPr="00210F31">
        <w:t xml:space="preserve"> compares the measured and simulated data of the feed pressure and power consumption for a specific permeate flowrate. The error between the measured and simulated feed pressure and power consumption remained below </w:t>
      </w:r>
      <w:r w:rsidRPr="00210F31">
        <w:rPr>
          <w:rFonts w:cstheme="minorHAnsi"/>
        </w:rPr>
        <w:t>±</w:t>
      </w:r>
      <w:r w:rsidRPr="00210F31">
        <w:t xml:space="preserve">2.5% and </w:t>
      </w:r>
      <w:r w:rsidRPr="00210F31">
        <w:rPr>
          <w:rFonts w:cstheme="minorHAnsi"/>
        </w:rPr>
        <w:t>±</w:t>
      </w:r>
      <w:r w:rsidRPr="00210F31">
        <w:t>4.7%, respectively. The estimated experimental error for the feed pressure and power consumption based on the accuracy of measuring instruments were 0.25% and 0.5%, respectively.</w:t>
      </w:r>
    </w:p>
    <w:p w14:paraId="2A4FB316" w14:textId="4E960D23" w:rsidR="001C6E61" w:rsidRDefault="001C6E61" w:rsidP="00EF50ED">
      <w:pPr>
        <w:spacing w:after="240"/>
        <w:jc w:val="both"/>
      </w:pPr>
    </w:p>
    <w:tbl>
      <w:tblPr>
        <w:tblStyle w:val="TableGrid"/>
        <w:tblW w:w="92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615"/>
      </w:tblGrid>
      <w:tr w:rsidR="001C6E61" w14:paraId="55CFF1BF" w14:textId="77777777" w:rsidTr="001C6E61">
        <w:trPr>
          <w:trHeight w:val="3628"/>
          <w:jc w:val="center"/>
        </w:trPr>
        <w:tc>
          <w:tcPr>
            <w:tcW w:w="4614" w:type="dxa"/>
            <w:vAlign w:val="center"/>
          </w:tcPr>
          <w:p w14:paraId="0EA0E8A2" w14:textId="77777777" w:rsidR="001C6E61" w:rsidRDefault="001C6E61" w:rsidP="00291F4D">
            <w:pPr>
              <w:pStyle w:val="NoSpacing"/>
              <w:spacing w:line="276" w:lineRule="auto"/>
              <w:ind w:firstLine="0"/>
              <w:jc w:val="center"/>
              <w:rPr>
                <w:noProof/>
              </w:rPr>
            </w:pPr>
            <w:r>
              <w:rPr>
                <w:noProof/>
                <w:lang w:eastAsia="en-GB"/>
              </w:rPr>
              <w:lastRenderedPageBreak/>
              <w:drawing>
                <wp:inline distT="0" distB="0" distL="0" distR="0" wp14:anchorId="335791C5" wp14:editId="417FFCBF">
                  <wp:extent cx="2675020" cy="1872000"/>
                  <wp:effectExtent l="0" t="0" r="0" b="0"/>
                  <wp:docPr id="209" name="Picture 209"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descr="Chart, scatte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5020" cy="1872000"/>
                          </a:xfrm>
                          <a:prstGeom prst="rect">
                            <a:avLst/>
                          </a:prstGeom>
                          <a:noFill/>
                        </pic:spPr>
                      </pic:pic>
                    </a:graphicData>
                  </a:graphic>
                </wp:inline>
              </w:drawing>
            </w:r>
          </w:p>
          <w:p w14:paraId="4E093A62" w14:textId="77777777" w:rsidR="001C6E61" w:rsidRDefault="001C6E61" w:rsidP="00291F4D">
            <w:pPr>
              <w:pStyle w:val="NoSpacing"/>
              <w:spacing w:line="276" w:lineRule="auto"/>
              <w:ind w:firstLine="0"/>
              <w:jc w:val="center"/>
            </w:pPr>
            <w:r>
              <w:t>(a)</w:t>
            </w:r>
          </w:p>
        </w:tc>
        <w:tc>
          <w:tcPr>
            <w:tcW w:w="4615" w:type="dxa"/>
            <w:vAlign w:val="center"/>
          </w:tcPr>
          <w:p w14:paraId="5311AFE5" w14:textId="77777777" w:rsidR="001C6E61" w:rsidRDefault="001C6E61" w:rsidP="00291F4D">
            <w:pPr>
              <w:pStyle w:val="NoSpacing"/>
              <w:spacing w:line="276" w:lineRule="auto"/>
              <w:ind w:firstLine="0"/>
              <w:jc w:val="center"/>
              <w:rPr>
                <w:noProof/>
              </w:rPr>
            </w:pPr>
            <w:r>
              <w:rPr>
                <w:noProof/>
                <w:lang w:eastAsia="en-GB"/>
              </w:rPr>
              <w:drawing>
                <wp:inline distT="0" distB="0" distL="0" distR="0" wp14:anchorId="660FFE7B" wp14:editId="0EA29F63">
                  <wp:extent cx="2677400" cy="1872000"/>
                  <wp:effectExtent l="0" t="0" r="8890" b="0"/>
                  <wp:docPr id="53" name="Picture 5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Chart, scatter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7400" cy="1872000"/>
                          </a:xfrm>
                          <a:prstGeom prst="rect">
                            <a:avLst/>
                          </a:prstGeom>
                          <a:noFill/>
                        </pic:spPr>
                      </pic:pic>
                    </a:graphicData>
                  </a:graphic>
                </wp:inline>
              </w:drawing>
            </w:r>
          </w:p>
          <w:p w14:paraId="6895CC6A" w14:textId="77777777" w:rsidR="001C6E61" w:rsidRDefault="001C6E61" w:rsidP="00291F4D">
            <w:pPr>
              <w:pStyle w:val="NoSpacing"/>
              <w:spacing w:line="276" w:lineRule="auto"/>
              <w:ind w:firstLine="0"/>
              <w:jc w:val="center"/>
            </w:pPr>
            <w:r>
              <w:t>(b)</w:t>
            </w:r>
          </w:p>
        </w:tc>
      </w:tr>
      <w:tr w:rsidR="001C6E61" w14:paraId="769134AE" w14:textId="77777777" w:rsidTr="001C6E61">
        <w:trPr>
          <w:trHeight w:val="3628"/>
          <w:jc w:val="center"/>
        </w:trPr>
        <w:tc>
          <w:tcPr>
            <w:tcW w:w="4614" w:type="dxa"/>
            <w:vAlign w:val="center"/>
          </w:tcPr>
          <w:p w14:paraId="257A142A" w14:textId="77777777" w:rsidR="001C6E61" w:rsidRDefault="001C6E61" w:rsidP="00291F4D">
            <w:pPr>
              <w:pStyle w:val="NoSpacing"/>
              <w:spacing w:line="276" w:lineRule="auto"/>
              <w:ind w:firstLine="0"/>
              <w:jc w:val="center"/>
              <w:rPr>
                <w:noProof/>
              </w:rPr>
            </w:pPr>
            <w:r>
              <w:rPr>
                <w:noProof/>
                <w:lang w:eastAsia="en-GB"/>
              </w:rPr>
              <w:drawing>
                <wp:inline distT="0" distB="0" distL="0" distR="0" wp14:anchorId="0FC93F42" wp14:editId="368C737C">
                  <wp:extent cx="2668326" cy="1872000"/>
                  <wp:effectExtent l="0" t="0" r="0" b="0"/>
                  <wp:docPr id="207" name="Picture 207"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207" descr="Chart, scatter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8326" cy="1872000"/>
                          </a:xfrm>
                          <a:prstGeom prst="rect">
                            <a:avLst/>
                          </a:prstGeom>
                          <a:noFill/>
                        </pic:spPr>
                      </pic:pic>
                    </a:graphicData>
                  </a:graphic>
                </wp:inline>
              </w:drawing>
            </w:r>
          </w:p>
          <w:p w14:paraId="576458B0" w14:textId="77777777" w:rsidR="001C6E61" w:rsidRDefault="001C6E61" w:rsidP="00291F4D">
            <w:pPr>
              <w:pStyle w:val="NoSpacing"/>
              <w:spacing w:line="276" w:lineRule="auto"/>
              <w:ind w:firstLine="0"/>
              <w:jc w:val="center"/>
            </w:pPr>
            <w:r>
              <w:t>(c)</w:t>
            </w:r>
          </w:p>
        </w:tc>
        <w:tc>
          <w:tcPr>
            <w:tcW w:w="4615" w:type="dxa"/>
            <w:vAlign w:val="center"/>
          </w:tcPr>
          <w:p w14:paraId="3FAB3214" w14:textId="77777777" w:rsidR="001C6E61" w:rsidRDefault="001C6E61" w:rsidP="00291F4D">
            <w:pPr>
              <w:pStyle w:val="NoSpacing"/>
              <w:spacing w:line="276" w:lineRule="auto"/>
              <w:ind w:firstLine="0"/>
              <w:jc w:val="center"/>
              <w:rPr>
                <w:noProof/>
              </w:rPr>
            </w:pPr>
            <w:r>
              <w:rPr>
                <w:noProof/>
                <w:lang w:eastAsia="en-GB"/>
              </w:rPr>
              <w:drawing>
                <wp:inline distT="0" distB="0" distL="0" distR="0" wp14:anchorId="453731D7" wp14:editId="717FDE1E">
                  <wp:extent cx="2668326" cy="1872000"/>
                  <wp:effectExtent l="0" t="0" r="0" b="0"/>
                  <wp:docPr id="208" name="Picture 208"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descr="Chart, scatter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8326" cy="1872000"/>
                          </a:xfrm>
                          <a:prstGeom prst="rect">
                            <a:avLst/>
                          </a:prstGeom>
                          <a:noFill/>
                        </pic:spPr>
                      </pic:pic>
                    </a:graphicData>
                  </a:graphic>
                </wp:inline>
              </w:drawing>
            </w:r>
          </w:p>
          <w:p w14:paraId="25ACF073" w14:textId="77777777" w:rsidR="001C6E61" w:rsidRDefault="001C6E61" w:rsidP="00291F4D">
            <w:pPr>
              <w:pStyle w:val="NoSpacing"/>
              <w:spacing w:line="276" w:lineRule="auto"/>
              <w:ind w:firstLine="0"/>
              <w:jc w:val="center"/>
            </w:pPr>
            <w:r>
              <w:t>(d)</w:t>
            </w:r>
          </w:p>
        </w:tc>
      </w:tr>
      <w:tr w:rsidR="001C6E61" w14:paraId="054239DD" w14:textId="77777777" w:rsidTr="001C6E61">
        <w:trPr>
          <w:trHeight w:val="3628"/>
          <w:jc w:val="center"/>
        </w:trPr>
        <w:tc>
          <w:tcPr>
            <w:tcW w:w="9229" w:type="dxa"/>
            <w:gridSpan w:val="2"/>
            <w:vAlign w:val="center"/>
          </w:tcPr>
          <w:p w14:paraId="3B9EED4C" w14:textId="77777777" w:rsidR="001C6E61" w:rsidRDefault="001C6E61" w:rsidP="00291F4D">
            <w:pPr>
              <w:pStyle w:val="NoSpacing"/>
              <w:spacing w:line="276" w:lineRule="auto"/>
              <w:ind w:firstLine="0"/>
              <w:jc w:val="center"/>
              <w:rPr>
                <w:noProof/>
              </w:rPr>
            </w:pPr>
            <w:r>
              <w:rPr>
                <w:noProof/>
                <w:lang w:eastAsia="en-GB"/>
              </w:rPr>
              <w:drawing>
                <wp:inline distT="0" distB="0" distL="0" distR="0" wp14:anchorId="51791D02" wp14:editId="2E5AB629">
                  <wp:extent cx="2726468" cy="1908000"/>
                  <wp:effectExtent l="0" t="0" r="0" b="0"/>
                  <wp:docPr id="210" name="Picture 210"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210" descr="Chart, scatter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6468" cy="1908000"/>
                          </a:xfrm>
                          <a:prstGeom prst="rect">
                            <a:avLst/>
                          </a:prstGeom>
                          <a:noFill/>
                        </pic:spPr>
                      </pic:pic>
                    </a:graphicData>
                  </a:graphic>
                </wp:inline>
              </w:drawing>
            </w:r>
          </w:p>
          <w:p w14:paraId="5B0260A3" w14:textId="77777777" w:rsidR="001C6E61" w:rsidRDefault="001C6E61" w:rsidP="00291F4D">
            <w:pPr>
              <w:pStyle w:val="NoSpacing"/>
              <w:spacing w:line="276" w:lineRule="auto"/>
              <w:ind w:firstLine="0"/>
              <w:jc w:val="center"/>
              <w:rPr>
                <w:noProof/>
              </w:rPr>
            </w:pPr>
            <w:r>
              <w:rPr>
                <w:noProof/>
              </w:rPr>
              <w:t>(e)</w:t>
            </w:r>
          </w:p>
        </w:tc>
      </w:tr>
      <w:tr w:rsidR="001C6E61" w:rsidRPr="00E23270" w14:paraId="56165F6C" w14:textId="77777777" w:rsidTr="001C6E61">
        <w:trPr>
          <w:trHeight w:val="567"/>
          <w:jc w:val="center"/>
        </w:trPr>
        <w:tc>
          <w:tcPr>
            <w:tcW w:w="9229" w:type="dxa"/>
            <w:gridSpan w:val="2"/>
            <w:vAlign w:val="center"/>
          </w:tcPr>
          <w:p w14:paraId="58B2954C" w14:textId="20A3E972" w:rsidR="001C6E61" w:rsidRPr="00E23270" w:rsidRDefault="001C6E61" w:rsidP="00291F4D">
            <w:pPr>
              <w:pStyle w:val="NoSpacing"/>
              <w:spacing w:line="276" w:lineRule="auto"/>
              <w:ind w:firstLine="0"/>
              <w:jc w:val="center"/>
            </w:pPr>
            <w:bookmarkStart w:id="1" w:name="_Toc92801280"/>
            <w:r w:rsidRPr="00E23270">
              <w:rPr>
                <w:b/>
                <w:bCs/>
              </w:rPr>
              <w:t>Fig.</w:t>
            </w:r>
            <w:r>
              <w:rPr>
                <w:b/>
                <w:bCs/>
              </w:rPr>
              <w:t xml:space="preserve"> S.1</w:t>
            </w:r>
            <w:r w:rsidRPr="00E23270">
              <w:rPr>
                <w:b/>
                <w:bCs/>
              </w:rPr>
              <w:t>.</w:t>
            </w:r>
            <w:r w:rsidRPr="00E23270">
              <w:t xml:space="preserve"> </w:t>
            </w:r>
            <w:r w:rsidRPr="00E23270">
              <w:rPr>
                <w:noProof/>
                <w:szCs w:val="18"/>
              </w:rPr>
              <w:t xml:space="preserve">Regression analysis </w:t>
            </w:r>
            <w:r>
              <w:rPr>
                <w:noProof/>
                <w:szCs w:val="18"/>
              </w:rPr>
              <w:t>showing</w:t>
            </w:r>
            <w:r w:rsidRPr="00E23270">
              <w:rPr>
                <w:noProof/>
                <w:szCs w:val="18"/>
              </w:rPr>
              <w:t xml:space="preserve"> the correlation between the experimental and simulated data for the a) permeate flowrate, </w:t>
            </w:r>
            <w:r>
              <w:rPr>
                <w:noProof/>
                <w:szCs w:val="18"/>
              </w:rPr>
              <w:t>b) brine flowrate, c</w:t>
            </w:r>
            <w:r w:rsidRPr="00E23270">
              <w:rPr>
                <w:noProof/>
                <w:szCs w:val="18"/>
              </w:rPr>
              <w:t xml:space="preserve">) feed pressure, </w:t>
            </w:r>
            <w:r>
              <w:rPr>
                <w:noProof/>
                <w:szCs w:val="18"/>
              </w:rPr>
              <w:t>d</w:t>
            </w:r>
            <w:r w:rsidRPr="00E23270">
              <w:rPr>
                <w:noProof/>
                <w:szCs w:val="18"/>
              </w:rPr>
              <w:t xml:space="preserve">) </w:t>
            </w:r>
            <w:r>
              <w:rPr>
                <w:noProof/>
                <w:szCs w:val="18"/>
              </w:rPr>
              <w:t>power consumption</w:t>
            </w:r>
            <w:r w:rsidRPr="00E23270">
              <w:rPr>
                <w:noProof/>
                <w:szCs w:val="18"/>
              </w:rPr>
              <w:t xml:space="preserve"> and </w:t>
            </w:r>
            <w:r>
              <w:rPr>
                <w:noProof/>
                <w:szCs w:val="18"/>
              </w:rPr>
              <w:t>e</w:t>
            </w:r>
            <w:r w:rsidRPr="00E23270">
              <w:rPr>
                <w:noProof/>
                <w:szCs w:val="18"/>
              </w:rPr>
              <w:t xml:space="preserve">) </w:t>
            </w:r>
            <w:r>
              <w:rPr>
                <w:noProof/>
                <w:szCs w:val="18"/>
              </w:rPr>
              <w:t>permeate concentration</w:t>
            </w:r>
            <w:r w:rsidRPr="00E23270">
              <w:rPr>
                <w:noProof/>
                <w:szCs w:val="18"/>
              </w:rPr>
              <w:t>.</w:t>
            </w:r>
            <w:bookmarkEnd w:id="1"/>
          </w:p>
        </w:tc>
      </w:tr>
    </w:tbl>
    <w:p w14:paraId="0021B766" w14:textId="6744927F" w:rsidR="001C6E61" w:rsidRDefault="001C6E61" w:rsidP="00B47B7E">
      <w:pPr>
        <w:spacing w:after="240"/>
        <w:jc w:val="both"/>
      </w:pPr>
    </w:p>
    <w:p w14:paraId="4CB4F7BD" w14:textId="5590F330" w:rsidR="00B23E3F" w:rsidRDefault="00B23E3F" w:rsidP="00B47B7E">
      <w:pPr>
        <w:spacing w:after="240"/>
        <w:jc w:val="both"/>
      </w:pPr>
    </w:p>
    <w:p w14:paraId="34CE56FF" w14:textId="6AEC5751" w:rsidR="00B23E3F" w:rsidRDefault="00B23E3F" w:rsidP="00B47B7E">
      <w:pPr>
        <w:spacing w:after="240"/>
        <w:jc w:val="both"/>
      </w:pPr>
    </w:p>
    <w:tbl>
      <w:tblPr>
        <w:tblStyle w:val="TableGrid"/>
        <w:tblW w:w="9229"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36"/>
        <w:gridCol w:w="1587"/>
        <w:gridCol w:w="1587"/>
        <w:gridCol w:w="1531"/>
        <w:gridCol w:w="1531"/>
        <w:gridCol w:w="1644"/>
        <w:gridCol w:w="13"/>
      </w:tblGrid>
      <w:tr w:rsidR="00B23E3F" w:rsidRPr="00EC1D0B" w14:paraId="13D121EA" w14:textId="77777777" w:rsidTr="00291F4D">
        <w:trPr>
          <w:trHeight w:val="964"/>
          <w:jc w:val="center"/>
        </w:trPr>
        <w:tc>
          <w:tcPr>
            <w:tcW w:w="9229" w:type="dxa"/>
            <w:gridSpan w:val="7"/>
          </w:tcPr>
          <w:p w14:paraId="2CE0F774" w14:textId="77777777" w:rsidR="00B23E3F" w:rsidRDefault="00B23E3F" w:rsidP="00291F4D">
            <w:pPr>
              <w:contextualSpacing/>
              <w:rPr>
                <w:b/>
                <w:bCs/>
                <w:szCs w:val="24"/>
                <w:lang w:val="en-GB"/>
              </w:rPr>
            </w:pPr>
            <w:bookmarkStart w:id="2" w:name="_Toc81316780"/>
            <w:bookmarkStart w:id="3" w:name="_Toc92801209"/>
            <w:r w:rsidRPr="003E6EA3">
              <w:rPr>
                <w:b/>
                <w:bCs/>
                <w:szCs w:val="24"/>
                <w:lang w:val="en-GB"/>
              </w:rPr>
              <w:lastRenderedPageBreak/>
              <w:t xml:space="preserve">Table </w:t>
            </w:r>
            <w:r>
              <w:rPr>
                <w:b/>
                <w:bCs/>
                <w:szCs w:val="24"/>
              </w:rPr>
              <w:t>S.1</w:t>
            </w:r>
            <w:r w:rsidRPr="003E6EA3">
              <w:rPr>
                <w:b/>
                <w:bCs/>
                <w:szCs w:val="24"/>
                <w:lang w:val="en-GB"/>
              </w:rPr>
              <w:t>.</w:t>
            </w:r>
            <w:r>
              <w:rPr>
                <w:b/>
                <w:bCs/>
                <w:szCs w:val="24"/>
                <w:lang w:val="en-GB"/>
              </w:rPr>
              <w:t xml:space="preserve"> </w:t>
            </w:r>
          </w:p>
          <w:p w14:paraId="0936BBD9" w14:textId="6638D219" w:rsidR="00B23E3F" w:rsidRPr="00EC1D0B" w:rsidRDefault="00B23E3F" w:rsidP="00291F4D">
            <w:pPr>
              <w:contextualSpacing/>
              <w:rPr>
                <w:b/>
                <w:bCs/>
                <w:szCs w:val="24"/>
              </w:rPr>
            </w:pPr>
            <w:r>
              <w:rPr>
                <w:bCs/>
              </w:rPr>
              <w:t>Validation of the Steady-state model output represented by the coefficient of determination (R</w:t>
            </w:r>
            <w:r>
              <w:rPr>
                <w:bCs/>
                <w:vertAlign w:val="superscript"/>
              </w:rPr>
              <w:t>2</w:t>
            </w:r>
            <w:r>
              <w:rPr>
                <w:bCs/>
              </w:rPr>
              <w:t>) and Root Mean Square Error (RMSE)</w:t>
            </w:r>
            <w:r w:rsidRPr="00EC1D0B">
              <w:rPr>
                <w:bCs/>
              </w:rPr>
              <w:t>.</w:t>
            </w:r>
            <w:bookmarkEnd w:id="2"/>
            <w:bookmarkEnd w:id="3"/>
          </w:p>
        </w:tc>
      </w:tr>
      <w:tr w:rsidR="00B23E3F" w:rsidRPr="00EC1D0B" w14:paraId="3751256C" w14:textId="77777777" w:rsidTr="00291F4D">
        <w:trPr>
          <w:gridAfter w:val="1"/>
          <w:wAfter w:w="13" w:type="dxa"/>
          <w:trHeight w:val="510"/>
          <w:jc w:val="center"/>
        </w:trPr>
        <w:tc>
          <w:tcPr>
            <w:tcW w:w="1336" w:type="dxa"/>
            <w:vAlign w:val="center"/>
          </w:tcPr>
          <w:p w14:paraId="590EDCAE" w14:textId="77777777" w:rsidR="00B23E3F" w:rsidRPr="00EC1D0B" w:rsidRDefault="00B23E3F" w:rsidP="00291F4D">
            <w:pPr>
              <w:spacing w:after="160"/>
              <w:contextualSpacing/>
              <w:rPr>
                <w:b/>
                <w:bCs/>
              </w:rPr>
            </w:pPr>
          </w:p>
        </w:tc>
        <w:tc>
          <w:tcPr>
            <w:tcW w:w="1587" w:type="dxa"/>
            <w:vAlign w:val="center"/>
          </w:tcPr>
          <w:p w14:paraId="2A34F4C6" w14:textId="77777777" w:rsidR="00B23E3F" w:rsidRPr="00180B20" w:rsidRDefault="00B23E3F" w:rsidP="00291F4D">
            <w:pPr>
              <w:contextualSpacing/>
              <w:jc w:val="center"/>
              <w:rPr>
                <w:b/>
              </w:rPr>
            </w:pPr>
            <w:r>
              <w:rPr>
                <w:b/>
                <w:bCs/>
              </w:rPr>
              <w:t>Permeate flowrate (</w:t>
            </w:r>
            <w:proofErr w:type="spellStart"/>
            <w:r w:rsidRPr="005F4486">
              <w:rPr>
                <w:b/>
                <w:bCs/>
                <w:i/>
                <w:iCs/>
              </w:rPr>
              <w:t>Q</w:t>
            </w:r>
            <w:r w:rsidRPr="005F4486">
              <w:rPr>
                <w:b/>
                <w:bCs/>
                <w:i/>
                <w:iCs/>
                <w:vertAlign w:val="subscript"/>
              </w:rPr>
              <w:t>p</w:t>
            </w:r>
            <w:proofErr w:type="spellEnd"/>
            <w:r>
              <w:rPr>
                <w:b/>
                <w:bCs/>
              </w:rPr>
              <w:t>)</w:t>
            </w:r>
          </w:p>
        </w:tc>
        <w:tc>
          <w:tcPr>
            <w:tcW w:w="1587" w:type="dxa"/>
            <w:vAlign w:val="center"/>
          </w:tcPr>
          <w:p w14:paraId="4C9F298B" w14:textId="77777777" w:rsidR="00B23E3F" w:rsidRDefault="00B23E3F" w:rsidP="00291F4D">
            <w:pPr>
              <w:contextualSpacing/>
              <w:jc w:val="center"/>
              <w:rPr>
                <w:b/>
                <w:bCs/>
              </w:rPr>
            </w:pPr>
            <w:r>
              <w:rPr>
                <w:b/>
                <w:bCs/>
              </w:rPr>
              <w:t>Brine flowrate (</w:t>
            </w:r>
            <w:proofErr w:type="spellStart"/>
            <w:r w:rsidRPr="005F4486">
              <w:rPr>
                <w:b/>
                <w:bCs/>
                <w:i/>
                <w:iCs/>
              </w:rPr>
              <w:t>Q</w:t>
            </w:r>
            <w:r>
              <w:rPr>
                <w:b/>
                <w:bCs/>
                <w:i/>
                <w:iCs/>
                <w:vertAlign w:val="subscript"/>
              </w:rPr>
              <w:t>b</w:t>
            </w:r>
            <w:proofErr w:type="spellEnd"/>
            <w:r>
              <w:rPr>
                <w:b/>
                <w:bCs/>
              </w:rPr>
              <w:t>)</w:t>
            </w:r>
          </w:p>
        </w:tc>
        <w:tc>
          <w:tcPr>
            <w:tcW w:w="1531" w:type="dxa"/>
            <w:vAlign w:val="center"/>
          </w:tcPr>
          <w:p w14:paraId="11099CA1" w14:textId="77777777" w:rsidR="00B23E3F" w:rsidRPr="00180B20" w:rsidRDefault="00B23E3F" w:rsidP="00291F4D">
            <w:pPr>
              <w:spacing w:after="160"/>
              <w:contextualSpacing/>
              <w:jc w:val="center"/>
              <w:rPr>
                <w:b/>
              </w:rPr>
            </w:pPr>
            <w:r>
              <w:rPr>
                <w:b/>
                <w:bCs/>
              </w:rPr>
              <w:t>Feed pressure (</w:t>
            </w:r>
            <w:proofErr w:type="spellStart"/>
            <w:r w:rsidRPr="005F4486">
              <w:rPr>
                <w:b/>
                <w:bCs/>
                <w:i/>
                <w:iCs/>
              </w:rPr>
              <w:t>P</w:t>
            </w:r>
            <w:r w:rsidRPr="005F4486">
              <w:rPr>
                <w:b/>
                <w:bCs/>
                <w:i/>
                <w:iCs/>
                <w:vertAlign w:val="subscript"/>
              </w:rPr>
              <w:t>f</w:t>
            </w:r>
            <w:proofErr w:type="spellEnd"/>
            <w:r>
              <w:rPr>
                <w:b/>
                <w:bCs/>
              </w:rPr>
              <w:t>)</w:t>
            </w:r>
          </w:p>
        </w:tc>
        <w:tc>
          <w:tcPr>
            <w:tcW w:w="1531" w:type="dxa"/>
            <w:vAlign w:val="center"/>
          </w:tcPr>
          <w:p w14:paraId="38CA8BE1" w14:textId="77777777" w:rsidR="00B23E3F" w:rsidRPr="00180B20" w:rsidRDefault="00B23E3F" w:rsidP="00291F4D">
            <w:pPr>
              <w:contextualSpacing/>
              <w:jc w:val="center"/>
              <w:rPr>
                <w:b/>
              </w:rPr>
            </w:pPr>
            <w:r>
              <w:rPr>
                <w:b/>
                <w:bCs/>
              </w:rPr>
              <w:t>Power (</w:t>
            </w:r>
            <w:proofErr w:type="spellStart"/>
            <w:r w:rsidRPr="005F4486">
              <w:rPr>
                <w:b/>
                <w:bCs/>
                <w:i/>
                <w:iCs/>
              </w:rPr>
              <w:t>P</w:t>
            </w:r>
            <w:r w:rsidRPr="005F4486">
              <w:rPr>
                <w:b/>
                <w:bCs/>
                <w:i/>
                <w:iCs/>
                <w:vertAlign w:val="subscript"/>
              </w:rPr>
              <w:t>e,total</w:t>
            </w:r>
            <w:proofErr w:type="spellEnd"/>
            <w:r>
              <w:rPr>
                <w:b/>
                <w:bCs/>
              </w:rPr>
              <w:t>)</w:t>
            </w:r>
          </w:p>
        </w:tc>
        <w:tc>
          <w:tcPr>
            <w:tcW w:w="1644" w:type="dxa"/>
            <w:vAlign w:val="center"/>
          </w:tcPr>
          <w:p w14:paraId="4D6503D7" w14:textId="77777777" w:rsidR="00B23E3F" w:rsidRDefault="00B23E3F" w:rsidP="00291F4D">
            <w:pPr>
              <w:contextualSpacing/>
              <w:jc w:val="center"/>
              <w:rPr>
                <w:b/>
                <w:bCs/>
              </w:rPr>
            </w:pPr>
            <w:r>
              <w:rPr>
                <w:b/>
                <w:bCs/>
              </w:rPr>
              <w:t>Permeate concentration (</w:t>
            </w:r>
            <w:r w:rsidRPr="005F4486">
              <w:rPr>
                <w:b/>
                <w:bCs/>
                <w:i/>
                <w:iCs/>
              </w:rPr>
              <w:t>C</w:t>
            </w:r>
            <w:r w:rsidRPr="005F4486">
              <w:rPr>
                <w:b/>
                <w:bCs/>
                <w:i/>
                <w:iCs/>
                <w:vertAlign w:val="subscript"/>
              </w:rPr>
              <w:t>p</w:t>
            </w:r>
            <w:r>
              <w:rPr>
                <w:b/>
                <w:bCs/>
              </w:rPr>
              <w:t>)</w:t>
            </w:r>
          </w:p>
        </w:tc>
      </w:tr>
      <w:tr w:rsidR="00B23E3F" w:rsidRPr="00EC1D0B" w14:paraId="625A835F" w14:textId="77777777" w:rsidTr="00291F4D">
        <w:trPr>
          <w:gridAfter w:val="1"/>
          <w:wAfter w:w="13" w:type="dxa"/>
          <w:trHeight w:val="850"/>
          <w:jc w:val="center"/>
        </w:trPr>
        <w:tc>
          <w:tcPr>
            <w:tcW w:w="1336" w:type="dxa"/>
            <w:tcBorders>
              <w:bottom w:val="single" w:sz="4" w:space="0" w:color="auto"/>
            </w:tcBorders>
            <w:vAlign w:val="center"/>
          </w:tcPr>
          <w:p w14:paraId="3F1583AA" w14:textId="77777777" w:rsidR="00B23E3F" w:rsidRPr="00EC1D0B" w:rsidRDefault="00B23E3F" w:rsidP="00291F4D">
            <w:pPr>
              <w:spacing w:after="160"/>
              <w:contextualSpacing/>
              <w:rPr>
                <w:b/>
                <w:bCs/>
              </w:rPr>
            </w:pPr>
            <w:r>
              <w:rPr>
                <w:b/>
              </w:rPr>
              <w:t>Regression analysis</w:t>
            </w:r>
          </w:p>
        </w:tc>
        <w:tc>
          <w:tcPr>
            <w:tcW w:w="1587" w:type="dxa"/>
            <w:tcBorders>
              <w:bottom w:val="single" w:sz="4" w:space="0" w:color="auto"/>
            </w:tcBorders>
            <w:vAlign w:val="center"/>
          </w:tcPr>
          <w:p w14:paraId="3768EC05" w14:textId="77777777" w:rsidR="00B23E3F" w:rsidRPr="00EC1D0B" w:rsidRDefault="00B23E3F" w:rsidP="00291F4D">
            <w:pPr>
              <w:contextualSpacing/>
              <w:jc w:val="center"/>
              <w:rPr>
                <w:bCs/>
              </w:rPr>
            </w:pPr>
            <w:r>
              <w:rPr>
                <w:bCs/>
              </w:rPr>
              <w:t>R</w:t>
            </w:r>
            <w:r>
              <w:rPr>
                <w:bCs/>
                <w:vertAlign w:val="superscript"/>
              </w:rPr>
              <w:t>2</w:t>
            </w:r>
            <w:r>
              <w:rPr>
                <w:bCs/>
              </w:rPr>
              <w:t xml:space="preserve"> = 0.93</w:t>
            </w:r>
          </w:p>
        </w:tc>
        <w:tc>
          <w:tcPr>
            <w:tcW w:w="1587" w:type="dxa"/>
            <w:tcBorders>
              <w:bottom w:val="single" w:sz="4" w:space="0" w:color="auto"/>
            </w:tcBorders>
            <w:vAlign w:val="center"/>
          </w:tcPr>
          <w:p w14:paraId="4F335ECC" w14:textId="77777777" w:rsidR="00B23E3F" w:rsidRDefault="00B23E3F" w:rsidP="00291F4D">
            <w:pPr>
              <w:contextualSpacing/>
              <w:jc w:val="center"/>
              <w:rPr>
                <w:bCs/>
              </w:rPr>
            </w:pPr>
            <w:r>
              <w:rPr>
                <w:bCs/>
              </w:rPr>
              <w:t>R</w:t>
            </w:r>
            <w:r>
              <w:rPr>
                <w:bCs/>
                <w:vertAlign w:val="superscript"/>
              </w:rPr>
              <w:t>2</w:t>
            </w:r>
            <w:r>
              <w:rPr>
                <w:bCs/>
              </w:rPr>
              <w:t xml:space="preserve"> = 0.97</w:t>
            </w:r>
          </w:p>
        </w:tc>
        <w:tc>
          <w:tcPr>
            <w:tcW w:w="1531" w:type="dxa"/>
            <w:tcBorders>
              <w:bottom w:val="single" w:sz="4" w:space="0" w:color="auto"/>
            </w:tcBorders>
            <w:vAlign w:val="center"/>
          </w:tcPr>
          <w:p w14:paraId="00C88FEE" w14:textId="77777777" w:rsidR="00B23E3F" w:rsidRPr="00EC1D0B" w:rsidRDefault="00B23E3F" w:rsidP="00291F4D">
            <w:pPr>
              <w:spacing w:after="160"/>
              <w:contextualSpacing/>
              <w:jc w:val="center"/>
              <w:rPr>
                <w:bCs/>
              </w:rPr>
            </w:pPr>
            <w:r>
              <w:rPr>
                <w:bCs/>
              </w:rPr>
              <w:t>R</w:t>
            </w:r>
            <w:r>
              <w:rPr>
                <w:bCs/>
                <w:vertAlign w:val="superscript"/>
              </w:rPr>
              <w:t>2</w:t>
            </w:r>
            <w:r>
              <w:rPr>
                <w:bCs/>
              </w:rPr>
              <w:t xml:space="preserve"> = 0.98</w:t>
            </w:r>
          </w:p>
        </w:tc>
        <w:tc>
          <w:tcPr>
            <w:tcW w:w="1531" w:type="dxa"/>
            <w:tcBorders>
              <w:bottom w:val="single" w:sz="4" w:space="0" w:color="auto"/>
            </w:tcBorders>
            <w:vAlign w:val="center"/>
          </w:tcPr>
          <w:p w14:paraId="29464C71" w14:textId="77777777" w:rsidR="00B23E3F" w:rsidRDefault="00B23E3F" w:rsidP="00291F4D">
            <w:pPr>
              <w:contextualSpacing/>
              <w:jc w:val="center"/>
              <w:rPr>
                <w:bCs/>
              </w:rPr>
            </w:pPr>
            <w:r>
              <w:rPr>
                <w:bCs/>
              </w:rPr>
              <w:t>R</w:t>
            </w:r>
            <w:r>
              <w:rPr>
                <w:bCs/>
                <w:vertAlign w:val="superscript"/>
              </w:rPr>
              <w:t>2</w:t>
            </w:r>
            <w:r>
              <w:rPr>
                <w:bCs/>
              </w:rPr>
              <w:t xml:space="preserve"> = 0.99</w:t>
            </w:r>
          </w:p>
        </w:tc>
        <w:tc>
          <w:tcPr>
            <w:tcW w:w="1644" w:type="dxa"/>
            <w:tcBorders>
              <w:bottom w:val="single" w:sz="4" w:space="0" w:color="auto"/>
            </w:tcBorders>
            <w:vAlign w:val="center"/>
          </w:tcPr>
          <w:p w14:paraId="08EF60A0" w14:textId="77777777" w:rsidR="00B23E3F" w:rsidRDefault="00B23E3F" w:rsidP="00291F4D">
            <w:pPr>
              <w:contextualSpacing/>
              <w:jc w:val="center"/>
              <w:rPr>
                <w:bCs/>
              </w:rPr>
            </w:pPr>
            <w:r>
              <w:rPr>
                <w:bCs/>
              </w:rPr>
              <w:t>R</w:t>
            </w:r>
            <w:r>
              <w:rPr>
                <w:bCs/>
                <w:vertAlign w:val="superscript"/>
              </w:rPr>
              <w:t>2</w:t>
            </w:r>
            <w:r>
              <w:rPr>
                <w:bCs/>
              </w:rPr>
              <w:t xml:space="preserve"> = 0.77</w:t>
            </w:r>
          </w:p>
        </w:tc>
      </w:tr>
      <w:tr w:rsidR="00B23E3F" w:rsidRPr="00EC1D0B" w14:paraId="468E4F5D" w14:textId="77777777" w:rsidTr="00291F4D">
        <w:trPr>
          <w:gridAfter w:val="1"/>
          <w:wAfter w:w="13" w:type="dxa"/>
          <w:trHeight w:val="850"/>
          <w:jc w:val="center"/>
        </w:trPr>
        <w:tc>
          <w:tcPr>
            <w:tcW w:w="1336" w:type="dxa"/>
            <w:tcBorders>
              <w:top w:val="single" w:sz="4" w:space="0" w:color="auto"/>
              <w:bottom w:val="single" w:sz="4" w:space="0" w:color="auto"/>
            </w:tcBorders>
            <w:vAlign w:val="center"/>
          </w:tcPr>
          <w:p w14:paraId="456EC045" w14:textId="77777777" w:rsidR="00B23E3F" w:rsidRPr="00180B20" w:rsidRDefault="00B23E3F" w:rsidP="00291F4D">
            <w:pPr>
              <w:spacing w:after="160"/>
              <w:contextualSpacing/>
              <w:rPr>
                <w:b/>
                <w:bCs/>
                <w:vertAlign w:val="subscript"/>
              </w:rPr>
            </w:pPr>
            <w:r>
              <w:rPr>
                <w:b/>
              </w:rPr>
              <w:t>RMSE</w:t>
            </w:r>
          </w:p>
        </w:tc>
        <w:tc>
          <w:tcPr>
            <w:tcW w:w="1587" w:type="dxa"/>
            <w:tcBorders>
              <w:top w:val="single" w:sz="4" w:space="0" w:color="auto"/>
              <w:bottom w:val="single" w:sz="4" w:space="0" w:color="auto"/>
            </w:tcBorders>
            <w:vAlign w:val="center"/>
          </w:tcPr>
          <w:p w14:paraId="44D2F6AD" w14:textId="77777777" w:rsidR="00B23E3F" w:rsidRPr="00EC1D0B" w:rsidRDefault="00B23E3F" w:rsidP="00291F4D">
            <w:pPr>
              <w:contextualSpacing/>
              <w:jc w:val="center"/>
              <w:rPr>
                <w:bCs/>
              </w:rPr>
            </w:pPr>
            <w:r>
              <w:rPr>
                <w:bCs/>
              </w:rPr>
              <w:t>0.253 m</w:t>
            </w:r>
            <w:r w:rsidRPr="00732493">
              <w:rPr>
                <w:bCs/>
                <w:vertAlign w:val="superscript"/>
              </w:rPr>
              <w:t>3</w:t>
            </w:r>
            <w:r>
              <w:rPr>
                <w:bCs/>
              </w:rPr>
              <w:t>/h</w:t>
            </w:r>
          </w:p>
        </w:tc>
        <w:tc>
          <w:tcPr>
            <w:tcW w:w="1587" w:type="dxa"/>
            <w:tcBorders>
              <w:top w:val="single" w:sz="4" w:space="0" w:color="auto"/>
              <w:bottom w:val="single" w:sz="4" w:space="0" w:color="auto"/>
            </w:tcBorders>
            <w:vAlign w:val="center"/>
          </w:tcPr>
          <w:p w14:paraId="6C4E1BFE" w14:textId="77777777" w:rsidR="00B23E3F" w:rsidRDefault="00B23E3F" w:rsidP="00291F4D">
            <w:pPr>
              <w:contextualSpacing/>
              <w:jc w:val="center"/>
              <w:rPr>
                <w:bCs/>
              </w:rPr>
            </w:pPr>
            <w:r>
              <w:rPr>
                <w:bCs/>
              </w:rPr>
              <w:t>0.14 m</w:t>
            </w:r>
            <w:r w:rsidRPr="00732493">
              <w:rPr>
                <w:bCs/>
                <w:vertAlign w:val="superscript"/>
              </w:rPr>
              <w:t>3</w:t>
            </w:r>
            <w:r>
              <w:rPr>
                <w:bCs/>
              </w:rPr>
              <w:t>/h</w:t>
            </w:r>
          </w:p>
        </w:tc>
        <w:tc>
          <w:tcPr>
            <w:tcW w:w="1531" w:type="dxa"/>
            <w:tcBorders>
              <w:top w:val="single" w:sz="4" w:space="0" w:color="auto"/>
              <w:bottom w:val="single" w:sz="4" w:space="0" w:color="auto"/>
            </w:tcBorders>
            <w:vAlign w:val="center"/>
          </w:tcPr>
          <w:p w14:paraId="0B94D49D" w14:textId="77777777" w:rsidR="00B23E3F" w:rsidRPr="00EC1D0B" w:rsidRDefault="00B23E3F" w:rsidP="00291F4D">
            <w:pPr>
              <w:spacing w:after="160"/>
              <w:contextualSpacing/>
              <w:jc w:val="center"/>
              <w:rPr>
                <w:bCs/>
              </w:rPr>
            </w:pPr>
            <w:r>
              <w:rPr>
                <w:bCs/>
              </w:rPr>
              <w:t>1.124 bar</w:t>
            </w:r>
          </w:p>
        </w:tc>
        <w:tc>
          <w:tcPr>
            <w:tcW w:w="1531" w:type="dxa"/>
            <w:tcBorders>
              <w:top w:val="single" w:sz="4" w:space="0" w:color="auto"/>
              <w:bottom w:val="single" w:sz="4" w:space="0" w:color="auto"/>
            </w:tcBorders>
            <w:vAlign w:val="center"/>
          </w:tcPr>
          <w:p w14:paraId="67AD4FE4" w14:textId="77777777" w:rsidR="00B23E3F" w:rsidRPr="0079712C" w:rsidRDefault="00B23E3F" w:rsidP="00291F4D">
            <w:pPr>
              <w:contextualSpacing/>
              <w:jc w:val="center"/>
              <w:rPr>
                <w:bCs/>
              </w:rPr>
            </w:pPr>
            <w:r w:rsidRPr="0079712C">
              <w:rPr>
                <w:bCs/>
              </w:rPr>
              <w:t>0.3</w:t>
            </w:r>
            <w:r>
              <w:rPr>
                <w:bCs/>
              </w:rPr>
              <w:t>03</w:t>
            </w:r>
            <w:r w:rsidRPr="0079712C">
              <w:rPr>
                <w:bCs/>
              </w:rPr>
              <w:t xml:space="preserve"> kW</w:t>
            </w:r>
          </w:p>
        </w:tc>
        <w:tc>
          <w:tcPr>
            <w:tcW w:w="1644" w:type="dxa"/>
            <w:tcBorders>
              <w:top w:val="single" w:sz="4" w:space="0" w:color="auto"/>
              <w:bottom w:val="single" w:sz="4" w:space="0" w:color="auto"/>
            </w:tcBorders>
            <w:vAlign w:val="center"/>
          </w:tcPr>
          <w:p w14:paraId="7EDEDB41" w14:textId="77777777" w:rsidR="00B23E3F" w:rsidRPr="00E16B76" w:rsidRDefault="00B23E3F" w:rsidP="00291F4D">
            <w:pPr>
              <w:contextualSpacing/>
              <w:jc w:val="center"/>
              <w:rPr>
                <w:bCs/>
                <w:color w:val="FF0000"/>
              </w:rPr>
            </w:pPr>
            <w:r w:rsidRPr="0079712C">
              <w:rPr>
                <w:bCs/>
              </w:rPr>
              <w:t>70.145 mg/l</w:t>
            </w:r>
          </w:p>
        </w:tc>
      </w:tr>
    </w:tbl>
    <w:p w14:paraId="2491FF36" w14:textId="0FF86E79" w:rsidR="001C6E61" w:rsidRDefault="001C6E61" w:rsidP="00B47B7E">
      <w:pPr>
        <w:spacing w:after="240"/>
        <w:jc w:val="both"/>
      </w:pPr>
    </w:p>
    <w:tbl>
      <w:tblPr>
        <w:tblStyle w:val="TableGrid"/>
        <w:tblW w:w="92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598"/>
      </w:tblGrid>
      <w:tr w:rsidR="00B47B7E" w:rsidRPr="00210F31" w14:paraId="6DA717B4" w14:textId="77777777" w:rsidTr="00D24DEF">
        <w:trPr>
          <w:jc w:val="center"/>
        </w:trPr>
        <w:tc>
          <w:tcPr>
            <w:tcW w:w="4656" w:type="dxa"/>
            <w:vAlign w:val="center"/>
          </w:tcPr>
          <w:p w14:paraId="5EB3DF18" w14:textId="77777777" w:rsidR="00B47B7E" w:rsidRPr="00210F31" w:rsidRDefault="00B47B7E" w:rsidP="00D24DEF">
            <w:pPr>
              <w:pStyle w:val="NoSpacing"/>
              <w:spacing w:line="240" w:lineRule="auto"/>
              <w:ind w:firstLine="0"/>
              <w:jc w:val="center"/>
              <w:rPr>
                <w:lang w:val="en-GB"/>
              </w:rPr>
            </w:pPr>
            <w:r w:rsidRPr="00210F31">
              <w:rPr>
                <w:noProof/>
                <w:lang w:eastAsia="en-GB"/>
              </w:rPr>
              <w:drawing>
                <wp:inline distT="0" distB="0" distL="0" distR="0" wp14:anchorId="22B2798C" wp14:editId="6A5BC2EB">
                  <wp:extent cx="2630170" cy="2286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0170" cy="2286000"/>
                          </a:xfrm>
                          <a:prstGeom prst="rect">
                            <a:avLst/>
                          </a:prstGeom>
                          <a:noFill/>
                          <a:ln>
                            <a:noFill/>
                          </a:ln>
                        </pic:spPr>
                      </pic:pic>
                    </a:graphicData>
                  </a:graphic>
                </wp:inline>
              </w:drawing>
            </w:r>
          </w:p>
          <w:p w14:paraId="358278A1" w14:textId="77777777" w:rsidR="00B47B7E" w:rsidRPr="00210F31" w:rsidRDefault="00B47B7E" w:rsidP="00D24DEF">
            <w:pPr>
              <w:pStyle w:val="NoSpacing"/>
              <w:spacing w:line="276" w:lineRule="auto"/>
              <w:jc w:val="center"/>
              <w:rPr>
                <w:lang w:val="en-GB"/>
              </w:rPr>
            </w:pPr>
            <w:r w:rsidRPr="00210F31">
              <w:rPr>
                <w:lang w:val="en-GB"/>
              </w:rPr>
              <w:t>(a)</w:t>
            </w:r>
          </w:p>
        </w:tc>
        <w:tc>
          <w:tcPr>
            <w:tcW w:w="4598" w:type="dxa"/>
            <w:vAlign w:val="center"/>
          </w:tcPr>
          <w:p w14:paraId="695A9B51" w14:textId="77777777" w:rsidR="00B47B7E" w:rsidRPr="00210F31" w:rsidRDefault="00B47B7E" w:rsidP="00D24DEF">
            <w:pPr>
              <w:pStyle w:val="NoSpacing"/>
              <w:spacing w:line="240" w:lineRule="auto"/>
              <w:ind w:firstLine="0"/>
              <w:jc w:val="center"/>
              <w:rPr>
                <w:lang w:val="en-GB"/>
              </w:rPr>
            </w:pPr>
            <w:r w:rsidRPr="00210F31">
              <w:rPr>
                <w:noProof/>
                <w:lang w:eastAsia="en-GB"/>
              </w:rPr>
              <w:drawing>
                <wp:inline distT="0" distB="0" distL="0" distR="0" wp14:anchorId="3EDF2912" wp14:editId="56EFC612">
                  <wp:extent cx="2630170" cy="2286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0170" cy="2286000"/>
                          </a:xfrm>
                          <a:prstGeom prst="rect">
                            <a:avLst/>
                          </a:prstGeom>
                          <a:noFill/>
                          <a:ln>
                            <a:noFill/>
                          </a:ln>
                        </pic:spPr>
                      </pic:pic>
                    </a:graphicData>
                  </a:graphic>
                </wp:inline>
              </w:drawing>
            </w:r>
          </w:p>
          <w:p w14:paraId="540562AB" w14:textId="77777777" w:rsidR="00B47B7E" w:rsidRPr="00210F31" w:rsidRDefault="00B47B7E" w:rsidP="00D24DEF">
            <w:pPr>
              <w:pStyle w:val="NoSpacing"/>
              <w:spacing w:line="276" w:lineRule="auto"/>
              <w:jc w:val="center"/>
              <w:rPr>
                <w:lang w:val="en-GB"/>
              </w:rPr>
            </w:pPr>
            <w:r w:rsidRPr="00210F31">
              <w:rPr>
                <w:lang w:val="en-GB"/>
              </w:rPr>
              <w:t>(b)</w:t>
            </w:r>
          </w:p>
        </w:tc>
      </w:tr>
      <w:tr w:rsidR="00B47B7E" w:rsidRPr="00210F31" w14:paraId="040A858F" w14:textId="77777777" w:rsidTr="00D24DEF">
        <w:trPr>
          <w:jc w:val="center"/>
        </w:trPr>
        <w:tc>
          <w:tcPr>
            <w:tcW w:w="9254" w:type="dxa"/>
            <w:gridSpan w:val="2"/>
            <w:vAlign w:val="center"/>
          </w:tcPr>
          <w:p w14:paraId="3E454F93" w14:textId="5B75F4DA" w:rsidR="00B47B7E" w:rsidRPr="00210F31" w:rsidRDefault="00B47B7E" w:rsidP="00B47B7E">
            <w:pPr>
              <w:pStyle w:val="Caption"/>
              <w:contextualSpacing/>
              <w:rPr>
                <w:noProof/>
                <w:lang w:val="en-GB"/>
              </w:rPr>
            </w:pPr>
            <w:r>
              <w:t>Fig. S.</w:t>
            </w:r>
            <w:r w:rsidR="00C22EB4">
              <w:t>2</w:t>
            </w:r>
            <w:r w:rsidRPr="004A1CFC">
              <w:t>.</w:t>
            </w:r>
            <w:r w:rsidRPr="00210F31">
              <w:rPr>
                <w:lang w:val="en-GB"/>
              </w:rPr>
              <w:t xml:space="preserve"> </w:t>
            </w:r>
            <w:r w:rsidRPr="00210F31">
              <w:rPr>
                <w:b w:val="0"/>
                <w:bCs/>
                <w:lang w:val="en-GB"/>
              </w:rPr>
              <w:t>A comparison between the measured and simulated a) feed pressure and b) power consumption for the same permeate flowrate. The data is collected at a feed concentration of 35,000 mg/l and a feed temperature of 25</w:t>
            </w:r>
            <w:r w:rsidRPr="00210F31">
              <w:rPr>
                <w:b w:val="0"/>
                <w:bCs/>
                <w:vertAlign w:val="superscript"/>
                <w:lang w:val="en-GB"/>
              </w:rPr>
              <w:t>o</w:t>
            </w:r>
            <w:r w:rsidRPr="00210F31">
              <w:rPr>
                <w:b w:val="0"/>
                <w:bCs/>
                <w:lang w:val="en-GB"/>
              </w:rPr>
              <w:t xml:space="preserve">C. </w:t>
            </w:r>
          </w:p>
        </w:tc>
      </w:tr>
    </w:tbl>
    <w:p w14:paraId="31CEA163" w14:textId="32FE1942" w:rsidR="00B47B7E" w:rsidRDefault="00B47B7E" w:rsidP="00E670A5">
      <w:pPr>
        <w:pStyle w:val="Heading2"/>
      </w:pPr>
      <w:r>
        <w:t>Dynamic model validation</w:t>
      </w:r>
    </w:p>
    <w:p w14:paraId="3F1629AB" w14:textId="2FAE1212" w:rsidR="00B47B7E" w:rsidRPr="00210F31" w:rsidRDefault="00B47B7E" w:rsidP="00EF50ED">
      <w:pPr>
        <w:spacing w:after="240"/>
        <w:ind w:firstLine="431"/>
        <w:jc w:val="both"/>
      </w:pPr>
      <w:r w:rsidRPr="00210F31">
        <w:t xml:space="preserve">The model prediction accuracy for the plant dynamic response was assessed by its ability to predict a transient change in permeate flowrate, feed pressure, and permeate concentration for a 10% step-change in the HPP rotational speed, </w:t>
      </w:r>
      <w:r w:rsidRPr="00210F31">
        <w:rPr>
          <w:i/>
          <w:iCs/>
        </w:rPr>
        <w:t>N</w:t>
      </w:r>
      <w:r w:rsidRPr="00210F31">
        <w:rPr>
          <w:i/>
          <w:iCs/>
          <w:vertAlign w:val="subscript"/>
        </w:rPr>
        <w:t>HPP</w:t>
      </w:r>
      <w:r w:rsidRPr="00210F31">
        <w:t xml:space="preserve">. Fig. </w:t>
      </w:r>
      <w:r w:rsidR="00EF50ED">
        <w:t>S.</w:t>
      </w:r>
      <w:r w:rsidR="00C22EB4">
        <w:t>3</w:t>
      </w:r>
      <w:r w:rsidRPr="00210F31">
        <w:t xml:space="preserve"> presents the measured and simulated system response for a step-change in permeate flowrate. The model provided high accuracy in predicting the measured data, as the error remained within a </w:t>
      </w:r>
      <w:r w:rsidRPr="00210F31">
        <w:rPr>
          <w:rFonts w:cstheme="minorHAnsi"/>
        </w:rPr>
        <w:t>±</w:t>
      </w:r>
      <w:r w:rsidRPr="00210F31">
        <w:t xml:space="preserve">5% margin along the step-test. The change in permeate production reached steady state almost instantly for the change in HPP speed. This was due to using a positive displacement HPP, where the pump discharge flow is directly proportional to the pump speed. The fluctuations in the measured </w:t>
      </w:r>
      <w:r w:rsidRPr="00210F31">
        <w:lastRenderedPageBreak/>
        <w:t xml:space="preserve">flow data were due to the sensitivity of the paddle-wheel flow sensor to any turbulence or pulsation in the flow stream. </w:t>
      </w:r>
    </w:p>
    <w:p w14:paraId="50496CBF" w14:textId="77777777" w:rsidR="00B47B7E" w:rsidRPr="00210F31" w:rsidRDefault="00B47B7E" w:rsidP="00B47B7E">
      <w:pPr>
        <w:pStyle w:val="NoSpacing"/>
        <w:spacing w:after="120"/>
        <w:ind w:firstLine="0"/>
        <w:jc w:val="center"/>
      </w:pPr>
      <w:r w:rsidRPr="00210F31">
        <w:rPr>
          <w:noProof/>
          <w:lang w:eastAsia="en-GB"/>
        </w:rPr>
        <w:drawing>
          <wp:inline distT="0" distB="0" distL="0" distR="0" wp14:anchorId="6567EBB6" wp14:editId="02A0FBFE">
            <wp:extent cx="3562255" cy="2651760"/>
            <wp:effectExtent l="0" t="0" r="635"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Ch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62255" cy="2651760"/>
                    </a:xfrm>
                    <a:prstGeom prst="rect">
                      <a:avLst/>
                    </a:prstGeom>
                    <a:noFill/>
                    <a:ln>
                      <a:noFill/>
                    </a:ln>
                  </pic:spPr>
                </pic:pic>
              </a:graphicData>
            </a:graphic>
          </wp:inline>
        </w:drawing>
      </w:r>
    </w:p>
    <w:p w14:paraId="2BDDBD3F" w14:textId="0B0E9860" w:rsidR="00B47B7E" w:rsidRPr="00210F31" w:rsidRDefault="00B47B7E" w:rsidP="00B47B7E">
      <w:pPr>
        <w:pStyle w:val="Caption"/>
        <w:rPr>
          <w:bCs/>
        </w:rPr>
      </w:pPr>
      <w:r>
        <w:t>Fig. S.</w:t>
      </w:r>
      <w:r w:rsidR="00C22EB4">
        <w:t>3</w:t>
      </w:r>
      <w:r w:rsidRPr="004A1CFC">
        <w:t>.</w:t>
      </w:r>
      <w:r w:rsidRPr="00210F31">
        <w:t xml:space="preserve"> </w:t>
      </w:r>
      <w:r w:rsidRPr="00210F31">
        <w:rPr>
          <w:b w:val="0"/>
        </w:rPr>
        <w:t>Validation of model accuracy for predicting the permeate flowrate dynamic response. The step-response test was performed at 28</w:t>
      </w:r>
      <w:r w:rsidRPr="00210F31">
        <w:rPr>
          <w:b w:val="0"/>
          <w:vertAlign w:val="superscript"/>
        </w:rPr>
        <w:t>o</w:t>
      </w:r>
      <w:r w:rsidRPr="00210F31">
        <w:rPr>
          <w:b w:val="0"/>
        </w:rPr>
        <w:t>C feed temperature and 35,195 mg/l feed concentration. The permeate recovery varied from 20.7% to 22.9%.</w:t>
      </w:r>
    </w:p>
    <w:p w14:paraId="74B1D5E7" w14:textId="1ABF6F9E" w:rsidR="00B47B7E" w:rsidRPr="00210F31" w:rsidRDefault="00B47B7E" w:rsidP="00EF50ED">
      <w:pPr>
        <w:spacing w:after="240"/>
        <w:jc w:val="both"/>
      </w:pPr>
      <w:r w:rsidRPr="00210F31">
        <w:t xml:space="preserve">The model also delivered high accuracy when simulating the feed pressure. As shown in Fig. </w:t>
      </w:r>
      <w:r w:rsidR="00EF50ED">
        <w:t>S.</w:t>
      </w:r>
      <w:r w:rsidR="00C22EB4">
        <w:t>4</w:t>
      </w:r>
      <w:r w:rsidRPr="00210F31">
        <w:t>, the measured and predicted data remained within a 3% error margin. The change in feed pressure due to a step-change in HPP speed exhibited two characteristic behaviours. Initially, the change in pressure was instantaneous in alignment with the change in HPP discharge flow and increased flow volume in the brine channel. The second part of the response, exhibiting the characteristics of a first-order system, was an osmotic pressure increase due to increased concentration and salt accumulation accompanying the increase in permeate flowrate.</w:t>
      </w:r>
    </w:p>
    <w:p w14:paraId="54D8B8F4" w14:textId="77777777" w:rsidR="00B47B7E" w:rsidRPr="00210F31" w:rsidRDefault="00B47B7E" w:rsidP="00B47B7E">
      <w:pPr>
        <w:pStyle w:val="NoSpacing"/>
        <w:ind w:firstLine="0"/>
        <w:jc w:val="center"/>
      </w:pPr>
      <w:r w:rsidRPr="00210F31">
        <w:rPr>
          <w:noProof/>
          <w:lang w:eastAsia="en-GB"/>
        </w:rPr>
        <w:lastRenderedPageBreak/>
        <w:drawing>
          <wp:inline distT="0" distB="0" distL="0" distR="0" wp14:anchorId="7EF85468" wp14:editId="2DE3D404">
            <wp:extent cx="3533331" cy="2651760"/>
            <wp:effectExtent l="0" t="0" r="0" b="0"/>
            <wp:docPr id="35" name="Picture 35"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hart, box and whisker char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33331" cy="2651760"/>
                    </a:xfrm>
                    <a:prstGeom prst="rect">
                      <a:avLst/>
                    </a:prstGeom>
                    <a:noFill/>
                    <a:ln>
                      <a:noFill/>
                    </a:ln>
                  </pic:spPr>
                </pic:pic>
              </a:graphicData>
            </a:graphic>
          </wp:inline>
        </w:drawing>
      </w:r>
    </w:p>
    <w:p w14:paraId="193C5AE9" w14:textId="55FF6313" w:rsidR="00B47B7E" w:rsidRPr="00210F31" w:rsidRDefault="00B47B7E" w:rsidP="00B47B7E">
      <w:pPr>
        <w:pStyle w:val="Caption"/>
        <w:rPr>
          <w:bCs/>
        </w:rPr>
      </w:pPr>
      <w:r>
        <w:t>Fig. S.</w:t>
      </w:r>
      <w:r w:rsidR="00C22EB4">
        <w:t>4</w:t>
      </w:r>
      <w:r w:rsidRPr="004A1CFC">
        <w:t>.</w:t>
      </w:r>
      <w:r>
        <w:t xml:space="preserve"> </w:t>
      </w:r>
      <w:r w:rsidRPr="00210F31">
        <w:rPr>
          <w:b w:val="0"/>
        </w:rPr>
        <w:t>Validation of model accuracy for predicting the feed pressure dynamic response. The step-response test was performed at 28</w:t>
      </w:r>
      <w:r w:rsidRPr="00210F31">
        <w:rPr>
          <w:b w:val="0"/>
          <w:vertAlign w:val="superscript"/>
        </w:rPr>
        <w:t>o</w:t>
      </w:r>
      <w:r w:rsidRPr="00210F31">
        <w:rPr>
          <w:b w:val="0"/>
        </w:rPr>
        <w:t>C feed temperature and 35,195 mg/l feed concentration. The permeate recovery varied from 20.7% to 22.9%.</w:t>
      </w:r>
    </w:p>
    <w:p w14:paraId="3B785032" w14:textId="065BEDBA" w:rsidR="00B47B7E" w:rsidRPr="00210F31" w:rsidRDefault="00B47B7E" w:rsidP="00CC331C">
      <w:pPr>
        <w:spacing w:after="240"/>
        <w:jc w:val="both"/>
      </w:pPr>
      <w:r w:rsidRPr="00210F31">
        <w:t xml:space="preserve">The comparison between the predicted and measured permeate concentration due to a step increase in HPP speed is presented in Fig. </w:t>
      </w:r>
      <w:r w:rsidR="00EF50ED">
        <w:t>S.</w:t>
      </w:r>
      <w:r w:rsidR="00C22EB4">
        <w:t>5</w:t>
      </w:r>
      <w:r w:rsidRPr="00210F31">
        <w:t>. The model accurately predicted the decline in permeate concentration by approximating its response to a first-order system. The model showed high accuracy, such that the predicted and measured data remained within a 5% error margin</w:t>
      </w:r>
      <w:r w:rsidRPr="00CC331C">
        <w:t xml:space="preserve">. This confirmed the validity of the concentration conservation equations </w:t>
      </w:r>
      <w:r w:rsidR="00CC331C" w:rsidRPr="00CC331C">
        <w:t>used in this study.</w:t>
      </w:r>
    </w:p>
    <w:p w14:paraId="11A966CF" w14:textId="77777777" w:rsidR="00B47B7E" w:rsidRPr="00210F31" w:rsidRDefault="00B47B7E" w:rsidP="00B47B7E">
      <w:pPr>
        <w:pStyle w:val="NoSpacing"/>
        <w:ind w:firstLine="0"/>
        <w:jc w:val="center"/>
      </w:pPr>
      <w:r w:rsidRPr="00210F31">
        <w:rPr>
          <w:noProof/>
          <w:lang w:eastAsia="en-GB"/>
        </w:rPr>
        <w:drawing>
          <wp:inline distT="0" distB="0" distL="0" distR="0" wp14:anchorId="630D289C" wp14:editId="1D5D6775">
            <wp:extent cx="3589500" cy="2651760"/>
            <wp:effectExtent l="0" t="0" r="0" b="0"/>
            <wp:docPr id="40" name="Picture 4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har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89500" cy="2651760"/>
                    </a:xfrm>
                    <a:prstGeom prst="rect">
                      <a:avLst/>
                    </a:prstGeom>
                    <a:noFill/>
                    <a:ln>
                      <a:noFill/>
                    </a:ln>
                  </pic:spPr>
                </pic:pic>
              </a:graphicData>
            </a:graphic>
          </wp:inline>
        </w:drawing>
      </w:r>
    </w:p>
    <w:p w14:paraId="02158591" w14:textId="32663563" w:rsidR="000A6072" w:rsidRDefault="00B47B7E" w:rsidP="000A6072">
      <w:pPr>
        <w:pStyle w:val="Caption"/>
        <w:rPr>
          <w:b w:val="0"/>
        </w:rPr>
      </w:pPr>
      <w:r>
        <w:t>Fig. S.</w:t>
      </w:r>
      <w:r w:rsidR="00C22EB4">
        <w:t>5</w:t>
      </w:r>
      <w:r w:rsidRPr="004A1CFC">
        <w:t>.</w:t>
      </w:r>
      <w:r w:rsidRPr="00210F31">
        <w:t xml:space="preserve"> </w:t>
      </w:r>
      <w:r w:rsidRPr="00210F31">
        <w:rPr>
          <w:b w:val="0"/>
        </w:rPr>
        <w:t>Validation of model accuracy for predicting the permeate concentration dynamic response. The step-response test was performed at 27</w:t>
      </w:r>
      <w:r w:rsidRPr="00210F31">
        <w:rPr>
          <w:b w:val="0"/>
          <w:vertAlign w:val="superscript"/>
        </w:rPr>
        <w:t>o</w:t>
      </w:r>
      <w:r w:rsidRPr="00210F31">
        <w:rPr>
          <w:b w:val="0"/>
        </w:rPr>
        <w:t>C feed temperature and 35,429 mg/l feed concentration. The permeate recovery varied from 20.7% to 22.9%.</w:t>
      </w:r>
    </w:p>
    <w:p w14:paraId="46B93A28" w14:textId="77777777" w:rsidR="000A6072" w:rsidRDefault="000A6072" w:rsidP="00E670A5">
      <w:pPr>
        <w:pStyle w:val="Heading1"/>
      </w:pPr>
      <w:r w:rsidRPr="007C6567">
        <w:lastRenderedPageBreak/>
        <w:t>Instrumentations</w:t>
      </w:r>
      <w:r>
        <w:t xml:space="preserve"> and measurements</w:t>
      </w:r>
    </w:p>
    <w:p w14:paraId="4AF8E8DF" w14:textId="38C95DB5" w:rsidR="000A6072" w:rsidRDefault="000A6072" w:rsidP="001F0C3F">
      <w:pPr>
        <w:spacing w:after="240"/>
        <w:ind w:firstLine="431"/>
        <w:jc w:val="both"/>
      </w:pPr>
      <w:r w:rsidRPr="007C7BF8">
        <w:t xml:space="preserve">This </w:t>
      </w:r>
      <w:r w:rsidR="001F0C3F">
        <w:t>section</w:t>
      </w:r>
      <w:r w:rsidRPr="007C7BF8">
        <w:t xml:space="preserve"> describes the instrumentations used for data collection. The RO system included 16 sensors </w:t>
      </w:r>
      <w:r>
        <w:t>distributed</w:t>
      </w:r>
      <w:r w:rsidRPr="007C7BF8">
        <w:t xml:space="preserve"> across the RO test-rig to collect data for flow</w:t>
      </w:r>
      <w:r>
        <w:t>rate</w:t>
      </w:r>
      <w:r w:rsidRPr="007C7BF8">
        <w:t>, pressure, concentration, temperature, and power consumption. The sensors</w:t>
      </w:r>
      <w:r>
        <w:t xml:space="preserve"> were compatible for use with seawater and were</w:t>
      </w:r>
      <w:r w:rsidRPr="007C7BF8">
        <w:t xml:space="preserve"> selected to meet the operating range of the physical variable to be measured</w:t>
      </w:r>
      <w:r>
        <w:t>. The voltage required to power the sensors was provided by an external 24V DC power supply. The sensors were connected in series with the power supply forming a loop, by which, t</w:t>
      </w:r>
      <w:r w:rsidRPr="007C7BF8">
        <w:t>he current signal within the loop ranges from 4 – 20 mA and represent</w:t>
      </w:r>
      <w:r>
        <w:t>s</w:t>
      </w:r>
      <w:r w:rsidRPr="007C7BF8">
        <w:t xml:space="preserve"> the physical reading of the sensor.</w:t>
      </w:r>
      <w:r>
        <w:t xml:space="preserve"> This configuration is referred to as a “Loop-powered” circuit.</w:t>
      </w:r>
      <w:r w:rsidRPr="007C7BF8">
        <w:t xml:space="preserve"> </w:t>
      </w:r>
      <w:r>
        <w:t xml:space="preserve">All the sensors, except the conductivity sensors, were </w:t>
      </w:r>
      <w:r w:rsidR="00D70270">
        <w:t>factory calibrated</w:t>
      </w:r>
      <w:r w:rsidRPr="00961AAA">
        <w:t>.</w:t>
      </w:r>
    </w:p>
    <w:p w14:paraId="4A0A92C5" w14:textId="77777777" w:rsidR="000A6072" w:rsidRDefault="000A6072" w:rsidP="00E670A5">
      <w:pPr>
        <w:pStyle w:val="Heading2"/>
      </w:pPr>
      <w:bookmarkStart w:id="4" w:name="_Toc81317162"/>
      <w:r>
        <w:t>Flow measurement</w:t>
      </w:r>
      <w:bookmarkEnd w:id="4"/>
    </w:p>
    <w:p w14:paraId="12AD6EA7" w14:textId="3D15B041" w:rsidR="000A6072" w:rsidRDefault="000A6072" w:rsidP="005A2DB7">
      <w:pPr>
        <w:spacing w:after="240"/>
        <w:ind w:firstLine="431"/>
        <w:jc w:val="both"/>
      </w:pPr>
      <w:r>
        <w:t>The flowrate for the feed, brine and permeate streams were measured using the FPB151 flowmeter manufactured by OMEGA</w:t>
      </w:r>
      <w:r w:rsidR="00D70270">
        <w:t xml:space="preserve"> (Manchester, United Kingdom)</w:t>
      </w:r>
      <w:r>
        <w:t>, shown in Fig</w:t>
      </w:r>
      <w:r w:rsidR="00CC331C">
        <w:t>.</w:t>
      </w:r>
      <w:r>
        <w:t xml:space="preserve"> S.</w:t>
      </w:r>
      <w:r w:rsidR="00C22EB4">
        <w:t>6</w:t>
      </w:r>
      <w:r>
        <w:t>. It consists of a paddlewheel flowmeter mounted on a Tee and connected to a transmitter that converts the paddlewheel speed to a current signal representing the flow. The transmitter generated a 4 – 20 mA signal for a 0 - 30 m</w:t>
      </w:r>
      <w:r w:rsidRPr="0076742A">
        <w:rPr>
          <w:vertAlign w:val="superscript"/>
        </w:rPr>
        <w:t>3</w:t>
      </w:r>
      <w:r>
        <w:t xml:space="preserve">/h flow range with an accuracy of </w:t>
      </w:r>
      <w:r w:rsidRPr="00D71122">
        <w:t>±</w:t>
      </w:r>
      <w:r>
        <w:t xml:space="preserve"> 1% of the max flowrate reading </w:t>
      </w:r>
      <w:r>
        <w:fldChar w:fldCharType="begin"/>
      </w:r>
      <w:r>
        <w:instrText xml:space="preserve"> ADDIN EN.CITE &lt;EndNote&gt;&lt;Cite&gt;&lt;Year&gt;2021&lt;/Year&gt;&lt;RecNum&gt;328&lt;/RecNum&gt;&lt;DisplayText&gt;[1]&lt;/DisplayText&gt;&lt;record&gt;&lt;rec-number&gt;328&lt;/rec-number&gt;&lt;foreign-keys&gt;&lt;key app="EN" db-id="fxtef0z5qrdsx4etatnpx2wszx5pxd0fssra" timestamp="1631023684"&gt;328&lt;/key&gt;&lt;/foreign-keys&gt;&lt;ref-type name="Web Page"&gt;12&lt;/ref-type&gt;&lt;contributors&gt;&lt;authors&gt;&lt;author&gt;Omega&lt;/author&gt;&lt;/authors&gt;&lt;/contributors&gt;&lt;titles&gt;&lt;title&gt;FPB100 series paddlewheel flow meter&lt;/title&gt;&lt;/titles&gt;&lt;volume&gt;2021&lt;/volume&gt;&lt;number&gt;September&lt;/number&gt;&lt;dates&gt;&lt;year&gt;2021&lt;/year&gt;&lt;/dates&gt;&lt;urls&gt;&lt;related-urls&gt;&lt;url&gt;https://www.omega.com/en-us/flow-instruments/flow-meters/paddlewheel-flow-meters/p/FPB100-Series&lt;/url&gt;&lt;/related-urls&gt;&lt;/urls&gt;&lt;/record&gt;&lt;/Cite&gt;&lt;/EndNote&gt;</w:instrText>
      </w:r>
      <w:r>
        <w:fldChar w:fldCharType="separate"/>
      </w:r>
      <w:r>
        <w:rPr>
          <w:noProof/>
        </w:rPr>
        <w:t>[1]</w:t>
      </w:r>
      <w:r>
        <w:fldChar w:fldCharType="end"/>
      </w:r>
      <w:r>
        <w:t>.</w:t>
      </w:r>
    </w:p>
    <w:p w14:paraId="227AC367" w14:textId="77777777" w:rsidR="000A6072" w:rsidRDefault="000A6072" w:rsidP="000A6072">
      <w:pPr>
        <w:jc w:val="center"/>
      </w:pPr>
      <w:r>
        <w:rPr>
          <w:noProof/>
          <w:lang w:eastAsia="en-GB"/>
        </w:rPr>
        <w:drawing>
          <wp:inline distT="0" distB="0" distL="0" distR="0" wp14:anchorId="0608174D" wp14:editId="7F72AABA">
            <wp:extent cx="2808000" cy="2808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08000" cy="2808000"/>
                    </a:xfrm>
                    <a:prstGeom prst="rect">
                      <a:avLst/>
                    </a:prstGeom>
                    <a:noFill/>
                    <a:ln>
                      <a:noFill/>
                    </a:ln>
                  </pic:spPr>
                </pic:pic>
              </a:graphicData>
            </a:graphic>
          </wp:inline>
        </w:drawing>
      </w:r>
    </w:p>
    <w:p w14:paraId="5AA70BE0" w14:textId="6A469EBF" w:rsidR="000A6072" w:rsidRDefault="000A6072" w:rsidP="005A2DB7">
      <w:pPr>
        <w:pStyle w:val="Caption"/>
        <w:rPr>
          <w:b w:val="0"/>
        </w:rPr>
      </w:pPr>
      <w:bookmarkStart w:id="5" w:name="_Toc81317055"/>
      <w:r>
        <w:t>Fig. S.</w:t>
      </w:r>
      <w:r w:rsidR="00C22EB4">
        <w:t>6</w:t>
      </w:r>
      <w:r w:rsidRPr="004A1CFC">
        <w:t xml:space="preserve">. </w:t>
      </w:r>
      <w:r>
        <w:rPr>
          <w:b w:val="0"/>
        </w:rPr>
        <w:t>Paddlewheel flowmeter.</w:t>
      </w:r>
      <w:bookmarkEnd w:id="5"/>
    </w:p>
    <w:p w14:paraId="3244E61F" w14:textId="183CF9D9" w:rsidR="00D70270" w:rsidRDefault="00D70270" w:rsidP="00D70270"/>
    <w:p w14:paraId="7649B15A" w14:textId="77777777" w:rsidR="00D70270" w:rsidRPr="00D70270" w:rsidRDefault="00D70270" w:rsidP="00D70270"/>
    <w:p w14:paraId="557F78D3" w14:textId="77777777" w:rsidR="000A6072" w:rsidRDefault="000A6072" w:rsidP="00E670A5">
      <w:pPr>
        <w:pStyle w:val="Heading2"/>
      </w:pPr>
      <w:bookmarkStart w:id="6" w:name="_Toc81317163"/>
      <w:r>
        <w:lastRenderedPageBreak/>
        <w:t>Pressure measurement</w:t>
      </w:r>
      <w:bookmarkEnd w:id="6"/>
    </w:p>
    <w:p w14:paraId="164B1870" w14:textId="44213DD9" w:rsidR="000A6072" w:rsidRDefault="000A6072" w:rsidP="005A2DB7">
      <w:pPr>
        <w:spacing w:after="240"/>
        <w:ind w:firstLine="431"/>
        <w:jc w:val="both"/>
      </w:pPr>
      <w:r>
        <w:t xml:space="preserve">The pressure across the RO system was measured using the RS PRO </w:t>
      </w:r>
      <w:r w:rsidRPr="00E85907">
        <w:t>IPS Series</w:t>
      </w:r>
      <w:r>
        <w:t xml:space="preserve"> pressure sensors, shown in Fig. S.</w:t>
      </w:r>
      <w:r w:rsidR="00C22EB4">
        <w:t>7</w:t>
      </w:r>
      <w:r w:rsidR="00D70270">
        <w:t>, manufactured by RS components (</w:t>
      </w:r>
      <w:r w:rsidR="00D70270" w:rsidRPr="00825DB2">
        <w:t>Northants, United Kingdom</w:t>
      </w:r>
      <w:r w:rsidR="00D70270">
        <w:t>).</w:t>
      </w:r>
      <w:r>
        <w:t xml:space="preserve"> They are </w:t>
      </w:r>
      <w:r w:rsidRPr="00E85907">
        <w:t>piezo-resistive ceramic sensor</w:t>
      </w:r>
      <w:r>
        <w:t>s</w:t>
      </w:r>
      <w:r w:rsidRPr="00E85907">
        <w:t xml:space="preserve"> with a stainless-steel housing </w:t>
      </w:r>
      <w:r>
        <w:t xml:space="preserve">that generated a 4 - 20 mA signal with respect to their pressure range with an accuracy of </w:t>
      </w:r>
      <w:r w:rsidRPr="00D71122">
        <w:t>±0.25</w:t>
      </w:r>
      <w:r>
        <w:t xml:space="preserve">% of max value </w:t>
      </w:r>
      <w:r>
        <w:fldChar w:fldCharType="begin"/>
      </w:r>
      <w:r>
        <w:instrText xml:space="preserve"> ADDIN EN.CITE &lt;EndNote&gt;&lt;Cite&gt;&lt;Author&gt;RS-components&lt;/Author&gt;&lt;Year&gt;2021&lt;/Year&gt;&lt;RecNum&gt;332&lt;/RecNum&gt;&lt;DisplayText&gt;[2]&lt;/DisplayText&gt;&lt;record&gt;&lt;rec-number&gt;332&lt;/rec-number&gt;&lt;foreign-keys&gt;&lt;key app="EN" db-id="fxtef0z5qrdsx4etatnpx2wszx5pxd0fssra" timestamp="1631024690"&gt;332&lt;/key&gt;&lt;/foreign-keys&gt;&lt;ref-type name="Web Page"&gt;12&lt;/ref-type&gt;&lt;contributors&gt;&lt;authors&gt;&lt;author&gt;RS-components&lt;/author&gt;&lt;/authors&gt;&lt;/contributors&gt;&lt;titles&gt;&lt;title&gt;RS PRO IPS Series pressure sensors&lt;/title&gt;&lt;/titles&gt;&lt;volume&gt;2021&lt;/volume&gt;&lt;number&gt;September&lt;/number&gt;&lt;dates&gt;&lt;year&gt;2021&lt;/year&gt;&lt;/dates&gt;&lt;urls&gt;&lt;related-urls&gt;&lt;url&gt;https://uk.rs-online.com/web/p/pressure-sensors/7975005/&lt;/url&gt;&lt;/related-urls&gt;&lt;/urls&gt;&lt;/record&gt;&lt;/Cite&gt;&lt;/EndNote&gt;</w:instrText>
      </w:r>
      <w:r>
        <w:fldChar w:fldCharType="separate"/>
      </w:r>
      <w:r>
        <w:rPr>
          <w:noProof/>
        </w:rPr>
        <w:t>[2]</w:t>
      </w:r>
      <w:r>
        <w:fldChar w:fldCharType="end"/>
      </w:r>
      <w:r>
        <w:t xml:space="preserve">.  The sensors fitted on the LP piping were rated from 0 to 16 bar, while the sensors on the HP side were rated from 0 to 100 bar. </w:t>
      </w:r>
    </w:p>
    <w:p w14:paraId="59F535BC" w14:textId="77777777" w:rsidR="000A6072" w:rsidRDefault="000A6072" w:rsidP="000A6072">
      <w:pPr>
        <w:jc w:val="center"/>
      </w:pPr>
      <w:r>
        <w:rPr>
          <w:noProof/>
          <w:lang w:eastAsia="en-GB"/>
        </w:rPr>
        <w:drawing>
          <wp:inline distT="0" distB="0" distL="0" distR="0" wp14:anchorId="6D0CA5E4" wp14:editId="194513A4">
            <wp:extent cx="2808000" cy="2808000"/>
            <wp:effectExtent l="0" t="0" r="0" b="0"/>
            <wp:docPr id="8" name="Picture 8" descr="A picture containing indoor,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ndoor, gear&#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08000" cy="2808000"/>
                    </a:xfrm>
                    <a:prstGeom prst="rect">
                      <a:avLst/>
                    </a:prstGeom>
                    <a:noFill/>
                    <a:ln>
                      <a:noFill/>
                    </a:ln>
                  </pic:spPr>
                </pic:pic>
              </a:graphicData>
            </a:graphic>
          </wp:inline>
        </w:drawing>
      </w:r>
    </w:p>
    <w:p w14:paraId="2F1B5E37" w14:textId="0C3AF502" w:rsidR="000A6072" w:rsidRPr="004A1CFC" w:rsidRDefault="000A6072" w:rsidP="005A2DB7">
      <w:pPr>
        <w:pStyle w:val="Caption"/>
      </w:pPr>
      <w:bookmarkStart w:id="7" w:name="_Toc81317056"/>
      <w:r>
        <w:t>Fig. S.</w:t>
      </w:r>
      <w:r w:rsidR="00C22EB4">
        <w:t>7.</w:t>
      </w:r>
      <w:r w:rsidRPr="004A1CFC">
        <w:t xml:space="preserve"> </w:t>
      </w:r>
      <w:r>
        <w:rPr>
          <w:b w:val="0"/>
        </w:rPr>
        <w:t>Pressure transmitter.</w:t>
      </w:r>
      <w:bookmarkEnd w:id="7"/>
    </w:p>
    <w:p w14:paraId="47FA338E" w14:textId="77777777" w:rsidR="000A6072" w:rsidRDefault="000A6072" w:rsidP="00E670A5">
      <w:pPr>
        <w:pStyle w:val="Heading2"/>
      </w:pPr>
      <w:bookmarkStart w:id="8" w:name="_Toc81317164"/>
      <w:r>
        <w:t>Concentration measurement</w:t>
      </w:r>
      <w:bookmarkEnd w:id="8"/>
    </w:p>
    <w:p w14:paraId="0B471EE0" w14:textId="41765D5F" w:rsidR="007433CC" w:rsidRDefault="000A6072" w:rsidP="007433CC">
      <w:pPr>
        <w:spacing w:after="240"/>
        <w:ind w:firstLine="431"/>
        <w:jc w:val="both"/>
      </w:pPr>
      <w:r>
        <w:t xml:space="preserve">The feed and permeate concentration were measured using the OMEGA </w:t>
      </w:r>
      <w:r w:rsidRPr="00DA441A">
        <w:t>CDTX-2854</w:t>
      </w:r>
      <w:r>
        <w:t xml:space="preserve"> conductivity transmitter, shown in Fig. S.</w:t>
      </w:r>
      <w:r w:rsidR="00C22EB4">
        <w:t>8</w:t>
      </w:r>
      <w:r>
        <w:t>. It is an i</w:t>
      </w:r>
      <w:r w:rsidRPr="00DA441A">
        <w:t xml:space="preserve">ntegrally mounted conductivity </w:t>
      </w:r>
      <w:r>
        <w:t xml:space="preserve">sensor and </w:t>
      </w:r>
      <w:r w:rsidRPr="00DA441A">
        <w:t xml:space="preserve">transmitter </w:t>
      </w:r>
      <w:r>
        <w:t xml:space="preserve">that delivers an accuracy of </w:t>
      </w:r>
      <w:r w:rsidRPr="00D71122">
        <w:t>±</w:t>
      </w:r>
      <w:r>
        <w:t xml:space="preserve">2% of </w:t>
      </w:r>
      <w:r w:rsidR="00E975BC">
        <w:t>reading</w:t>
      </w:r>
      <w:r>
        <w:t xml:space="preserve"> </w:t>
      </w:r>
      <w:r>
        <w:fldChar w:fldCharType="begin"/>
      </w:r>
      <w:r>
        <w:instrText xml:space="preserve"> ADDIN EN.CITE &lt;EndNote&gt;&lt;Cite&gt;&lt;Author&gt;Omega&lt;/Author&gt;&lt;Year&gt;2021&lt;/Year&gt;&lt;RecNum&gt;329&lt;/RecNum&gt;&lt;DisplayText&gt;[3]&lt;/DisplayText&gt;&lt;record&gt;&lt;rec-number&gt;329&lt;/rec-number&gt;&lt;foreign-keys&gt;&lt;key app="EN" db-id="fxtef0z5qrdsx4etatnpx2wszx5pxd0fssra" timestamp="1631024191"&gt;329&lt;/key&gt;&lt;/foreign-keys&gt;&lt;ref-type name="Web Page"&gt;12&lt;/ref-type&gt;&lt;contributors&gt;&lt;authors&gt;&lt;author&gt;Omega&lt;/author&gt;&lt;/authors&gt;&lt;/contributors&gt;&lt;titles&gt;&lt;title&gt;CDTX-2851 Integral mount conductivity transmitters&lt;/title&gt;&lt;/titles&gt;&lt;volume&gt;2021&lt;/volume&gt;&lt;number&gt;September&lt;/number&gt;&lt;dates&gt;&lt;year&gt;2021&lt;/year&gt;&lt;/dates&gt;&lt;urls&gt;&lt;related-urls&gt;&lt;url&gt;https://www.omega.com/en-us/control-monitoring/air-soil-liquid-and-gas/water-quality-transmitters/cdtx-2850-series/p/CDTX-2851&lt;/url&gt;&lt;/related-urls&gt;&lt;/urls&gt;&lt;/record&gt;&lt;/Cite&gt;&lt;/EndNote&gt;</w:instrText>
      </w:r>
      <w:r>
        <w:fldChar w:fldCharType="separate"/>
      </w:r>
      <w:r>
        <w:rPr>
          <w:noProof/>
        </w:rPr>
        <w:t>[3]</w:t>
      </w:r>
      <w:r>
        <w:fldChar w:fldCharType="end"/>
      </w:r>
      <w:r>
        <w:t xml:space="preserve">. The sensors provided a conductivity reading of 0 to 5000 </w:t>
      </w:r>
      <w:r w:rsidRPr="00D71122">
        <w:t>µ</w:t>
      </w:r>
      <w:r>
        <w:t xml:space="preserve">S/cm and 0 to 100,000 </w:t>
      </w:r>
      <w:r w:rsidRPr="00D71122">
        <w:t>µ</w:t>
      </w:r>
      <w:r>
        <w:t xml:space="preserve">S/cm for the feed and permeate streams, respectively, in the form of a 4 – 20 mA current signal. The conductivity reading was converted to a measurement of TDS using equation (S.1). However, the relationship between electrical conductivity and TDS varies with water salinity. The conversion factor, </w:t>
      </w:r>
      <w:r w:rsidRPr="004748A8">
        <w:rPr>
          <w:i/>
          <w:iCs/>
        </w:rPr>
        <w:t>K</w:t>
      </w:r>
      <w:r>
        <w:t xml:space="preserve">, was considered as 0.64 and 0.55 for feedwater and permeate water, respectively </w:t>
      </w:r>
      <w:r>
        <w:fldChar w:fldCharType="begin"/>
      </w:r>
      <w:r>
        <w:instrText xml:space="preserve"> ADDIN EN.CITE &lt;EndNote&gt;&lt;Cite&gt;&lt;Author&gt;Walton&lt;/Author&gt;&lt;Year&gt;1989&lt;/Year&gt;&lt;RecNum&gt;312&lt;/RecNum&gt;&lt;DisplayText&gt;[4]&lt;/DisplayText&gt;&lt;record&gt;&lt;rec-number&gt;312&lt;/rec-number&gt;&lt;foreign-keys&gt;&lt;key app="EN" db-id="fxtef0z5qrdsx4etatnpx2wszx5pxd0fssra" timestamp="1624096869"&gt;312&lt;/key&gt;&lt;/foreign-keys&gt;&lt;ref-type name="Journal Article"&gt;17&lt;/ref-type&gt;&lt;contributors&gt;&lt;authors&gt;&lt;author&gt;Walton, N. R. G.&lt;/author&gt;&lt;/authors&gt;&lt;/contributors&gt;&lt;titles&gt;&lt;title&gt;Electrical Conductivity and Total Dissolved Solids—What is Their Precise Relationship?&lt;/title&gt;&lt;secondary-title&gt;Desalination&lt;/secondary-title&gt;&lt;/titles&gt;&lt;periodical&gt;&lt;full-title&gt;Desalination&lt;/full-title&gt;&lt;/periodical&gt;&lt;pages&gt;275-292&lt;/pages&gt;&lt;volume&gt;72&lt;/volume&gt;&lt;number&gt;3&lt;/number&gt;&lt;keywords&gt;&lt;keyword&gt;desalination&lt;/keyword&gt;&lt;keyword&gt;reverse osmosis&lt;/keyword&gt;&lt;keyword&gt;distillate&lt;/keyword&gt;&lt;keyword&gt;permeate&lt;/keyword&gt;&lt;keyword&gt;water quality&lt;/keyword&gt;&lt;keyword&gt;quality measurement&lt;/keyword&gt;&lt;keyword&gt;electrical conductivity&lt;/keyword&gt;&lt;keyword&gt;total dissolved solids&lt;/keyword&gt;&lt;keyword&gt;water chemistry.&lt;/keyword&gt;&lt;/keywords&gt;&lt;dates&gt;&lt;year&gt;1989&lt;/year&gt;&lt;pub-dates&gt;&lt;date&gt;1989/12/01/&lt;/date&gt;&lt;/pub-dates&gt;&lt;/dates&gt;&lt;isbn&gt;0011-9164&lt;/isbn&gt;&lt;urls&gt;&lt;related-urls&gt;&lt;url&gt;https://www.sciencedirect.com/science/article/pii/0011916489800128&lt;/url&gt;&lt;/related-urls&gt;&lt;/urls&gt;&lt;electronic-resource-num&gt;https://doi.org/10.1016/0011-9164(89)80012-8&lt;/electronic-resource-num&gt;&lt;/record&gt;&lt;/Cite&gt;&lt;/EndNote&gt;</w:instrText>
      </w:r>
      <w:r>
        <w:fldChar w:fldCharType="separate"/>
      </w:r>
      <w:r>
        <w:rPr>
          <w:noProof/>
        </w:rPr>
        <w:t>[4]</w:t>
      </w:r>
      <w:r>
        <w:fldChar w:fldCharType="end"/>
      </w:r>
      <w:r>
        <w:t xml:space="preserve">. The </w:t>
      </w:r>
      <w:r w:rsidR="007433CC">
        <w:t xml:space="preserve">feed and permeate conductivity </w:t>
      </w:r>
      <w:r>
        <w:t xml:space="preserve">sensors were calibrated using a NIST compliant conductivity standard solution of </w:t>
      </w:r>
      <w:r w:rsidRPr="007C7BF8">
        <w:t>12880</w:t>
      </w:r>
      <w:r>
        <w:t xml:space="preserve"> </w:t>
      </w:r>
      <w:proofErr w:type="spellStart"/>
      <w:r w:rsidRPr="007C7BF8">
        <w:t>μS</w:t>
      </w:r>
      <w:proofErr w:type="spellEnd"/>
      <w:r w:rsidRPr="007C7BF8">
        <w:t>/cm</w:t>
      </w:r>
      <w:r>
        <w:t>.</w:t>
      </w:r>
      <w:r w:rsidR="007433CC">
        <w:t xml:space="preserve"> Their calibration data are included in Table S.3 in Section S.2.7.</w:t>
      </w:r>
    </w:p>
    <w:p w14:paraId="4EF275BC" w14:textId="77777777" w:rsidR="000A6072" w:rsidRDefault="000A6072" w:rsidP="000A6072">
      <w:pPr>
        <w:spacing w:after="240"/>
      </w:pPr>
      <m:oMath>
        <m:r>
          <w:rPr>
            <w:rFonts w:ascii="Cambria Math" w:hAnsi="Cambria Math"/>
          </w:rPr>
          <w:lastRenderedPageBreak/>
          <m:t>C (mg/l)=Conductivity (μS/cm)×K</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(S.1)</w:t>
      </w:r>
    </w:p>
    <w:p w14:paraId="469B94EC" w14:textId="77777777" w:rsidR="000A6072" w:rsidRDefault="000A6072" w:rsidP="000A6072">
      <w:pPr>
        <w:jc w:val="center"/>
      </w:pPr>
      <w:r>
        <w:rPr>
          <w:noProof/>
          <w:lang w:eastAsia="en-GB"/>
        </w:rPr>
        <w:drawing>
          <wp:inline distT="0" distB="0" distL="0" distR="0" wp14:anchorId="0A0F3F24" wp14:editId="05F60346">
            <wp:extent cx="2806755" cy="2808000"/>
            <wp:effectExtent l="0" t="0" r="0" b="0"/>
            <wp:docPr id="41" name="Picture 41" descr="Close-up of a mach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Close-up of a machine&#10;&#10;Description automatically generated with low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06755" cy="2808000"/>
                    </a:xfrm>
                    <a:prstGeom prst="rect">
                      <a:avLst/>
                    </a:prstGeom>
                    <a:noFill/>
                    <a:ln>
                      <a:noFill/>
                    </a:ln>
                  </pic:spPr>
                </pic:pic>
              </a:graphicData>
            </a:graphic>
          </wp:inline>
        </w:drawing>
      </w:r>
    </w:p>
    <w:p w14:paraId="59AD0397" w14:textId="494C55D0" w:rsidR="000A6072" w:rsidRDefault="000A6072" w:rsidP="005A2DB7">
      <w:pPr>
        <w:pStyle w:val="Caption"/>
        <w:rPr>
          <w:b w:val="0"/>
        </w:rPr>
      </w:pPr>
      <w:bookmarkStart w:id="9" w:name="_Toc81317057"/>
      <w:r>
        <w:t>Fig. S.</w:t>
      </w:r>
      <w:r w:rsidR="00C22EB4">
        <w:t>8</w:t>
      </w:r>
      <w:r w:rsidRPr="004A1CFC">
        <w:t xml:space="preserve">. </w:t>
      </w:r>
      <w:r>
        <w:rPr>
          <w:b w:val="0"/>
        </w:rPr>
        <w:t>Conductivity transmitter.</w:t>
      </w:r>
      <w:bookmarkEnd w:id="9"/>
    </w:p>
    <w:p w14:paraId="5D6F9A3C" w14:textId="77777777" w:rsidR="000A6072" w:rsidRDefault="000A6072" w:rsidP="00E670A5">
      <w:pPr>
        <w:pStyle w:val="Heading2"/>
      </w:pPr>
      <w:bookmarkStart w:id="10" w:name="_Toc81317165"/>
      <w:r>
        <w:t>Temperature measurement</w:t>
      </w:r>
      <w:bookmarkEnd w:id="10"/>
    </w:p>
    <w:p w14:paraId="1D7CDC98" w14:textId="26FE64BF" w:rsidR="000A6072" w:rsidRDefault="000A6072" w:rsidP="005A2DB7">
      <w:pPr>
        <w:spacing w:after="240"/>
        <w:ind w:firstLine="431"/>
        <w:jc w:val="both"/>
      </w:pPr>
      <w:r>
        <w:t>The feedwater temperature was measured using a temperature transmitter installed on the feed line of the RO system.  The transmitter used is the TEAT-LL fluid temperature transmitter manufactured by SYXTHSENSE</w:t>
      </w:r>
      <w:r w:rsidR="00D70270">
        <w:t xml:space="preserve"> (Exeter, United Kingdom)</w:t>
      </w:r>
      <w:r>
        <w:t>, shown in Fig. S.</w:t>
      </w:r>
      <w:r w:rsidR="00C22EB4">
        <w:t>9</w:t>
      </w:r>
      <w:r>
        <w:t>. The sensor generated a 4 – 20 mA signal for a 0 to 50</w:t>
      </w:r>
      <w:r w:rsidRPr="0050505F">
        <w:rPr>
          <w:vertAlign w:val="superscript"/>
        </w:rPr>
        <w:t>o</w:t>
      </w:r>
      <w:r>
        <w:t xml:space="preserve">C temperature range. The sensor accuracy is </w:t>
      </w:r>
      <w:r w:rsidRPr="00D71122">
        <w:t>±</w:t>
      </w:r>
      <w:r>
        <w:t xml:space="preserve"> 0.5</w:t>
      </w:r>
      <w:r w:rsidRPr="0050505F">
        <w:rPr>
          <w:vertAlign w:val="superscript"/>
        </w:rPr>
        <w:t>o</w:t>
      </w:r>
      <w:r>
        <w:t xml:space="preserve">C </w:t>
      </w:r>
      <w:r>
        <w:fldChar w:fldCharType="begin"/>
      </w:r>
      <w:r>
        <w:instrText xml:space="preserve"> ADDIN EN.CITE &lt;EndNote&gt;&lt;Cite&gt;&lt;Author&gt;SYXTHSENSE&lt;/Author&gt;&lt;Year&gt;2021&lt;/Year&gt;&lt;RecNum&gt;330&lt;/RecNum&gt;&lt;DisplayText&gt;[5]&lt;/DisplayText&gt;&lt;record&gt;&lt;rec-number&gt;330&lt;/rec-number&gt;&lt;foreign-keys&gt;&lt;key app="EN" db-id="fxtef0z5qrdsx4etatnpx2wszx5pxd0fssra" timestamp="1631024394"&gt;330&lt;/key&gt;&lt;/foreign-keys&gt;&lt;ref-type name="Web Page"&gt;12&lt;/ref-type&gt;&lt;contributors&gt;&lt;authors&gt;&lt;author&gt;SYXTHSENSE&lt;/author&gt;&lt;/authors&gt;&lt;/contributors&gt;&lt;titles&gt;&lt;title&gt;TEAT-LL fluid temperature transmitter&lt;/title&gt;&lt;/titles&gt;&lt;volume&gt;2021&lt;/volume&gt;&lt;number&gt;September&lt;/number&gt;&lt;dates&gt;&lt;year&gt;2021&lt;/year&gt;&lt;/dates&gt;&lt;urls&gt;&lt;related-urls&gt;&lt;url&gt;https://www.syxthsense.com/sensors/teat-ll/fluid-temperature-transmitter,-4..20ma/&lt;/url&gt;&lt;/related-urls&gt;&lt;/urls&gt;&lt;/record&gt;&lt;/Cite&gt;&lt;/EndNote&gt;</w:instrText>
      </w:r>
      <w:r>
        <w:fldChar w:fldCharType="separate"/>
      </w:r>
      <w:r>
        <w:rPr>
          <w:noProof/>
        </w:rPr>
        <w:t>[5]</w:t>
      </w:r>
      <w:r>
        <w:fldChar w:fldCharType="end"/>
      </w:r>
      <w:r>
        <w:t xml:space="preserve">. </w:t>
      </w:r>
    </w:p>
    <w:p w14:paraId="5A27832A" w14:textId="77777777" w:rsidR="000A6072" w:rsidRDefault="000A6072" w:rsidP="000A6072">
      <w:pPr>
        <w:jc w:val="center"/>
      </w:pPr>
      <w:r>
        <w:rPr>
          <w:noProof/>
          <w:lang w:eastAsia="en-GB"/>
        </w:rPr>
        <w:drawing>
          <wp:inline distT="0" distB="0" distL="0" distR="0" wp14:anchorId="49E85AF0" wp14:editId="71F5801A">
            <wp:extent cx="2806756" cy="2808000"/>
            <wp:effectExtent l="0" t="0" r="0" b="0"/>
            <wp:docPr id="42" name="Picture 42" descr="A picture containing indoor, sil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indoor, silver&#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06756" cy="2808000"/>
                    </a:xfrm>
                    <a:prstGeom prst="rect">
                      <a:avLst/>
                    </a:prstGeom>
                    <a:noFill/>
                    <a:ln>
                      <a:noFill/>
                    </a:ln>
                  </pic:spPr>
                </pic:pic>
              </a:graphicData>
            </a:graphic>
          </wp:inline>
        </w:drawing>
      </w:r>
    </w:p>
    <w:p w14:paraId="38DFDB31" w14:textId="54CCF77F" w:rsidR="000A6072" w:rsidRDefault="000A6072" w:rsidP="005A2DB7">
      <w:pPr>
        <w:pStyle w:val="Caption"/>
        <w:rPr>
          <w:b w:val="0"/>
        </w:rPr>
      </w:pPr>
      <w:bookmarkStart w:id="11" w:name="_Toc81317058"/>
      <w:r>
        <w:t>Fig. S.</w:t>
      </w:r>
      <w:r w:rsidR="00C22EB4">
        <w:t>9</w:t>
      </w:r>
      <w:r w:rsidRPr="004A1CFC">
        <w:t xml:space="preserve">. </w:t>
      </w:r>
      <w:r>
        <w:rPr>
          <w:b w:val="0"/>
        </w:rPr>
        <w:t>Temperature transmitter.</w:t>
      </w:r>
      <w:bookmarkEnd w:id="11"/>
    </w:p>
    <w:p w14:paraId="4AD0743C" w14:textId="77777777" w:rsidR="000A6072" w:rsidRDefault="000A6072" w:rsidP="00E670A5">
      <w:pPr>
        <w:pStyle w:val="Heading2"/>
      </w:pPr>
      <w:bookmarkStart w:id="12" w:name="_Toc81317166"/>
      <w:r>
        <w:lastRenderedPageBreak/>
        <w:t>Power consumption measurement</w:t>
      </w:r>
      <w:bookmarkEnd w:id="12"/>
    </w:p>
    <w:p w14:paraId="3A08103E" w14:textId="5F99C0B2" w:rsidR="000A6072" w:rsidRDefault="000A6072" w:rsidP="005A2DB7">
      <w:pPr>
        <w:spacing w:after="240"/>
        <w:ind w:firstLine="431"/>
        <w:jc w:val="both"/>
      </w:pPr>
      <w:r>
        <w:t xml:space="preserve">The power consumption of each motor was calculated using equation (S.2), such that </w:t>
      </w:r>
      <w:proofErr w:type="spellStart"/>
      <w:r w:rsidRPr="004E1363">
        <w:rPr>
          <w:i/>
          <w:iCs/>
        </w:rPr>
        <w:t>I</w:t>
      </w:r>
      <w:r w:rsidRPr="004E1363">
        <w:rPr>
          <w:i/>
          <w:iCs/>
          <w:vertAlign w:val="subscript"/>
        </w:rPr>
        <w:t>Ph</w:t>
      </w:r>
      <w:proofErr w:type="spellEnd"/>
      <w:r>
        <w:t xml:space="preserve"> is the current through a single phase, </w:t>
      </w:r>
      <w:proofErr w:type="spellStart"/>
      <w:r w:rsidRPr="004E1363">
        <w:rPr>
          <w:i/>
          <w:iCs/>
        </w:rPr>
        <w:t>V</w:t>
      </w:r>
      <w:r w:rsidRPr="004E1363">
        <w:rPr>
          <w:i/>
          <w:iCs/>
          <w:vertAlign w:val="subscript"/>
        </w:rPr>
        <w:t>Ph</w:t>
      </w:r>
      <w:proofErr w:type="spellEnd"/>
      <w:r>
        <w:t xml:space="preserve"> is the phase voltage, and </w:t>
      </w:r>
      <w:r w:rsidRPr="004E1363">
        <w:rPr>
          <w:i/>
          <w:iCs/>
        </w:rPr>
        <w:t>PF</w:t>
      </w:r>
      <w:r>
        <w:t xml:space="preserve"> is the power factor of the respective motor. The phase voltage for each motor was constant at 240V before the VFDs and the power factor for each motor was supplied by the manufacturers. The phase current for each motor was measured using current sensors installed on single-phase lines before the VFDs and used to calculate the power consumption from equation (S.2). The current transmitter used are the HOBUT</w:t>
      </w:r>
      <w:r w:rsidR="00D70270">
        <w:t xml:space="preserve"> (</w:t>
      </w:r>
      <w:r w:rsidR="00D70270" w:rsidRPr="00825DB2">
        <w:t>Walsall, United Kingdom</w:t>
      </w:r>
      <w:r w:rsidR="00D70270">
        <w:t xml:space="preserve">) </w:t>
      </w:r>
      <w:r w:rsidRPr="008F6F2A">
        <w:t>CT132TRAN</w:t>
      </w:r>
      <w:r>
        <w:t>, shown in Fig. S.</w:t>
      </w:r>
      <w:r w:rsidR="00C22EB4">
        <w:t>10</w:t>
      </w:r>
      <w:r>
        <w:t>. They generated a 4 – 20 mA signal for a current range of 0 – 10A, 0 – 20A and 0 – 50A, depending on the motor power, with an accuracy</w:t>
      </w:r>
      <w:r w:rsidRPr="00557108">
        <w:t xml:space="preserve"> </w:t>
      </w:r>
      <w:r>
        <w:t xml:space="preserve">of </w:t>
      </w:r>
      <w:r w:rsidRPr="00D71122">
        <w:t>±</w:t>
      </w:r>
      <w:r>
        <w:t xml:space="preserve"> 0.5% of the max current reading </w:t>
      </w:r>
      <w:r>
        <w:fldChar w:fldCharType="begin"/>
      </w:r>
      <w:r>
        <w:instrText xml:space="preserve"> ADDIN EN.CITE &lt;EndNote&gt;&lt;Cite&gt;&lt;Author&gt;HOBUT&lt;/Author&gt;&lt;Year&gt;2021&lt;/Year&gt;&lt;RecNum&gt;331&lt;/RecNum&gt;&lt;DisplayText&gt;[6]&lt;/DisplayText&gt;&lt;record&gt;&lt;rec-number&gt;331&lt;/rec-number&gt;&lt;foreign-keys&gt;&lt;key app="EN" db-id="fxtef0z5qrdsx4etatnpx2wszx5pxd0fssra" timestamp="1631024513"&gt;331&lt;/key&gt;&lt;/foreign-keys&gt;&lt;ref-type name="Web Page"&gt;12&lt;/ref-type&gt;&lt;contributors&gt;&lt;authors&gt;&lt;author&gt;HOBUT&lt;/author&gt;&lt;/authors&gt;&lt;/contributors&gt;&lt;titles&gt;&lt;title&gt;HOBUT CT132TRAN current transmitter&lt;/title&gt;&lt;/titles&gt;&lt;volume&gt;2021&lt;/volume&gt;&lt;number&gt;September&lt;/number&gt;&lt;dates&gt;&lt;year&gt;2021&lt;/year&gt;&lt;/dates&gt;&lt;urls&gt;&lt;related-urls&gt;&lt;url&gt;https://www.hobut.co.uk/ct132tran-current-sensor-current-transducer/&lt;/url&gt;&lt;/related-urls&gt;&lt;/urls&gt;&lt;/record&gt;&lt;/Cite&gt;&lt;/EndNote&gt;</w:instrText>
      </w:r>
      <w:r>
        <w:fldChar w:fldCharType="separate"/>
      </w:r>
      <w:r>
        <w:rPr>
          <w:noProof/>
        </w:rPr>
        <w:t>[6]</w:t>
      </w:r>
      <w:r>
        <w:fldChar w:fldCharType="end"/>
      </w:r>
      <w:r>
        <w:t>.</w:t>
      </w:r>
    </w:p>
    <w:p w14:paraId="6263EA52" w14:textId="77777777" w:rsidR="000A6072" w:rsidRPr="00B73B3F" w:rsidRDefault="000A6072" w:rsidP="000A6072">
      <w:pPr>
        <w:spacing w:after="240"/>
      </w:pPr>
      <m:oMath>
        <m:r>
          <w:rPr>
            <w:rFonts w:ascii="Cambria Math" w:hAnsi="Cambria Math"/>
          </w:rPr>
          <m:t>P=3</m:t>
        </m:r>
        <m:sSub>
          <m:sSubPr>
            <m:ctrlPr>
              <w:rPr>
                <w:rFonts w:ascii="Cambria Math" w:hAnsi="Cambria Math"/>
                <w:i/>
              </w:rPr>
            </m:ctrlPr>
          </m:sSubPr>
          <m:e>
            <m:r>
              <w:rPr>
                <w:rFonts w:ascii="Cambria Math" w:hAnsi="Cambria Math"/>
              </w:rPr>
              <m:t>V</m:t>
            </m:r>
          </m:e>
          <m:sub>
            <m:r>
              <w:rPr>
                <w:rFonts w:ascii="Cambria Math" w:hAnsi="Cambria Math"/>
              </w:rPr>
              <m:t>Ph</m:t>
            </m:r>
          </m:sub>
        </m:sSub>
        <m:sSub>
          <m:sSubPr>
            <m:ctrlPr>
              <w:rPr>
                <w:rFonts w:ascii="Cambria Math" w:hAnsi="Cambria Math"/>
                <w:i/>
              </w:rPr>
            </m:ctrlPr>
          </m:sSubPr>
          <m:e>
            <m:r>
              <w:rPr>
                <w:rFonts w:ascii="Cambria Math" w:hAnsi="Cambria Math"/>
              </w:rPr>
              <m:t>I</m:t>
            </m:r>
          </m:e>
          <m:sub>
            <m:r>
              <w:rPr>
                <w:rFonts w:ascii="Cambria Math" w:hAnsi="Cambria Math"/>
              </w:rPr>
              <m:t>Ph</m:t>
            </m:r>
          </m:sub>
        </m:sSub>
        <m:r>
          <w:rPr>
            <w:rFonts w:ascii="Cambria Math" w:hAnsi="Cambria Math"/>
          </w:rPr>
          <m:t>PF</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(S.2)</w:t>
      </w:r>
    </w:p>
    <w:p w14:paraId="2E2136CA" w14:textId="77777777" w:rsidR="000A6072" w:rsidRDefault="000A6072" w:rsidP="000A6072">
      <w:pPr>
        <w:jc w:val="center"/>
      </w:pPr>
      <w:r>
        <w:rPr>
          <w:noProof/>
          <w:lang w:eastAsia="en-GB"/>
        </w:rPr>
        <w:drawing>
          <wp:inline distT="0" distB="0" distL="0" distR="0" wp14:anchorId="72405A41" wp14:editId="29D376B6">
            <wp:extent cx="1598174" cy="2160000"/>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98174" cy="2160000"/>
                    </a:xfrm>
                    <a:prstGeom prst="rect">
                      <a:avLst/>
                    </a:prstGeom>
                    <a:noFill/>
                    <a:ln>
                      <a:noFill/>
                    </a:ln>
                  </pic:spPr>
                </pic:pic>
              </a:graphicData>
            </a:graphic>
          </wp:inline>
        </w:drawing>
      </w:r>
    </w:p>
    <w:p w14:paraId="4B3FA58B" w14:textId="0F112ACE" w:rsidR="000A6072" w:rsidRDefault="000A6072" w:rsidP="005A2DB7">
      <w:pPr>
        <w:pStyle w:val="Caption"/>
        <w:rPr>
          <w:b w:val="0"/>
        </w:rPr>
      </w:pPr>
      <w:bookmarkStart w:id="13" w:name="_Toc81317059"/>
      <w:r>
        <w:t>Fig. S.</w:t>
      </w:r>
      <w:r w:rsidR="00C22EB4">
        <w:t>10</w:t>
      </w:r>
      <w:r w:rsidRPr="004A1CFC">
        <w:t xml:space="preserve">. </w:t>
      </w:r>
      <w:r>
        <w:rPr>
          <w:b w:val="0"/>
        </w:rPr>
        <w:t>Current transmitter.</w:t>
      </w:r>
      <w:bookmarkEnd w:id="13"/>
    </w:p>
    <w:p w14:paraId="63BEAE3E" w14:textId="77777777" w:rsidR="000A6072" w:rsidRDefault="000A6072" w:rsidP="000A6072"/>
    <w:p w14:paraId="252F7E2E" w14:textId="77777777" w:rsidR="000A6072" w:rsidRDefault="000A6072" w:rsidP="000A6072"/>
    <w:p w14:paraId="2A0875A4" w14:textId="77777777" w:rsidR="000A6072" w:rsidRDefault="000A6072" w:rsidP="000A6072"/>
    <w:p w14:paraId="2195E0A2" w14:textId="77777777" w:rsidR="000A6072" w:rsidRDefault="000A6072" w:rsidP="000A6072"/>
    <w:p w14:paraId="0DD76858" w14:textId="77777777" w:rsidR="000A6072" w:rsidRDefault="000A6072" w:rsidP="000A6072"/>
    <w:p w14:paraId="1BCAA202" w14:textId="77777777" w:rsidR="000A6072" w:rsidRDefault="000A6072" w:rsidP="000A6072"/>
    <w:p w14:paraId="47B5D661" w14:textId="77777777" w:rsidR="000A6072" w:rsidRDefault="000A6072" w:rsidP="000A6072"/>
    <w:p w14:paraId="3E7A2B47" w14:textId="77777777" w:rsidR="000A6072" w:rsidRDefault="000A6072" w:rsidP="00E670A5">
      <w:pPr>
        <w:pStyle w:val="Heading2"/>
      </w:pPr>
      <w:r>
        <w:lastRenderedPageBreak/>
        <w:t>Experimental error</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5"/>
        <w:gridCol w:w="3005"/>
        <w:gridCol w:w="3005"/>
      </w:tblGrid>
      <w:tr w:rsidR="000A6072" w14:paraId="63EDD2EA" w14:textId="77777777" w:rsidTr="00D24DEF">
        <w:trPr>
          <w:trHeight w:val="680"/>
          <w:jc w:val="center"/>
        </w:trPr>
        <w:tc>
          <w:tcPr>
            <w:tcW w:w="9015" w:type="dxa"/>
            <w:gridSpan w:val="3"/>
            <w:vAlign w:val="center"/>
          </w:tcPr>
          <w:p w14:paraId="6FDB2446" w14:textId="3891FAC7" w:rsidR="000A6072" w:rsidRDefault="000A6072" w:rsidP="005A2DB7">
            <w:pPr>
              <w:rPr>
                <w:b/>
                <w:bCs/>
              </w:rPr>
            </w:pPr>
            <w:r>
              <w:rPr>
                <w:b/>
                <w:bCs/>
              </w:rPr>
              <w:t>Table S.</w:t>
            </w:r>
            <w:r w:rsidR="005A2DB7">
              <w:rPr>
                <w:b/>
                <w:bCs/>
              </w:rPr>
              <w:t>2</w:t>
            </w:r>
            <w:r>
              <w:rPr>
                <w:b/>
                <w:bCs/>
              </w:rPr>
              <w:t>.</w:t>
            </w:r>
          </w:p>
          <w:p w14:paraId="450B7755" w14:textId="77777777" w:rsidR="000A6072" w:rsidRPr="00E012E2" w:rsidRDefault="000A6072" w:rsidP="00D24DEF">
            <w:r>
              <w:t>Estimation of e</w:t>
            </w:r>
            <w:r w:rsidRPr="00E012E2">
              <w:t>xperimental error</w:t>
            </w:r>
          </w:p>
        </w:tc>
      </w:tr>
      <w:tr w:rsidR="000A6072" w14:paraId="21EB03D3" w14:textId="77777777" w:rsidTr="00D24DEF">
        <w:trPr>
          <w:trHeight w:val="680"/>
          <w:jc w:val="center"/>
        </w:trPr>
        <w:tc>
          <w:tcPr>
            <w:tcW w:w="3005" w:type="dxa"/>
            <w:vAlign w:val="center"/>
          </w:tcPr>
          <w:p w14:paraId="35C14F73" w14:textId="77777777" w:rsidR="000A6072" w:rsidRPr="00052D04" w:rsidRDefault="000A6072" w:rsidP="00D24DEF">
            <w:pPr>
              <w:rPr>
                <w:b/>
                <w:bCs/>
              </w:rPr>
            </w:pPr>
            <w:r w:rsidRPr="00052D04">
              <w:rPr>
                <w:b/>
                <w:bCs/>
              </w:rPr>
              <w:t>Measurement</w:t>
            </w:r>
          </w:p>
        </w:tc>
        <w:tc>
          <w:tcPr>
            <w:tcW w:w="3005" w:type="dxa"/>
            <w:vAlign w:val="center"/>
          </w:tcPr>
          <w:p w14:paraId="5411AC98" w14:textId="77777777" w:rsidR="000A6072" w:rsidRPr="00052D04" w:rsidRDefault="000A6072" w:rsidP="00D24DEF">
            <w:pPr>
              <w:contextualSpacing/>
              <w:rPr>
                <w:b/>
                <w:bCs/>
              </w:rPr>
            </w:pPr>
            <w:r w:rsidRPr="00052D04">
              <w:rPr>
                <w:b/>
                <w:bCs/>
              </w:rPr>
              <w:t>Instrument</w:t>
            </w:r>
          </w:p>
        </w:tc>
        <w:tc>
          <w:tcPr>
            <w:tcW w:w="3005" w:type="dxa"/>
            <w:vAlign w:val="center"/>
          </w:tcPr>
          <w:p w14:paraId="45171770" w14:textId="77777777" w:rsidR="000A6072" w:rsidRPr="00052D04" w:rsidRDefault="000A6072" w:rsidP="00D24DEF">
            <w:pPr>
              <w:rPr>
                <w:b/>
                <w:bCs/>
              </w:rPr>
            </w:pPr>
            <w:r w:rsidRPr="00052D04">
              <w:rPr>
                <w:b/>
                <w:bCs/>
              </w:rPr>
              <w:t>Error</w:t>
            </w:r>
          </w:p>
        </w:tc>
      </w:tr>
      <w:tr w:rsidR="000A6072" w14:paraId="265545E9" w14:textId="77777777" w:rsidTr="00D24DEF">
        <w:trPr>
          <w:trHeight w:val="680"/>
          <w:jc w:val="center"/>
        </w:trPr>
        <w:tc>
          <w:tcPr>
            <w:tcW w:w="3005" w:type="dxa"/>
            <w:vAlign w:val="center"/>
          </w:tcPr>
          <w:p w14:paraId="4FFE6ADA" w14:textId="77777777" w:rsidR="000A6072" w:rsidRPr="00052D04" w:rsidRDefault="000A6072" w:rsidP="00D24DEF">
            <w:pPr>
              <w:rPr>
                <w:b/>
                <w:bCs/>
              </w:rPr>
            </w:pPr>
            <w:r w:rsidRPr="00052D04">
              <w:rPr>
                <w:b/>
                <w:bCs/>
              </w:rPr>
              <w:t>Flow</w:t>
            </w:r>
            <w:r>
              <w:rPr>
                <w:b/>
                <w:bCs/>
              </w:rPr>
              <w:t>rate</w:t>
            </w:r>
          </w:p>
        </w:tc>
        <w:tc>
          <w:tcPr>
            <w:tcW w:w="3005" w:type="dxa"/>
            <w:vAlign w:val="center"/>
          </w:tcPr>
          <w:p w14:paraId="6E5605AF" w14:textId="77777777" w:rsidR="000A6072" w:rsidRDefault="000A6072" w:rsidP="00D24DEF">
            <w:r>
              <w:t>OMEGA - FPB151 paddle wheel flowmeter</w:t>
            </w:r>
          </w:p>
        </w:tc>
        <w:tc>
          <w:tcPr>
            <w:tcW w:w="3005" w:type="dxa"/>
            <w:vAlign w:val="center"/>
          </w:tcPr>
          <w:p w14:paraId="7524F844" w14:textId="77777777" w:rsidR="000A6072" w:rsidRDefault="000A6072" w:rsidP="00D24DEF">
            <w:r w:rsidRPr="00D71122">
              <w:t>±</w:t>
            </w:r>
            <w:r>
              <w:t xml:space="preserve"> 1% of the max reading</w:t>
            </w:r>
          </w:p>
        </w:tc>
      </w:tr>
      <w:tr w:rsidR="000A6072" w14:paraId="0774D58D" w14:textId="77777777" w:rsidTr="00D24DEF">
        <w:trPr>
          <w:trHeight w:val="680"/>
          <w:jc w:val="center"/>
        </w:trPr>
        <w:tc>
          <w:tcPr>
            <w:tcW w:w="3005" w:type="dxa"/>
            <w:vAlign w:val="center"/>
          </w:tcPr>
          <w:p w14:paraId="3067C334" w14:textId="50CD9F4C" w:rsidR="000A6072" w:rsidRPr="00052D04" w:rsidRDefault="001C6E61" w:rsidP="00D24DEF">
            <w:pPr>
              <w:rPr>
                <w:b/>
                <w:bCs/>
              </w:rPr>
            </w:pPr>
            <w:r w:rsidRPr="00052D04">
              <w:rPr>
                <w:b/>
                <w:bCs/>
              </w:rPr>
              <w:t>Pressure</w:t>
            </w:r>
          </w:p>
        </w:tc>
        <w:tc>
          <w:tcPr>
            <w:tcW w:w="3005" w:type="dxa"/>
            <w:vAlign w:val="center"/>
          </w:tcPr>
          <w:p w14:paraId="17B86747" w14:textId="77777777" w:rsidR="000A6072" w:rsidRDefault="000A6072" w:rsidP="00D24DEF">
            <w:r>
              <w:t xml:space="preserve">RS PRO </w:t>
            </w:r>
            <w:r w:rsidRPr="00E85907">
              <w:t>IPS Series</w:t>
            </w:r>
            <w:r>
              <w:t xml:space="preserve"> pressure sensors</w:t>
            </w:r>
          </w:p>
        </w:tc>
        <w:tc>
          <w:tcPr>
            <w:tcW w:w="3005" w:type="dxa"/>
            <w:vAlign w:val="center"/>
          </w:tcPr>
          <w:p w14:paraId="185EC9EA" w14:textId="77777777" w:rsidR="000A6072" w:rsidRDefault="000A6072" w:rsidP="00D24DEF">
            <w:r w:rsidRPr="00D71122">
              <w:t>±0.25</w:t>
            </w:r>
            <w:r>
              <w:t>% of the max reading</w:t>
            </w:r>
          </w:p>
        </w:tc>
      </w:tr>
      <w:tr w:rsidR="000A6072" w14:paraId="6C652357" w14:textId="77777777" w:rsidTr="00D24DEF">
        <w:trPr>
          <w:trHeight w:val="680"/>
          <w:jc w:val="center"/>
        </w:trPr>
        <w:tc>
          <w:tcPr>
            <w:tcW w:w="3005" w:type="dxa"/>
            <w:vAlign w:val="center"/>
          </w:tcPr>
          <w:p w14:paraId="283136E6" w14:textId="6C02F6A1" w:rsidR="000A6072" w:rsidRPr="00052D04" w:rsidRDefault="001C6E61" w:rsidP="00D24DEF">
            <w:pPr>
              <w:rPr>
                <w:b/>
                <w:bCs/>
              </w:rPr>
            </w:pPr>
            <w:r w:rsidRPr="00052D04">
              <w:rPr>
                <w:b/>
                <w:bCs/>
              </w:rPr>
              <w:t>Concentration</w:t>
            </w:r>
          </w:p>
        </w:tc>
        <w:tc>
          <w:tcPr>
            <w:tcW w:w="3005" w:type="dxa"/>
            <w:vAlign w:val="center"/>
          </w:tcPr>
          <w:p w14:paraId="0313E3A2" w14:textId="77777777" w:rsidR="000A6072" w:rsidRDefault="000A6072" w:rsidP="00D24DEF">
            <w:r>
              <w:t xml:space="preserve">OMEGA - </w:t>
            </w:r>
            <w:r w:rsidRPr="00DA441A">
              <w:t>CDTX-2854</w:t>
            </w:r>
            <w:r>
              <w:t xml:space="preserve"> conductivity transmitter</w:t>
            </w:r>
          </w:p>
        </w:tc>
        <w:tc>
          <w:tcPr>
            <w:tcW w:w="3005" w:type="dxa"/>
            <w:vAlign w:val="center"/>
          </w:tcPr>
          <w:p w14:paraId="2D107BAB" w14:textId="7CC5F735" w:rsidR="000A6072" w:rsidRDefault="000A6072" w:rsidP="00D24DEF">
            <w:r w:rsidRPr="00D71122">
              <w:t>±</w:t>
            </w:r>
            <w:r>
              <w:t>2% of reading</w:t>
            </w:r>
          </w:p>
        </w:tc>
      </w:tr>
      <w:tr w:rsidR="000A6072" w14:paraId="5C1A82C2" w14:textId="77777777" w:rsidTr="00D24DEF">
        <w:trPr>
          <w:trHeight w:val="680"/>
          <w:jc w:val="center"/>
        </w:trPr>
        <w:tc>
          <w:tcPr>
            <w:tcW w:w="3005" w:type="dxa"/>
            <w:tcBorders>
              <w:bottom w:val="single" w:sz="4" w:space="0" w:color="auto"/>
            </w:tcBorders>
            <w:vAlign w:val="center"/>
          </w:tcPr>
          <w:p w14:paraId="7F09B7BD" w14:textId="77777777" w:rsidR="000A6072" w:rsidRPr="00052D04" w:rsidRDefault="000A6072" w:rsidP="00D24DEF">
            <w:pPr>
              <w:rPr>
                <w:b/>
                <w:bCs/>
              </w:rPr>
            </w:pPr>
            <w:r w:rsidRPr="00052D04">
              <w:rPr>
                <w:b/>
                <w:bCs/>
              </w:rPr>
              <w:t>Temperature</w:t>
            </w:r>
          </w:p>
        </w:tc>
        <w:tc>
          <w:tcPr>
            <w:tcW w:w="3005" w:type="dxa"/>
            <w:tcBorders>
              <w:bottom w:val="single" w:sz="4" w:space="0" w:color="auto"/>
            </w:tcBorders>
            <w:vAlign w:val="center"/>
          </w:tcPr>
          <w:p w14:paraId="32DAC6AC" w14:textId="77777777" w:rsidR="000A6072" w:rsidRDefault="000A6072" w:rsidP="00D24DEF">
            <w:r>
              <w:t xml:space="preserve">SYXTHSENSE - TEAT-LL fluid temperature transmitter </w:t>
            </w:r>
          </w:p>
        </w:tc>
        <w:tc>
          <w:tcPr>
            <w:tcW w:w="3005" w:type="dxa"/>
            <w:tcBorders>
              <w:bottom w:val="single" w:sz="4" w:space="0" w:color="auto"/>
            </w:tcBorders>
            <w:vAlign w:val="center"/>
          </w:tcPr>
          <w:p w14:paraId="0E047573" w14:textId="77777777" w:rsidR="000A6072" w:rsidRDefault="000A6072" w:rsidP="00D24DEF">
            <w:r w:rsidRPr="00D71122">
              <w:t>±</w:t>
            </w:r>
            <w:r>
              <w:t xml:space="preserve"> 0.5</w:t>
            </w:r>
            <w:r w:rsidRPr="0050505F">
              <w:rPr>
                <w:vertAlign w:val="superscript"/>
              </w:rPr>
              <w:t>o</w:t>
            </w:r>
            <w:r>
              <w:t>C</w:t>
            </w:r>
          </w:p>
        </w:tc>
      </w:tr>
      <w:tr w:rsidR="000A6072" w14:paraId="1AE3F490" w14:textId="77777777" w:rsidTr="00D24DEF">
        <w:trPr>
          <w:trHeight w:val="680"/>
          <w:jc w:val="center"/>
        </w:trPr>
        <w:tc>
          <w:tcPr>
            <w:tcW w:w="3005" w:type="dxa"/>
            <w:tcBorders>
              <w:top w:val="single" w:sz="4" w:space="0" w:color="auto"/>
              <w:bottom w:val="single" w:sz="4" w:space="0" w:color="auto"/>
            </w:tcBorders>
            <w:vAlign w:val="center"/>
          </w:tcPr>
          <w:p w14:paraId="00173F59" w14:textId="77777777" w:rsidR="000A6072" w:rsidRPr="00052D04" w:rsidRDefault="000A6072" w:rsidP="00D24DEF">
            <w:pPr>
              <w:rPr>
                <w:b/>
                <w:bCs/>
              </w:rPr>
            </w:pPr>
            <w:r w:rsidRPr="00052D04">
              <w:rPr>
                <w:b/>
                <w:bCs/>
              </w:rPr>
              <w:t xml:space="preserve">Electric current </w:t>
            </w:r>
          </w:p>
        </w:tc>
        <w:tc>
          <w:tcPr>
            <w:tcW w:w="3005" w:type="dxa"/>
            <w:tcBorders>
              <w:top w:val="single" w:sz="4" w:space="0" w:color="auto"/>
              <w:bottom w:val="single" w:sz="4" w:space="0" w:color="auto"/>
            </w:tcBorders>
            <w:vAlign w:val="center"/>
          </w:tcPr>
          <w:p w14:paraId="16E5D7E8" w14:textId="77777777" w:rsidR="000A6072" w:rsidRDefault="000A6072" w:rsidP="00D24DEF">
            <w:r>
              <w:t xml:space="preserve">HOBUT </w:t>
            </w:r>
            <w:r w:rsidRPr="008F6F2A">
              <w:t>CT132TRAN</w:t>
            </w:r>
          </w:p>
        </w:tc>
        <w:tc>
          <w:tcPr>
            <w:tcW w:w="3005" w:type="dxa"/>
            <w:tcBorders>
              <w:top w:val="single" w:sz="4" w:space="0" w:color="auto"/>
              <w:bottom w:val="single" w:sz="4" w:space="0" w:color="auto"/>
            </w:tcBorders>
            <w:vAlign w:val="center"/>
          </w:tcPr>
          <w:p w14:paraId="0A9896F5" w14:textId="77777777" w:rsidR="000A6072" w:rsidRDefault="000A6072" w:rsidP="00D24DEF">
            <w:r w:rsidRPr="00D71122">
              <w:t>±</w:t>
            </w:r>
            <w:r>
              <w:t xml:space="preserve"> 0.5% of the max reading</w:t>
            </w:r>
          </w:p>
        </w:tc>
      </w:tr>
    </w:tbl>
    <w:p w14:paraId="362A0B81" w14:textId="249FA734" w:rsidR="000A6072" w:rsidRDefault="000A6072" w:rsidP="000A6072"/>
    <w:p w14:paraId="5A5758AB" w14:textId="0650BDFE" w:rsidR="007433CC" w:rsidRDefault="007433CC" w:rsidP="007433CC">
      <w:pPr>
        <w:pStyle w:val="Heading2"/>
      </w:pPr>
      <w:r>
        <w:t>Conductivity sensors calibration</w:t>
      </w:r>
    </w:p>
    <w:p w14:paraId="63F190E7" w14:textId="77777777" w:rsidR="007433CC" w:rsidRPr="00E62642" w:rsidRDefault="007433CC" w:rsidP="007433CC">
      <w:pPr>
        <w:spacing w:after="240"/>
        <w:ind w:firstLine="431"/>
        <w:jc w:val="both"/>
        <w:rPr>
          <w:noProof/>
        </w:rPr>
      </w:pPr>
      <w:r w:rsidRPr="00E62642">
        <w:rPr>
          <w:noProof/>
        </w:rPr>
        <w:t xml:space="preserve">The feed and permeate conductivity sensors were calibrated based on a single-point calibration </w:t>
      </w:r>
      <w:r>
        <w:rPr>
          <w:noProof/>
        </w:rPr>
        <w:t xml:space="preserve">using a </w:t>
      </w:r>
      <w:r w:rsidRPr="007C7BF8">
        <w:rPr>
          <w:noProof/>
        </w:rPr>
        <w:t>12</w:t>
      </w:r>
      <w:r>
        <w:rPr>
          <w:noProof/>
        </w:rPr>
        <w:t>,</w:t>
      </w:r>
      <w:r w:rsidRPr="007C7BF8">
        <w:rPr>
          <w:noProof/>
        </w:rPr>
        <w:t>880</w:t>
      </w:r>
      <w:r>
        <w:rPr>
          <w:noProof/>
        </w:rPr>
        <w:t xml:space="preserve"> </w:t>
      </w:r>
      <w:r w:rsidRPr="007C7BF8">
        <w:rPr>
          <w:noProof/>
        </w:rPr>
        <w:t>μS/cm</w:t>
      </w:r>
      <w:r>
        <w:rPr>
          <w:noProof/>
        </w:rPr>
        <w:t xml:space="preserve"> NIST compliant conductivity solution.</w:t>
      </w:r>
    </w:p>
    <w:tbl>
      <w:tblPr>
        <w:tblStyle w:val="TableGrid"/>
        <w:tblW w:w="8943"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40"/>
        <w:gridCol w:w="1843"/>
        <w:gridCol w:w="1843"/>
        <w:gridCol w:w="1843"/>
        <w:gridCol w:w="1874"/>
      </w:tblGrid>
      <w:tr w:rsidR="007433CC" w14:paraId="4BAC79DE" w14:textId="77777777" w:rsidTr="0068178D">
        <w:trPr>
          <w:trHeight w:val="680"/>
          <w:jc w:val="center"/>
        </w:trPr>
        <w:tc>
          <w:tcPr>
            <w:tcW w:w="8943" w:type="dxa"/>
            <w:gridSpan w:val="5"/>
            <w:vAlign w:val="center"/>
          </w:tcPr>
          <w:p w14:paraId="46CB50CF" w14:textId="77777777" w:rsidR="007433CC" w:rsidRDefault="007433CC" w:rsidP="007433CC">
            <w:pPr>
              <w:contextualSpacing/>
              <w:rPr>
                <w:b/>
                <w:bCs/>
                <w:szCs w:val="24"/>
                <w:lang w:val="en-GB"/>
              </w:rPr>
            </w:pPr>
            <w:r>
              <w:rPr>
                <w:b/>
                <w:bCs/>
                <w:szCs w:val="24"/>
                <w:lang w:val="en-GB"/>
              </w:rPr>
              <w:t>T</w:t>
            </w:r>
            <w:r>
              <w:rPr>
                <w:b/>
                <w:bCs/>
                <w:szCs w:val="24"/>
              </w:rPr>
              <w:t>able S.3.</w:t>
            </w:r>
            <w:r>
              <w:rPr>
                <w:b/>
                <w:bCs/>
                <w:szCs w:val="24"/>
                <w:lang w:val="en-GB"/>
              </w:rPr>
              <w:t xml:space="preserve"> </w:t>
            </w:r>
          </w:p>
          <w:p w14:paraId="4550E6A1" w14:textId="3F269913" w:rsidR="007433CC" w:rsidRDefault="007433CC" w:rsidP="007433CC">
            <w:pPr>
              <w:contextualSpacing/>
              <w:rPr>
                <w:b/>
                <w:bCs/>
                <w:szCs w:val="24"/>
              </w:rPr>
            </w:pPr>
            <w:r>
              <w:rPr>
                <w:bCs/>
              </w:rPr>
              <w:t>Conductivity sensor calibration.</w:t>
            </w:r>
          </w:p>
        </w:tc>
      </w:tr>
      <w:tr w:rsidR="007433CC" w14:paraId="30E4BDEC" w14:textId="77777777" w:rsidTr="0068178D">
        <w:trPr>
          <w:trHeight w:val="907"/>
          <w:jc w:val="center"/>
        </w:trPr>
        <w:tc>
          <w:tcPr>
            <w:tcW w:w="1540" w:type="dxa"/>
            <w:vAlign w:val="center"/>
          </w:tcPr>
          <w:p w14:paraId="32CC0926" w14:textId="77777777" w:rsidR="007433CC" w:rsidRPr="00EC1D0B" w:rsidRDefault="007433CC" w:rsidP="0068178D">
            <w:pPr>
              <w:spacing w:after="160"/>
              <w:contextualSpacing/>
              <w:jc w:val="center"/>
              <w:rPr>
                <w:b/>
                <w:bCs/>
              </w:rPr>
            </w:pPr>
            <w:r>
              <w:rPr>
                <w:b/>
                <w:bCs/>
              </w:rPr>
              <w:t>Sensor</w:t>
            </w:r>
          </w:p>
        </w:tc>
        <w:tc>
          <w:tcPr>
            <w:tcW w:w="1843" w:type="dxa"/>
            <w:vAlign w:val="center"/>
          </w:tcPr>
          <w:p w14:paraId="5887C5EE" w14:textId="77777777" w:rsidR="007433CC" w:rsidRDefault="007433CC" w:rsidP="0068178D">
            <w:pPr>
              <w:contextualSpacing/>
              <w:jc w:val="center"/>
              <w:rPr>
                <w:b/>
              </w:rPr>
            </w:pPr>
            <w:r>
              <w:rPr>
                <w:b/>
              </w:rPr>
              <w:t>Target value</w:t>
            </w:r>
          </w:p>
          <w:p w14:paraId="6BC10E1B" w14:textId="77777777" w:rsidR="007433CC" w:rsidRPr="00180B20" w:rsidRDefault="007433CC" w:rsidP="0068178D">
            <w:pPr>
              <w:contextualSpacing/>
              <w:jc w:val="center"/>
              <w:rPr>
                <w:b/>
              </w:rPr>
            </w:pPr>
            <w:r>
              <w:rPr>
                <w:b/>
              </w:rPr>
              <w:t>(</w:t>
            </w:r>
            <w:proofErr w:type="spellStart"/>
            <w:r w:rsidRPr="007C7BF8">
              <w:t>μS</w:t>
            </w:r>
            <w:proofErr w:type="spellEnd"/>
            <w:r w:rsidRPr="007C7BF8">
              <w:t>/cm</w:t>
            </w:r>
            <w:r>
              <w:rPr>
                <w:b/>
              </w:rPr>
              <w:t>)</w:t>
            </w:r>
          </w:p>
        </w:tc>
        <w:tc>
          <w:tcPr>
            <w:tcW w:w="1843" w:type="dxa"/>
            <w:vAlign w:val="center"/>
          </w:tcPr>
          <w:p w14:paraId="6847090F" w14:textId="77777777" w:rsidR="007433CC" w:rsidRDefault="007433CC" w:rsidP="0068178D">
            <w:pPr>
              <w:contextualSpacing/>
              <w:jc w:val="center"/>
              <w:rPr>
                <w:b/>
                <w:bCs/>
              </w:rPr>
            </w:pPr>
            <w:r>
              <w:rPr>
                <w:b/>
                <w:bCs/>
              </w:rPr>
              <w:t>Sensor reading (</w:t>
            </w:r>
            <w:proofErr w:type="spellStart"/>
            <w:r w:rsidRPr="007C7BF8">
              <w:t>μS</w:t>
            </w:r>
            <w:proofErr w:type="spellEnd"/>
            <w:r w:rsidRPr="007C7BF8">
              <w:t>/cm</w:t>
            </w:r>
            <w:r>
              <w:rPr>
                <w:b/>
                <w:bCs/>
              </w:rPr>
              <w:t>)</w:t>
            </w:r>
          </w:p>
        </w:tc>
        <w:tc>
          <w:tcPr>
            <w:tcW w:w="1843" w:type="dxa"/>
            <w:vAlign w:val="center"/>
          </w:tcPr>
          <w:p w14:paraId="083369FB" w14:textId="77777777" w:rsidR="007433CC" w:rsidRDefault="007433CC" w:rsidP="0068178D">
            <w:pPr>
              <w:contextualSpacing/>
              <w:jc w:val="center"/>
              <w:rPr>
                <w:b/>
                <w:bCs/>
              </w:rPr>
            </w:pPr>
            <w:r>
              <w:rPr>
                <w:b/>
                <w:bCs/>
              </w:rPr>
              <w:t>Actual Error (% of reading)</w:t>
            </w:r>
          </w:p>
        </w:tc>
        <w:tc>
          <w:tcPr>
            <w:tcW w:w="1874" w:type="dxa"/>
            <w:vAlign w:val="center"/>
          </w:tcPr>
          <w:p w14:paraId="37757A61" w14:textId="77777777" w:rsidR="007433CC" w:rsidRDefault="007433CC" w:rsidP="0068178D">
            <w:pPr>
              <w:contextualSpacing/>
              <w:jc w:val="center"/>
              <w:rPr>
                <w:b/>
                <w:bCs/>
              </w:rPr>
            </w:pPr>
            <w:r>
              <w:rPr>
                <w:b/>
                <w:bCs/>
              </w:rPr>
              <w:t>Rated accuracy (% of reading)</w:t>
            </w:r>
          </w:p>
        </w:tc>
      </w:tr>
      <w:tr w:rsidR="007433CC" w14:paraId="043D896E" w14:textId="77777777" w:rsidTr="0068178D">
        <w:trPr>
          <w:trHeight w:val="680"/>
          <w:jc w:val="center"/>
        </w:trPr>
        <w:tc>
          <w:tcPr>
            <w:tcW w:w="1540" w:type="dxa"/>
            <w:tcBorders>
              <w:bottom w:val="single" w:sz="4" w:space="0" w:color="auto"/>
            </w:tcBorders>
            <w:vAlign w:val="center"/>
          </w:tcPr>
          <w:p w14:paraId="5256C2AD" w14:textId="77777777" w:rsidR="007433CC" w:rsidRPr="00EC1D0B" w:rsidRDefault="007433CC" w:rsidP="0068178D">
            <w:pPr>
              <w:spacing w:after="160"/>
              <w:contextualSpacing/>
              <w:jc w:val="center"/>
              <w:rPr>
                <w:b/>
                <w:bCs/>
              </w:rPr>
            </w:pPr>
            <w:r>
              <w:rPr>
                <w:b/>
                <w:bCs/>
              </w:rPr>
              <w:t>Feed conductivity</w:t>
            </w:r>
          </w:p>
        </w:tc>
        <w:tc>
          <w:tcPr>
            <w:tcW w:w="1843" w:type="dxa"/>
            <w:tcBorders>
              <w:bottom w:val="single" w:sz="4" w:space="0" w:color="auto"/>
            </w:tcBorders>
            <w:vAlign w:val="center"/>
          </w:tcPr>
          <w:p w14:paraId="65774CAC" w14:textId="77777777" w:rsidR="007433CC" w:rsidRPr="00EC1D0B" w:rsidRDefault="007433CC" w:rsidP="0068178D">
            <w:pPr>
              <w:contextualSpacing/>
              <w:jc w:val="center"/>
              <w:rPr>
                <w:bCs/>
              </w:rPr>
            </w:pPr>
            <w:r>
              <w:rPr>
                <w:bCs/>
              </w:rPr>
              <w:t>12,880</w:t>
            </w:r>
          </w:p>
        </w:tc>
        <w:tc>
          <w:tcPr>
            <w:tcW w:w="1843" w:type="dxa"/>
            <w:tcBorders>
              <w:bottom w:val="single" w:sz="4" w:space="0" w:color="auto"/>
            </w:tcBorders>
            <w:vAlign w:val="center"/>
          </w:tcPr>
          <w:p w14:paraId="2CC55CEB" w14:textId="77777777" w:rsidR="007433CC" w:rsidRDefault="007433CC" w:rsidP="0068178D">
            <w:pPr>
              <w:contextualSpacing/>
              <w:jc w:val="center"/>
              <w:rPr>
                <w:bCs/>
              </w:rPr>
            </w:pPr>
            <w:r>
              <w:rPr>
                <w:bCs/>
              </w:rPr>
              <w:t>13078.9</w:t>
            </w:r>
          </w:p>
        </w:tc>
        <w:tc>
          <w:tcPr>
            <w:tcW w:w="1843" w:type="dxa"/>
            <w:tcBorders>
              <w:bottom w:val="single" w:sz="4" w:space="0" w:color="auto"/>
            </w:tcBorders>
            <w:vAlign w:val="center"/>
          </w:tcPr>
          <w:p w14:paraId="2A8A7592" w14:textId="77777777" w:rsidR="007433CC" w:rsidRDefault="007433CC" w:rsidP="0068178D">
            <w:pPr>
              <w:contextualSpacing/>
              <w:jc w:val="center"/>
              <w:rPr>
                <w:bCs/>
              </w:rPr>
            </w:pPr>
            <w:r>
              <w:rPr>
                <w:bCs/>
              </w:rPr>
              <w:t>+1.54</w:t>
            </w:r>
          </w:p>
        </w:tc>
        <w:tc>
          <w:tcPr>
            <w:tcW w:w="1874" w:type="dxa"/>
            <w:tcBorders>
              <w:bottom w:val="single" w:sz="4" w:space="0" w:color="auto"/>
            </w:tcBorders>
            <w:vAlign w:val="center"/>
          </w:tcPr>
          <w:p w14:paraId="1CCD1F7C" w14:textId="77777777" w:rsidR="007433CC" w:rsidRDefault="007433CC" w:rsidP="0068178D">
            <w:pPr>
              <w:contextualSpacing/>
              <w:jc w:val="center"/>
              <w:rPr>
                <w:bCs/>
              </w:rPr>
            </w:pPr>
            <w:r w:rsidRPr="00D71122">
              <w:t>±</w:t>
            </w:r>
            <w:r>
              <w:t>2%</w:t>
            </w:r>
          </w:p>
        </w:tc>
      </w:tr>
      <w:tr w:rsidR="007433CC" w:rsidRPr="003E20A9" w14:paraId="658E63E0" w14:textId="77777777" w:rsidTr="0068178D">
        <w:trPr>
          <w:trHeight w:val="680"/>
          <w:jc w:val="center"/>
        </w:trPr>
        <w:tc>
          <w:tcPr>
            <w:tcW w:w="1540" w:type="dxa"/>
            <w:tcBorders>
              <w:top w:val="single" w:sz="4" w:space="0" w:color="auto"/>
              <w:bottom w:val="single" w:sz="4" w:space="0" w:color="auto"/>
            </w:tcBorders>
            <w:vAlign w:val="center"/>
          </w:tcPr>
          <w:p w14:paraId="47CDE8F9" w14:textId="77777777" w:rsidR="007433CC" w:rsidRPr="00206EFD" w:rsidRDefault="007433CC" w:rsidP="0068178D">
            <w:pPr>
              <w:spacing w:after="160"/>
              <w:contextualSpacing/>
              <w:jc w:val="center"/>
              <w:rPr>
                <w:b/>
                <w:bCs/>
              </w:rPr>
            </w:pPr>
            <w:r w:rsidRPr="00206EFD">
              <w:rPr>
                <w:b/>
                <w:bCs/>
              </w:rPr>
              <w:t>Permeate conductivity</w:t>
            </w:r>
          </w:p>
        </w:tc>
        <w:tc>
          <w:tcPr>
            <w:tcW w:w="1843" w:type="dxa"/>
            <w:tcBorders>
              <w:top w:val="single" w:sz="4" w:space="0" w:color="auto"/>
              <w:bottom w:val="single" w:sz="4" w:space="0" w:color="auto"/>
            </w:tcBorders>
            <w:vAlign w:val="center"/>
          </w:tcPr>
          <w:p w14:paraId="416F7225" w14:textId="77777777" w:rsidR="007433CC" w:rsidRPr="00EC1D0B" w:rsidRDefault="007433CC" w:rsidP="0068178D">
            <w:pPr>
              <w:contextualSpacing/>
              <w:jc w:val="center"/>
              <w:rPr>
                <w:bCs/>
              </w:rPr>
            </w:pPr>
            <w:r>
              <w:rPr>
                <w:bCs/>
              </w:rPr>
              <w:t>12,880</w:t>
            </w:r>
          </w:p>
        </w:tc>
        <w:tc>
          <w:tcPr>
            <w:tcW w:w="1843" w:type="dxa"/>
            <w:tcBorders>
              <w:top w:val="single" w:sz="4" w:space="0" w:color="auto"/>
              <w:bottom w:val="single" w:sz="4" w:space="0" w:color="auto"/>
            </w:tcBorders>
            <w:vAlign w:val="center"/>
          </w:tcPr>
          <w:p w14:paraId="6B7ADF8A" w14:textId="77777777" w:rsidR="007433CC" w:rsidRPr="00FD321C" w:rsidRDefault="007433CC" w:rsidP="0068178D">
            <w:pPr>
              <w:contextualSpacing/>
              <w:jc w:val="center"/>
              <w:rPr>
                <w:bCs/>
              </w:rPr>
            </w:pPr>
            <w:r w:rsidRPr="00FD321C">
              <w:rPr>
                <w:bCs/>
              </w:rPr>
              <w:t>12987.7</w:t>
            </w:r>
          </w:p>
        </w:tc>
        <w:tc>
          <w:tcPr>
            <w:tcW w:w="1843" w:type="dxa"/>
            <w:tcBorders>
              <w:top w:val="single" w:sz="4" w:space="0" w:color="auto"/>
              <w:bottom w:val="single" w:sz="4" w:space="0" w:color="auto"/>
            </w:tcBorders>
            <w:vAlign w:val="center"/>
          </w:tcPr>
          <w:p w14:paraId="63DE92C3" w14:textId="77777777" w:rsidR="007433CC" w:rsidRPr="003E20A9" w:rsidRDefault="007433CC" w:rsidP="0068178D">
            <w:pPr>
              <w:contextualSpacing/>
              <w:jc w:val="center"/>
              <w:rPr>
                <w:bCs/>
              </w:rPr>
            </w:pPr>
            <w:r>
              <w:rPr>
                <w:bCs/>
              </w:rPr>
              <w:t>+0.84</w:t>
            </w:r>
          </w:p>
        </w:tc>
        <w:tc>
          <w:tcPr>
            <w:tcW w:w="1874" w:type="dxa"/>
            <w:tcBorders>
              <w:top w:val="single" w:sz="4" w:space="0" w:color="auto"/>
              <w:bottom w:val="single" w:sz="4" w:space="0" w:color="auto"/>
            </w:tcBorders>
            <w:vAlign w:val="center"/>
          </w:tcPr>
          <w:p w14:paraId="6CB136C0" w14:textId="77777777" w:rsidR="007433CC" w:rsidRPr="003E20A9" w:rsidRDefault="007433CC" w:rsidP="0068178D">
            <w:pPr>
              <w:contextualSpacing/>
              <w:jc w:val="center"/>
              <w:rPr>
                <w:bCs/>
              </w:rPr>
            </w:pPr>
            <w:r w:rsidRPr="00D71122">
              <w:t>±</w:t>
            </w:r>
            <w:r>
              <w:t>2%</w:t>
            </w:r>
          </w:p>
        </w:tc>
      </w:tr>
    </w:tbl>
    <w:p w14:paraId="49A1AC2F" w14:textId="77777777" w:rsidR="007433CC" w:rsidRDefault="007433CC" w:rsidP="000A6072"/>
    <w:p w14:paraId="4B0A6827" w14:textId="77777777" w:rsidR="000A6072" w:rsidRDefault="000A6072" w:rsidP="000A6072"/>
    <w:p w14:paraId="67A13813" w14:textId="77777777" w:rsidR="000A6072" w:rsidRDefault="000A6072" w:rsidP="000A6072">
      <w:pPr>
        <w:sectPr w:rsidR="000A6072">
          <w:footerReference w:type="default" r:id="rId24"/>
          <w:pgSz w:w="11906" w:h="16838"/>
          <w:pgMar w:top="1440" w:right="1440" w:bottom="1440" w:left="1440" w:header="708" w:footer="708" w:gutter="0"/>
          <w:cols w:space="708"/>
          <w:docGrid w:linePitch="360"/>
        </w:sectPr>
      </w:pPr>
    </w:p>
    <w:p w14:paraId="60AA647C" w14:textId="2598084B" w:rsidR="000A6072" w:rsidRDefault="000A6072" w:rsidP="00E670A5">
      <w:pPr>
        <w:pStyle w:val="Heading1"/>
      </w:pPr>
      <w:r>
        <w:lastRenderedPageBreak/>
        <w:t>References</w:t>
      </w:r>
    </w:p>
    <w:p w14:paraId="0F7D0B7D" w14:textId="20F5346E" w:rsidR="000A6072" w:rsidRPr="000A6072" w:rsidRDefault="00C51E58" w:rsidP="000A6072">
      <w:pPr>
        <w:pStyle w:val="EndNoteBibliography"/>
        <w:spacing w:after="0"/>
        <w:ind w:left="720" w:hanging="720"/>
      </w:pPr>
      <w:r w:rsidRPr="004A1CFC">
        <w:rPr>
          <w:rFonts w:asciiTheme="minorHAnsi" w:hAnsiTheme="minorHAnsi" w:cstheme="minorHAnsi"/>
        </w:rPr>
        <w:fldChar w:fldCharType="begin"/>
      </w:r>
      <w:r w:rsidRPr="004A1CFC">
        <w:rPr>
          <w:rFonts w:asciiTheme="minorHAnsi" w:hAnsiTheme="minorHAnsi" w:cstheme="minorHAnsi"/>
        </w:rPr>
        <w:instrText xml:space="preserve"> ADDIN EN.REFLIST </w:instrText>
      </w:r>
      <w:r w:rsidRPr="004A1CFC">
        <w:rPr>
          <w:rFonts w:asciiTheme="minorHAnsi" w:hAnsiTheme="minorHAnsi" w:cstheme="minorHAnsi"/>
        </w:rPr>
        <w:fldChar w:fldCharType="separate"/>
      </w:r>
      <w:r w:rsidR="000A6072" w:rsidRPr="000A6072">
        <w:t>1.</w:t>
      </w:r>
      <w:r w:rsidR="000A6072" w:rsidRPr="000A6072">
        <w:tab/>
        <w:t xml:space="preserve">Omega. </w:t>
      </w:r>
      <w:r w:rsidR="000A6072" w:rsidRPr="000A6072">
        <w:rPr>
          <w:i/>
        </w:rPr>
        <w:t>FPB100 series paddlewheel flow meter</w:t>
      </w:r>
      <w:r w:rsidR="000A6072" w:rsidRPr="000A6072">
        <w:t xml:space="preserve">. 2021  [cited 2021 September]; Available from: </w:t>
      </w:r>
      <w:hyperlink r:id="rId25" w:history="1">
        <w:r w:rsidR="000A6072" w:rsidRPr="000A6072">
          <w:rPr>
            <w:rStyle w:val="Hyperlink"/>
          </w:rPr>
          <w:t>https://www.omega.com/en-us/flow-instruments/flow-meters/paddlewheel-flow-meters/p/FPB100-Series</w:t>
        </w:r>
      </w:hyperlink>
      <w:r w:rsidR="000A6072" w:rsidRPr="000A6072">
        <w:t>.</w:t>
      </w:r>
    </w:p>
    <w:p w14:paraId="7246254A" w14:textId="27D1A84B" w:rsidR="000A6072" w:rsidRPr="000A6072" w:rsidRDefault="000A6072" w:rsidP="000A6072">
      <w:pPr>
        <w:pStyle w:val="EndNoteBibliography"/>
        <w:spacing w:after="0"/>
        <w:ind w:left="720" w:hanging="720"/>
      </w:pPr>
      <w:r w:rsidRPr="000A6072">
        <w:t>2.</w:t>
      </w:r>
      <w:r w:rsidRPr="000A6072">
        <w:tab/>
        <w:t xml:space="preserve">RS-components. </w:t>
      </w:r>
      <w:r w:rsidRPr="000A6072">
        <w:rPr>
          <w:i/>
        </w:rPr>
        <w:t>RS PRO IPS Series pressure sensors</w:t>
      </w:r>
      <w:r w:rsidRPr="000A6072">
        <w:t xml:space="preserve">. 2021  [cited 2021 September]; Available from: </w:t>
      </w:r>
      <w:hyperlink r:id="rId26" w:history="1">
        <w:r w:rsidRPr="000A6072">
          <w:rPr>
            <w:rStyle w:val="Hyperlink"/>
          </w:rPr>
          <w:t>https://uk.rs-online.com/web/p/pressure-sensors/7975005/</w:t>
        </w:r>
      </w:hyperlink>
      <w:r w:rsidRPr="000A6072">
        <w:t>.</w:t>
      </w:r>
    </w:p>
    <w:p w14:paraId="3B572A07" w14:textId="5797A66F" w:rsidR="000A6072" w:rsidRPr="000A6072" w:rsidRDefault="000A6072" w:rsidP="000A6072">
      <w:pPr>
        <w:pStyle w:val="EndNoteBibliography"/>
        <w:spacing w:after="0"/>
        <w:ind w:left="720" w:hanging="720"/>
      </w:pPr>
      <w:r w:rsidRPr="000A6072">
        <w:t>3.</w:t>
      </w:r>
      <w:r w:rsidRPr="000A6072">
        <w:tab/>
        <w:t xml:space="preserve">Omega. </w:t>
      </w:r>
      <w:r w:rsidRPr="000A6072">
        <w:rPr>
          <w:i/>
        </w:rPr>
        <w:t>CDTX-2851 Integral mount conductivity transmitters</w:t>
      </w:r>
      <w:r w:rsidRPr="000A6072">
        <w:t xml:space="preserve">. 2021  [cited 2021 September]; Available from: </w:t>
      </w:r>
      <w:hyperlink r:id="rId27" w:history="1">
        <w:r w:rsidRPr="000A6072">
          <w:rPr>
            <w:rStyle w:val="Hyperlink"/>
          </w:rPr>
          <w:t>https://www.omega.com/en-us/control-monitoring/air-soil-liquid-and-gas/water-quality-transmitters/cdtx-2850-series/p/CDTX-2851</w:t>
        </w:r>
      </w:hyperlink>
      <w:r w:rsidRPr="000A6072">
        <w:t>.</w:t>
      </w:r>
    </w:p>
    <w:p w14:paraId="47EEBB91" w14:textId="77777777" w:rsidR="000A6072" w:rsidRPr="000A6072" w:rsidRDefault="000A6072" w:rsidP="000A6072">
      <w:pPr>
        <w:pStyle w:val="EndNoteBibliography"/>
        <w:spacing w:after="0"/>
        <w:ind w:left="720" w:hanging="720"/>
      </w:pPr>
      <w:r w:rsidRPr="000A6072">
        <w:t>4.</w:t>
      </w:r>
      <w:r w:rsidRPr="000A6072">
        <w:tab/>
        <w:t xml:space="preserve">Walton, N.R.G., </w:t>
      </w:r>
      <w:r w:rsidRPr="000A6072">
        <w:rPr>
          <w:i/>
        </w:rPr>
        <w:t>Electrical Conductivity and Total Dissolved Solids—What is Their Precise Relationship?</w:t>
      </w:r>
      <w:r w:rsidRPr="000A6072">
        <w:t xml:space="preserve"> Desalination, 1989. </w:t>
      </w:r>
      <w:r w:rsidRPr="000A6072">
        <w:rPr>
          <w:b/>
        </w:rPr>
        <w:t>72</w:t>
      </w:r>
      <w:r w:rsidRPr="000A6072">
        <w:t>(3): p. 275-292.</w:t>
      </w:r>
    </w:p>
    <w:p w14:paraId="38C1E1D2" w14:textId="1EF9C472" w:rsidR="000A6072" w:rsidRPr="000A6072" w:rsidRDefault="000A6072" w:rsidP="000A6072">
      <w:pPr>
        <w:pStyle w:val="EndNoteBibliography"/>
        <w:spacing w:after="0"/>
        <w:ind w:left="720" w:hanging="720"/>
      </w:pPr>
      <w:r w:rsidRPr="000A6072">
        <w:t>5.</w:t>
      </w:r>
      <w:r w:rsidRPr="000A6072">
        <w:tab/>
        <w:t xml:space="preserve">SYXTHSENSE. </w:t>
      </w:r>
      <w:r w:rsidRPr="000A6072">
        <w:rPr>
          <w:i/>
        </w:rPr>
        <w:t>TEAT-LL fluid temperature transmitter</w:t>
      </w:r>
      <w:r w:rsidRPr="000A6072">
        <w:t xml:space="preserve">. 2021  [cited 2021 September]; Available from: </w:t>
      </w:r>
      <w:hyperlink r:id="rId28" w:history="1">
        <w:r w:rsidRPr="000A6072">
          <w:rPr>
            <w:rStyle w:val="Hyperlink"/>
          </w:rPr>
          <w:t>https://www.syxthsense.com/sensors/teat-ll/fluid-temperature-transmitter,-4..20ma/</w:t>
        </w:r>
      </w:hyperlink>
      <w:r w:rsidRPr="000A6072">
        <w:t>.</w:t>
      </w:r>
    </w:p>
    <w:p w14:paraId="4AEB554B" w14:textId="49104564" w:rsidR="000A6072" w:rsidRPr="000A6072" w:rsidRDefault="000A6072" w:rsidP="000A6072">
      <w:pPr>
        <w:pStyle w:val="EndNoteBibliography"/>
        <w:ind w:left="720" w:hanging="720"/>
      </w:pPr>
      <w:r w:rsidRPr="000A6072">
        <w:t>6.</w:t>
      </w:r>
      <w:r w:rsidRPr="000A6072">
        <w:tab/>
        <w:t xml:space="preserve">HOBUT. </w:t>
      </w:r>
      <w:r w:rsidRPr="000A6072">
        <w:rPr>
          <w:i/>
        </w:rPr>
        <w:t>HOBUT CT132TRAN current transmitter</w:t>
      </w:r>
      <w:r w:rsidRPr="000A6072">
        <w:t xml:space="preserve">. 2021  [cited 2021 September]; Available from: </w:t>
      </w:r>
      <w:hyperlink r:id="rId29" w:history="1">
        <w:r w:rsidRPr="000A6072">
          <w:rPr>
            <w:rStyle w:val="Hyperlink"/>
          </w:rPr>
          <w:t>https://www.hobut.co.uk/ct132tran-current-sensor-current-transducer/</w:t>
        </w:r>
      </w:hyperlink>
      <w:r w:rsidRPr="000A6072">
        <w:t>.</w:t>
      </w:r>
    </w:p>
    <w:p w14:paraId="7F839323" w14:textId="684F8C8A" w:rsidR="00C51E58" w:rsidRPr="000A6072" w:rsidRDefault="00C51E58" w:rsidP="000A6072">
      <w:pPr>
        <w:pStyle w:val="Caption"/>
        <w:jc w:val="left"/>
        <w:rPr>
          <w:b w:val="0"/>
        </w:rPr>
      </w:pPr>
      <w:r w:rsidRPr="004A1CFC">
        <w:rPr>
          <w:rFonts w:cstheme="minorHAnsi"/>
        </w:rPr>
        <w:fldChar w:fldCharType="end"/>
      </w:r>
    </w:p>
    <w:sectPr w:rsidR="00C51E58" w:rsidRPr="000A60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FA22A" w14:textId="77777777" w:rsidR="00C55924" w:rsidRDefault="00C55924" w:rsidP="00F3699B">
      <w:pPr>
        <w:spacing w:after="0" w:line="240" w:lineRule="auto"/>
      </w:pPr>
      <w:r>
        <w:separator/>
      </w:r>
    </w:p>
  </w:endnote>
  <w:endnote w:type="continuationSeparator" w:id="0">
    <w:p w14:paraId="34064363" w14:textId="77777777" w:rsidR="00C55924" w:rsidRDefault="00C55924" w:rsidP="00F36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055307"/>
      <w:docPartObj>
        <w:docPartGallery w:val="Page Numbers (Bottom of Page)"/>
        <w:docPartUnique/>
      </w:docPartObj>
    </w:sdtPr>
    <w:sdtEndPr>
      <w:rPr>
        <w:noProof/>
      </w:rPr>
    </w:sdtEndPr>
    <w:sdtContent>
      <w:p w14:paraId="04F7EBA6" w14:textId="6E006670" w:rsidR="001032F2" w:rsidRDefault="001032F2">
        <w:pPr>
          <w:pStyle w:val="Footer"/>
          <w:jc w:val="center"/>
        </w:pPr>
        <w:r>
          <w:fldChar w:fldCharType="begin"/>
        </w:r>
        <w:r>
          <w:instrText xml:space="preserve"> PAGE   \* MERGEFORMAT </w:instrText>
        </w:r>
        <w:r>
          <w:fldChar w:fldCharType="separate"/>
        </w:r>
        <w:r w:rsidR="00CC331C">
          <w:rPr>
            <w:noProof/>
          </w:rPr>
          <w:t>6</w:t>
        </w:r>
        <w:r>
          <w:rPr>
            <w:noProof/>
          </w:rPr>
          <w:fldChar w:fldCharType="end"/>
        </w:r>
      </w:p>
    </w:sdtContent>
  </w:sdt>
  <w:p w14:paraId="3617F93A" w14:textId="77777777" w:rsidR="001032F2" w:rsidRDefault="00103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BFED" w14:textId="77777777" w:rsidR="00C55924" w:rsidRDefault="00C55924" w:rsidP="00F3699B">
      <w:pPr>
        <w:spacing w:after="0" w:line="240" w:lineRule="auto"/>
      </w:pPr>
      <w:r>
        <w:separator/>
      </w:r>
    </w:p>
  </w:footnote>
  <w:footnote w:type="continuationSeparator" w:id="0">
    <w:p w14:paraId="5A38994C" w14:textId="77777777" w:rsidR="00C55924" w:rsidRDefault="00C55924" w:rsidP="00F36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009F"/>
    <w:multiLevelType w:val="hybridMultilevel"/>
    <w:tmpl w:val="34B0AA16"/>
    <w:lvl w:ilvl="0" w:tplc="04090001">
      <w:start w:val="1"/>
      <w:numFmt w:val="bullet"/>
      <w:lvlText w:val=""/>
      <w:lvlJc w:val="left"/>
      <w:pPr>
        <w:ind w:left="720" w:hanging="360"/>
      </w:pPr>
      <w:rPr>
        <w:rFonts w:ascii="Symbol" w:hAnsi="Symbol" w:hint="default"/>
      </w:rPr>
    </w:lvl>
    <w:lvl w:ilvl="1" w:tplc="08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B9C657CE">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D4CED"/>
    <w:multiLevelType w:val="hybridMultilevel"/>
    <w:tmpl w:val="B636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808AB"/>
    <w:multiLevelType w:val="multilevel"/>
    <w:tmpl w:val="C6BE232E"/>
    <w:lvl w:ilvl="0">
      <w:start w:val="1"/>
      <w:numFmt w:val="decimal"/>
      <w:pStyle w:val="Heading1"/>
      <w:lvlText w:val="S.%1"/>
      <w:lvlJc w:val="left"/>
      <w:pPr>
        <w:ind w:left="432" w:hanging="432"/>
      </w:pPr>
      <w:rPr>
        <w:rFonts w:ascii="Times New Roman" w:hAnsi="Times New Roman" w:hint="default"/>
        <w:b/>
        <w:i w:val="0"/>
        <w:sz w:val="28"/>
      </w:rPr>
    </w:lvl>
    <w:lvl w:ilvl="1">
      <w:start w:val="1"/>
      <w:numFmt w:val="decimal"/>
      <w:pStyle w:val="Heading2"/>
      <w:lvlText w:val="S.%1.%2"/>
      <w:lvlJc w:val="left"/>
      <w:pPr>
        <w:ind w:left="576" w:hanging="576"/>
      </w:pPr>
      <w:rPr>
        <w:rFonts w:ascii="Times New Roman" w:hAnsi="Times New Roman" w:hint="default"/>
        <w:b/>
        <w:bCs/>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11306A4"/>
    <w:multiLevelType w:val="multilevel"/>
    <w:tmpl w:val="D9D2E67E"/>
    <w:lvl w:ilvl="0">
      <w:start w:val="1"/>
      <w:numFmt w:val="decimal"/>
      <w:lvlText w:val="%1"/>
      <w:lvlJc w:val="left"/>
      <w:pPr>
        <w:ind w:left="432" w:hanging="432"/>
      </w:pPr>
    </w:lvl>
    <w:lvl w:ilvl="1">
      <w:start w:val="1"/>
      <w:numFmt w:val="decimal"/>
      <w:lvlText w:val="%1.%2"/>
      <w:lvlJc w:val="left"/>
      <w:pPr>
        <w:ind w:left="576" w:hanging="576"/>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6E67F6D"/>
    <w:multiLevelType w:val="hybridMultilevel"/>
    <w:tmpl w:val="7D12B7B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29722B5D"/>
    <w:multiLevelType w:val="hybridMultilevel"/>
    <w:tmpl w:val="0CCE8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26B7B"/>
    <w:multiLevelType w:val="hybridMultilevel"/>
    <w:tmpl w:val="43683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A6250E"/>
    <w:multiLevelType w:val="hybridMultilevel"/>
    <w:tmpl w:val="A6CA17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C15652"/>
    <w:multiLevelType w:val="hybridMultilevel"/>
    <w:tmpl w:val="9A4A7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C192A"/>
    <w:multiLevelType w:val="hybridMultilevel"/>
    <w:tmpl w:val="3A18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8876AB"/>
    <w:multiLevelType w:val="hybridMultilevel"/>
    <w:tmpl w:val="89EA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C6AD6"/>
    <w:multiLevelType w:val="hybridMultilevel"/>
    <w:tmpl w:val="E7566B0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2" w15:restartNumberingAfterBreak="0">
    <w:nsid w:val="5B656FF6"/>
    <w:multiLevelType w:val="hybridMultilevel"/>
    <w:tmpl w:val="8E20ED44"/>
    <w:lvl w:ilvl="0" w:tplc="0809000B">
      <w:start w:val="1"/>
      <w:numFmt w:val="bullet"/>
      <w:lvlText w:val=""/>
      <w:lvlJc w:val="left"/>
      <w:pPr>
        <w:ind w:left="1080" w:hanging="360"/>
      </w:pPr>
      <w:rPr>
        <w:rFonts w:ascii="Wingdings" w:hAnsi="Wingdings" w:hint="default"/>
        <w:b w:val="0"/>
        <w:bCs/>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03511B0"/>
    <w:multiLevelType w:val="hybridMultilevel"/>
    <w:tmpl w:val="6AF2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4A6B00"/>
    <w:multiLevelType w:val="multilevel"/>
    <w:tmpl w:val="8794CE3A"/>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5EC5F1B"/>
    <w:multiLevelType w:val="hybridMultilevel"/>
    <w:tmpl w:val="AA76E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9F772D5"/>
    <w:multiLevelType w:val="hybridMultilevel"/>
    <w:tmpl w:val="B0F8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4D62AE"/>
    <w:multiLevelType w:val="hybridMultilevel"/>
    <w:tmpl w:val="EFE85B82"/>
    <w:lvl w:ilvl="0" w:tplc="08090011">
      <w:start w:val="1"/>
      <w:numFmt w:val="decimal"/>
      <w:lvlText w:val="%1)"/>
      <w:lvlJc w:val="left"/>
      <w:pPr>
        <w:ind w:left="1151" w:hanging="360"/>
      </w:pPr>
    </w:lvl>
    <w:lvl w:ilvl="1" w:tplc="08090019" w:tentative="1">
      <w:start w:val="1"/>
      <w:numFmt w:val="lowerLetter"/>
      <w:lvlText w:val="%2."/>
      <w:lvlJc w:val="left"/>
      <w:pPr>
        <w:ind w:left="1871" w:hanging="360"/>
      </w:pPr>
    </w:lvl>
    <w:lvl w:ilvl="2" w:tplc="0809001B" w:tentative="1">
      <w:start w:val="1"/>
      <w:numFmt w:val="lowerRoman"/>
      <w:lvlText w:val="%3."/>
      <w:lvlJc w:val="right"/>
      <w:pPr>
        <w:ind w:left="2591" w:hanging="180"/>
      </w:pPr>
    </w:lvl>
    <w:lvl w:ilvl="3" w:tplc="0809000F" w:tentative="1">
      <w:start w:val="1"/>
      <w:numFmt w:val="decimal"/>
      <w:lvlText w:val="%4."/>
      <w:lvlJc w:val="left"/>
      <w:pPr>
        <w:ind w:left="3311" w:hanging="360"/>
      </w:pPr>
    </w:lvl>
    <w:lvl w:ilvl="4" w:tplc="08090019" w:tentative="1">
      <w:start w:val="1"/>
      <w:numFmt w:val="lowerLetter"/>
      <w:lvlText w:val="%5."/>
      <w:lvlJc w:val="left"/>
      <w:pPr>
        <w:ind w:left="4031" w:hanging="360"/>
      </w:pPr>
    </w:lvl>
    <w:lvl w:ilvl="5" w:tplc="0809001B" w:tentative="1">
      <w:start w:val="1"/>
      <w:numFmt w:val="lowerRoman"/>
      <w:lvlText w:val="%6."/>
      <w:lvlJc w:val="right"/>
      <w:pPr>
        <w:ind w:left="4751" w:hanging="180"/>
      </w:pPr>
    </w:lvl>
    <w:lvl w:ilvl="6" w:tplc="0809000F" w:tentative="1">
      <w:start w:val="1"/>
      <w:numFmt w:val="decimal"/>
      <w:lvlText w:val="%7."/>
      <w:lvlJc w:val="left"/>
      <w:pPr>
        <w:ind w:left="5471" w:hanging="360"/>
      </w:pPr>
    </w:lvl>
    <w:lvl w:ilvl="7" w:tplc="08090019" w:tentative="1">
      <w:start w:val="1"/>
      <w:numFmt w:val="lowerLetter"/>
      <w:lvlText w:val="%8."/>
      <w:lvlJc w:val="left"/>
      <w:pPr>
        <w:ind w:left="6191" w:hanging="360"/>
      </w:pPr>
    </w:lvl>
    <w:lvl w:ilvl="8" w:tplc="0809001B" w:tentative="1">
      <w:start w:val="1"/>
      <w:numFmt w:val="lowerRoman"/>
      <w:lvlText w:val="%9."/>
      <w:lvlJc w:val="right"/>
      <w:pPr>
        <w:ind w:left="6911" w:hanging="180"/>
      </w:pPr>
    </w:lvl>
  </w:abstractNum>
  <w:abstractNum w:abstractNumId="18" w15:restartNumberingAfterBreak="0">
    <w:nsid w:val="6F0444EE"/>
    <w:multiLevelType w:val="hybridMultilevel"/>
    <w:tmpl w:val="4872C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0115F1"/>
    <w:multiLevelType w:val="hybridMultilevel"/>
    <w:tmpl w:val="86F6FE12"/>
    <w:lvl w:ilvl="0" w:tplc="9C3E6976">
      <w:start w:val="1"/>
      <w:numFmt w:val="decimal"/>
      <w:lvlText w:val="S.%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8"/>
  </w:num>
  <w:num w:numId="4">
    <w:abstractNumId w:val="6"/>
  </w:num>
  <w:num w:numId="5">
    <w:abstractNumId w:val="14"/>
  </w:num>
  <w:num w:numId="6">
    <w:abstractNumId w:val="16"/>
  </w:num>
  <w:num w:numId="7">
    <w:abstractNumId w:val="10"/>
  </w:num>
  <w:num w:numId="8">
    <w:abstractNumId w:val="15"/>
  </w:num>
  <w:num w:numId="9">
    <w:abstractNumId w:val="11"/>
  </w:num>
  <w:num w:numId="10">
    <w:abstractNumId w:val="17"/>
  </w:num>
  <w:num w:numId="11">
    <w:abstractNumId w:val="5"/>
  </w:num>
  <w:num w:numId="12">
    <w:abstractNumId w:val="8"/>
  </w:num>
  <w:num w:numId="13">
    <w:abstractNumId w:val="2"/>
  </w:num>
  <w:num w:numId="14">
    <w:abstractNumId w:val="13"/>
  </w:num>
  <w:num w:numId="15">
    <w:abstractNumId w:val="1"/>
  </w:num>
  <w:num w:numId="16">
    <w:abstractNumId w:val="4"/>
  </w:num>
  <w:num w:numId="17">
    <w:abstractNumId w:val="7"/>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43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2tzA0MLQ0MTIwNDdR0lEKTi0uzszPAykwNLSoBQC4rNKHLg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tef0z5qrdsx4etatnpx2wszx5pxd0fssra&quot;&gt;PhD references&lt;record-ids&gt;&lt;item&gt;312&lt;/item&gt;&lt;item&gt;328&lt;/item&gt;&lt;item&gt;329&lt;/item&gt;&lt;item&gt;330&lt;/item&gt;&lt;item&gt;331&lt;/item&gt;&lt;item&gt;332&lt;/item&gt;&lt;/record-ids&gt;&lt;/item&gt;&lt;/Libraries&gt;"/>
  </w:docVars>
  <w:rsids>
    <w:rsidRoot w:val="00076FEB"/>
    <w:rsid w:val="00000010"/>
    <w:rsid w:val="000001FA"/>
    <w:rsid w:val="000012E0"/>
    <w:rsid w:val="000017C0"/>
    <w:rsid w:val="00003BC8"/>
    <w:rsid w:val="000063BE"/>
    <w:rsid w:val="0000665C"/>
    <w:rsid w:val="00012789"/>
    <w:rsid w:val="00012D59"/>
    <w:rsid w:val="0001634D"/>
    <w:rsid w:val="000163E9"/>
    <w:rsid w:val="000163FF"/>
    <w:rsid w:val="00016B6C"/>
    <w:rsid w:val="000205B8"/>
    <w:rsid w:val="00020DAD"/>
    <w:rsid w:val="00021425"/>
    <w:rsid w:val="000219A9"/>
    <w:rsid w:val="00022355"/>
    <w:rsid w:val="0002247D"/>
    <w:rsid w:val="00023838"/>
    <w:rsid w:val="00025CBA"/>
    <w:rsid w:val="00027C5D"/>
    <w:rsid w:val="00031148"/>
    <w:rsid w:val="00031366"/>
    <w:rsid w:val="000337C9"/>
    <w:rsid w:val="00035230"/>
    <w:rsid w:val="00035885"/>
    <w:rsid w:val="00036385"/>
    <w:rsid w:val="0003650A"/>
    <w:rsid w:val="000367EB"/>
    <w:rsid w:val="000372A5"/>
    <w:rsid w:val="00037FA4"/>
    <w:rsid w:val="00040D5B"/>
    <w:rsid w:val="000420E9"/>
    <w:rsid w:val="0004428F"/>
    <w:rsid w:val="00044661"/>
    <w:rsid w:val="00044C55"/>
    <w:rsid w:val="00045688"/>
    <w:rsid w:val="00045C9E"/>
    <w:rsid w:val="00046418"/>
    <w:rsid w:val="0004755F"/>
    <w:rsid w:val="00047819"/>
    <w:rsid w:val="000508F3"/>
    <w:rsid w:val="000524B6"/>
    <w:rsid w:val="00052D04"/>
    <w:rsid w:val="0005313F"/>
    <w:rsid w:val="0005467F"/>
    <w:rsid w:val="00055A4A"/>
    <w:rsid w:val="00055A7A"/>
    <w:rsid w:val="00055D64"/>
    <w:rsid w:val="00057395"/>
    <w:rsid w:val="000602D8"/>
    <w:rsid w:val="000606BB"/>
    <w:rsid w:val="00060A22"/>
    <w:rsid w:val="000615C0"/>
    <w:rsid w:val="0006239D"/>
    <w:rsid w:val="00062B2F"/>
    <w:rsid w:val="00063C4C"/>
    <w:rsid w:val="00063DFA"/>
    <w:rsid w:val="00065711"/>
    <w:rsid w:val="000668EC"/>
    <w:rsid w:val="00067A57"/>
    <w:rsid w:val="00070160"/>
    <w:rsid w:val="00070A44"/>
    <w:rsid w:val="0007171E"/>
    <w:rsid w:val="00071812"/>
    <w:rsid w:val="000738AF"/>
    <w:rsid w:val="00074683"/>
    <w:rsid w:val="00075101"/>
    <w:rsid w:val="00075D1E"/>
    <w:rsid w:val="00076FEB"/>
    <w:rsid w:val="000773B0"/>
    <w:rsid w:val="00077A9F"/>
    <w:rsid w:val="00077AD1"/>
    <w:rsid w:val="00083D85"/>
    <w:rsid w:val="000851AF"/>
    <w:rsid w:val="00085231"/>
    <w:rsid w:val="000858E8"/>
    <w:rsid w:val="000874AC"/>
    <w:rsid w:val="00090BB5"/>
    <w:rsid w:val="00092493"/>
    <w:rsid w:val="000935C6"/>
    <w:rsid w:val="00093687"/>
    <w:rsid w:val="000948E7"/>
    <w:rsid w:val="00094F0C"/>
    <w:rsid w:val="00095285"/>
    <w:rsid w:val="00096DA1"/>
    <w:rsid w:val="000A13E5"/>
    <w:rsid w:val="000A1C1A"/>
    <w:rsid w:val="000A3226"/>
    <w:rsid w:val="000A4770"/>
    <w:rsid w:val="000A479A"/>
    <w:rsid w:val="000A5506"/>
    <w:rsid w:val="000A5E69"/>
    <w:rsid w:val="000A6072"/>
    <w:rsid w:val="000A6A0E"/>
    <w:rsid w:val="000B2977"/>
    <w:rsid w:val="000B31EF"/>
    <w:rsid w:val="000B442C"/>
    <w:rsid w:val="000B56FF"/>
    <w:rsid w:val="000B7CC1"/>
    <w:rsid w:val="000B7DA4"/>
    <w:rsid w:val="000C01E3"/>
    <w:rsid w:val="000C0880"/>
    <w:rsid w:val="000C1694"/>
    <w:rsid w:val="000C2DA4"/>
    <w:rsid w:val="000C3161"/>
    <w:rsid w:val="000C34F6"/>
    <w:rsid w:val="000C4AB9"/>
    <w:rsid w:val="000C6AF7"/>
    <w:rsid w:val="000D1013"/>
    <w:rsid w:val="000D14BC"/>
    <w:rsid w:val="000D2742"/>
    <w:rsid w:val="000D27B5"/>
    <w:rsid w:val="000D2D43"/>
    <w:rsid w:val="000D3248"/>
    <w:rsid w:val="000D32E2"/>
    <w:rsid w:val="000D37CD"/>
    <w:rsid w:val="000D474B"/>
    <w:rsid w:val="000E068F"/>
    <w:rsid w:val="000E1C5F"/>
    <w:rsid w:val="000E2CF4"/>
    <w:rsid w:val="000E3435"/>
    <w:rsid w:val="000E381E"/>
    <w:rsid w:val="000E3CBF"/>
    <w:rsid w:val="000E5482"/>
    <w:rsid w:val="000E76F9"/>
    <w:rsid w:val="000E7FA5"/>
    <w:rsid w:val="000F0CF8"/>
    <w:rsid w:val="000F1A00"/>
    <w:rsid w:val="000F3A4C"/>
    <w:rsid w:val="000F646B"/>
    <w:rsid w:val="000F7838"/>
    <w:rsid w:val="0010005A"/>
    <w:rsid w:val="00100BE7"/>
    <w:rsid w:val="001013E6"/>
    <w:rsid w:val="0010154A"/>
    <w:rsid w:val="0010169F"/>
    <w:rsid w:val="001019DE"/>
    <w:rsid w:val="00102247"/>
    <w:rsid w:val="001028A2"/>
    <w:rsid w:val="00102A62"/>
    <w:rsid w:val="001032F2"/>
    <w:rsid w:val="00103AEA"/>
    <w:rsid w:val="00104605"/>
    <w:rsid w:val="00104E5C"/>
    <w:rsid w:val="00106415"/>
    <w:rsid w:val="00106A23"/>
    <w:rsid w:val="00107C23"/>
    <w:rsid w:val="00110948"/>
    <w:rsid w:val="00110C05"/>
    <w:rsid w:val="00110DFE"/>
    <w:rsid w:val="00113E22"/>
    <w:rsid w:val="001140FC"/>
    <w:rsid w:val="00114564"/>
    <w:rsid w:val="001147A3"/>
    <w:rsid w:val="00116862"/>
    <w:rsid w:val="001200F4"/>
    <w:rsid w:val="0012169C"/>
    <w:rsid w:val="0012204A"/>
    <w:rsid w:val="00122470"/>
    <w:rsid w:val="0012262C"/>
    <w:rsid w:val="00122BB4"/>
    <w:rsid w:val="00123BAF"/>
    <w:rsid w:val="00123E01"/>
    <w:rsid w:val="00124475"/>
    <w:rsid w:val="00124CC7"/>
    <w:rsid w:val="00130AA0"/>
    <w:rsid w:val="00130C8B"/>
    <w:rsid w:val="00130CE8"/>
    <w:rsid w:val="001312DF"/>
    <w:rsid w:val="001320DF"/>
    <w:rsid w:val="001328C6"/>
    <w:rsid w:val="00132A8A"/>
    <w:rsid w:val="00133101"/>
    <w:rsid w:val="001335E8"/>
    <w:rsid w:val="00135379"/>
    <w:rsid w:val="001356E6"/>
    <w:rsid w:val="0013628E"/>
    <w:rsid w:val="001365C7"/>
    <w:rsid w:val="0013685F"/>
    <w:rsid w:val="00136890"/>
    <w:rsid w:val="00137421"/>
    <w:rsid w:val="001405BB"/>
    <w:rsid w:val="00141582"/>
    <w:rsid w:val="001417C9"/>
    <w:rsid w:val="0014281E"/>
    <w:rsid w:val="0014380F"/>
    <w:rsid w:val="00144929"/>
    <w:rsid w:val="00146C06"/>
    <w:rsid w:val="0015204C"/>
    <w:rsid w:val="00152324"/>
    <w:rsid w:val="0015451C"/>
    <w:rsid w:val="00155C06"/>
    <w:rsid w:val="0015643A"/>
    <w:rsid w:val="0015694F"/>
    <w:rsid w:val="001574BC"/>
    <w:rsid w:val="00160417"/>
    <w:rsid w:val="00161E9C"/>
    <w:rsid w:val="001631D3"/>
    <w:rsid w:val="00164333"/>
    <w:rsid w:val="00164FCF"/>
    <w:rsid w:val="00171171"/>
    <w:rsid w:val="0017160C"/>
    <w:rsid w:val="00172412"/>
    <w:rsid w:val="001727A3"/>
    <w:rsid w:val="00173616"/>
    <w:rsid w:val="0017558E"/>
    <w:rsid w:val="001803E3"/>
    <w:rsid w:val="00181322"/>
    <w:rsid w:val="00181A3F"/>
    <w:rsid w:val="00181E6D"/>
    <w:rsid w:val="001821C2"/>
    <w:rsid w:val="001822DF"/>
    <w:rsid w:val="001839FC"/>
    <w:rsid w:val="001861FB"/>
    <w:rsid w:val="00186321"/>
    <w:rsid w:val="00190098"/>
    <w:rsid w:val="001900FE"/>
    <w:rsid w:val="0019447E"/>
    <w:rsid w:val="00194A01"/>
    <w:rsid w:val="0019585E"/>
    <w:rsid w:val="001977A1"/>
    <w:rsid w:val="001A0039"/>
    <w:rsid w:val="001A1CAD"/>
    <w:rsid w:val="001A282F"/>
    <w:rsid w:val="001A346D"/>
    <w:rsid w:val="001A3CD3"/>
    <w:rsid w:val="001A6B4A"/>
    <w:rsid w:val="001A7519"/>
    <w:rsid w:val="001A77E3"/>
    <w:rsid w:val="001B0EFC"/>
    <w:rsid w:val="001B1018"/>
    <w:rsid w:val="001B532A"/>
    <w:rsid w:val="001B5B90"/>
    <w:rsid w:val="001B6142"/>
    <w:rsid w:val="001C01B2"/>
    <w:rsid w:val="001C1958"/>
    <w:rsid w:val="001C57A9"/>
    <w:rsid w:val="001C580D"/>
    <w:rsid w:val="001C5A1E"/>
    <w:rsid w:val="001C632E"/>
    <w:rsid w:val="001C6A39"/>
    <w:rsid w:val="001C6E61"/>
    <w:rsid w:val="001C6F66"/>
    <w:rsid w:val="001C77BA"/>
    <w:rsid w:val="001D004B"/>
    <w:rsid w:val="001D0D98"/>
    <w:rsid w:val="001D10DD"/>
    <w:rsid w:val="001D1CF9"/>
    <w:rsid w:val="001D21FF"/>
    <w:rsid w:val="001D452E"/>
    <w:rsid w:val="001D4F63"/>
    <w:rsid w:val="001D51A8"/>
    <w:rsid w:val="001D5B9D"/>
    <w:rsid w:val="001D6148"/>
    <w:rsid w:val="001D6A4D"/>
    <w:rsid w:val="001D713D"/>
    <w:rsid w:val="001E061E"/>
    <w:rsid w:val="001E07FB"/>
    <w:rsid w:val="001E269E"/>
    <w:rsid w:val="001E2980"/>
    <w:rsid w:val="001E318B"/>
    <w:rsid w:val="001E4D55"/>
    <w:rsid w:val="001F07F7"/>
    <w:rsid w:val="001F0989"/>
    <w:rsid w:val="001F0C3F"/>
    <w:rsid w:val="001F0C4F"/>
    <w:rsid w:val="001F182B"/>
    <w:rsid w:val="001F4C2B"/>
    <w:rsid w:val="001F5324"/>
    <w:rsid w:val="001F58E4"/>
    <w:rsid w:val="001F5D2D"/>
    <w:rsid w:val="001F6A60"/>
    <w:rsid w:val="001F6EEE"/>
    <w:rsid w:val="001F7656"/>
    <w:rsid w:val="00200A0A"/>
    <w:rsid w:val="002017AD"/>
    <w:rsid w:val="00202F78"/>
    <w:rsid w:val="002039E7"/>
    <w:rsid w:val="00203ADD"/>
    <w:rsid w:val="00205261"/>
    <w:rsid w:val="00205C44"/>
    <w:rsid w:val="00206EE4"/>
    <w:rsid w:val="00207A31"/>
    <w:rsid w:val="0021077D"/>
    <w:rsid w:val="00210C2D"/>
    <w:rsid w:val="0021235D"/>
    <w:rsid w:val="00212CE3"/>
    <w:rsid w:val="00213C65"/>
    <w:rsid w:val="00214DA6"/>
    <w:rsid w:val="002214B1"/>
    <w:rsid w:val="00222E7D"/>
    <w:rsid w:val="00223245"/>
    <w:rsid w:val="00223E66"/>
    <w:rsid w:val="00225F6C"/>
    <w:rsid w:val="00226287"/>
    <w:rsid w:val="00226564"/>
    <w:rsid w:val="00227AE6"/>
    <w:rsid w:val="00230D59"/>
    <w:rsid w:val="00233028"/>
    <w:rsid w:val="0023440B"/>
    <w:rsid w:val="002348D6"/>
    <w:rsid w:val="002363B0"/>
    <w:rsid w:val="002370B0"/>
    <w:rsid w:val="00242E62"/>
    <w:rsid w:val="00243F04"/>
    <w:rsid w:val="00244078"/>
    <w:rsid w:val="002443C1"/>
    <w:rsid w:val="0024446E"/>
    <w:rsid w:val="0024607A"/>
    <w:rsid w:val="002472DD"/>
    <w:rsid w:val="0024776A"/>
    <w:rsid w:val="002524D3"/>
    <w:rsid w:val="002535DB"/>
    <w:rsid w:val="0025364B"/>
    <w:rsid w:val="00253826"/>
    <w:rsid w:val="00253FEC"/>
    <w:rsid w:val="0025577E"/>
    <w:rsid w:val="00261CFC"/>
    <w:rsid w:val="00264573"/>
    <w:rsid w:val="0026542A"/>
    <w:rsid w:val="00267C91"/>
    <w:rsid w:val="002703B2"/>
    <w:rsid w:val="00271484"/>
    <w:rsid w:val="00271671"/>
    <w:rsid w:val="00273EFE"/>
    <w:rsid w:val="00274DB4"/>
    <w:rsid w:val="0027501E"/>
    <w:rsid w:val="00275767"/>
    <w:rsid w:val="002767BE"/>
    <w:rsid w:val="0028027F"/>
    <w:rsid w:val="002825C3"/>
    <w:rsid w:val="00282AD2"/>
    <w:rsid w:val="0028473F"/>
    <w:rsid w:val="002864A0"/>
    <w:rsid w:val="0028657A"/>
    <w:rsid w:val="00286C62"/>
    <w:rsid w:val="0029077C"/>
    <w:rsid w:val="00290BE2"/>
    <w:rsid w:val="00290E86"/>
    <w:rsid w:val="0029191A"/>
    <w:rsid w:val="00292709"/>
    <w:rsid w:val="00293185"/>
    <w:rsid w:val="00294C03"/>
    <w:rsid w:val="002955F0"/>
    <w:rsid w:val="0029620A"/>
    <w:rsid w:val="002A2449"/>
    <w:rsid w:val="002A2CC9"/>
    <w:rsid w:val="002A3CA1"/>
    <w:rsid w:val="002A6C7C"/>
    <w:rsid w:val="002A7124"/>
    <w:rsid w:val="002B1B50"/>
    <w:rsid w:val="002B2358"/>
    <w:rsid w:val="002B26ED"/>
    <w:rsid w:val="002B3285"/>
    <w:rsid w:val="002B3406"/>
    <w:rsid w:val="002B42CD"/>
    <w:rsid w:val="002B53F0"/>
    <w:rsid w:val="002B54F5"/>
    <w:rsid w:val="002B645F"/>
    <w:rsid w:val="002C20AD"/>
    <w:rsid w:val="002C28C9"/>
    <w:rsid w:val="002C353B"/>
    <w:rsid w:val="002C3650"/>
    <w:rsid w:val="002C516E"/>
    <w:rsid w:val="002C7BE9"/>
    <w:rsid w:val="002D07FF"/>
    <w:rsid w:val="002D0A0C"/>
    <w:rsid w:val="002D1692"/>
    <w:rsid w:val="002D2383"/>
    <w:rsid w:val="002D2AFA"/>
    <w:rsid w:val="002D3148"/>
    <w:rsid w:val="002D3599"/>
    <w:rsid w:val="002D434E"/>
    <w:rsid w:val="002D51F5"/>
    <w:rsid w:val="002D5715"/>
    <w:rsid w:val="002D60E3"/>
    <w:rsid w:val="002D6D14"/>
    <w:rsid w:val="002D76EA"/>
    <w:rsid w:val="002D7D56"/>
    <w:rsid w:val="002E118F"/>
    <w:rsid w:val="002E4DD4"/>
    <w:rsid w:val="002E68A2"/>
    <w:rsid w:val="002E730E"/>
    <w:rsid w:val="002E7616"/>
    <w:rsid w:val="002E77B7"/>
    <w:rsid w:val="002E7937"/>
    <w:rsid w:val="002F0A1B"/>
    <w:rsid w:val="002F1D28"/>
    <w:rsid w:val="002F35EF"/>
    <w:rsid w:val="002F3A95"/>
    <w:rsid w:val="002F4EDC"/>
    <w:rsid w:val="002F574E"/>
    <w:rsid w:val="002F6B2D"/>
    <w:rsid w:val="002F7469"/>
    <w:rsid w:val="00301580"/>
    <w:rsid w:val="00301CEB"/>
    <w:rsid w:val="00302835"/>
    <w:rsid w:val="00302CBF"/>
    <w:rsid w:val="00303645"/>
    <w:rsid w:val="00303D43"/>
    <w:rsid w:val="00304D3E"/>
    <w:rsid w:val="003068B0"/>
    <w:rsid w:val="00311B12"/>
    <w:rsid w:val="0031304C"/>
    <w:rsid w:val="00313AC4"/>
    <w:rsid w:val="003154F9"/>
    <w:rsid w:val="0031579D"/>
    <w:rsid w:val="0031602B"/>
    <w:rsid w:val="003164A3"/>
    <w:rsid w:val="00317935"/>
    <w:rsid w:val="00317CFA"/>
    <w:rsid w:val="00322093"/>
    <w:rsid w:val="0032280F"/>
    <w:rsid w:val="00322FFB"/>
    <w:rsid w:val="003245C4"/>
    <w:rsid w:val="003253E3"/>
    <w:rsid w:val="00325D68"/>
    <w:rsid w:val="00326E8B"/>
    <w:rsid w:val="00330C99"/>
    <w:rsid w:val="0033160E"/>
    <w:rsid w:val="00332201"/>
    <w:rsid w:val="003326FD"/>
    <w:rsid w:val="0033443D"/>
    <w:rsid w:val="00336989"/>
    <w:rsid w:val="00337321"/>
    <w:rsid w:val="0033783C"/>
    <w:rsid w:val="003424C8"/>
    <w:rsid w:val="00343AF8"/>
    <w:rsid w:val="00343BE9"/>
    <w:rsid w:val="003451D5"/>
    <w:rsid w:val="00345E3B"/>
    <w:rsid w:val="00345EAB"/>
    <w:rsid w:val="00346A7F"/>
    <w:rsid w:val="00346DC6"/>
    <w:rsid w:val="00351010"/>
    <w:rsid w:val="00351584"/>
    <w:rsid w:val="003547F4"/>
    <w:rsid w:val="0035515D"/>
    <w:rsid w:val="00355CBD"/>
    <w:rsid w:val="003563B5"/>
    <w:rsid w:val="00356B4C"/>
    <w:rsid w:val="00356D12"/>
    <w:rsid w:val="0035702E"/>
    <w:rsid w:val="003578F9"/>
    <w:rsid w:val="003579C6"/>
    <w:rsid w:val="0036112B"/>
    <w:rsid w:val="00361573"/>
    <w:rsid w:val="003618C2"/>
    <w:rsid w:val="003620CE"/>
    <w:rsid w:val="003625A5"/>
    <w:rsid w:val="00363608"/>
    <w:rsid w:val="003638D5"/>
    <w:rsid w:val="00364406"/>
    <w:rsid w:val="00365335"/>
    <w:rsid w:val="003658A6"/>
    <w:rsid w:val="00365AC6"/>
    <w:rsid w:val="00370200"/>
    <w:rsid w:val="00370C34"/>
    <w:rsid w:val="003713EE"/>
    <w:rsid w:val="003726F4"/>
    <w:rsid w:val="00372BDE"/>
    <w:rsid w:val="0037465E"/>
    <w:rsid w:val="0037579A"/>
    <w:rsid w:val="003760EF"/>
    <w:rsid w:val="00380145"/>
    <w:rsid w:val="0038516F"/>
    <w:rsid w:val="00386478"/>
    <w:rsid w:val="00386514"/>
    <w:rsid w:val="00387668"/>
    <w:rsid w:val="0038797A"/>
    <w:rsid w:val="00390AB7"/>
    <w:rsid w:val="00391329"/>
    <w:rsid w:val="00391B32"/>
    <w:rsid w:val="00391C80"/>
    <w:rsid w:val="00392579"/>
    <w:rsid w:val="003949D6"/>
    <w:rsid w:val="00395CC0"/>
    <w:rsid w:val="00396D90"/>
    <w:rsid w:val="00396F4C"/>
    <w:rsid w:val="003A0006"/>
    <w:rsid w:val="003A0364"/>
    <w:rsid w:val="003A0623"/>
    <w:rsid w:val="003A0684"/>
    <w:rsid w:val="003A076A"/>
    <w:rsid w:val="003A083E"/>
    <w:rsid w:val="003A1308"/>
    <w:rsid w:val="003A1E6F"/>
    <w:rsid w:val="003A2388"/>
    <w:rsid w:val="003A4540"/>
    <w:rsid w:val="003A5B4F"/>
    <w:rsid w:val="003A7402"/>
    <w:rsid w:val="003B14FF"/>
    <w:rsid w:val="003B1FB7"/>
    <w:rsid w:val="003B2083"/>
    <w:rsid w:val="003B2460"/>
    <w:rsid w:val="003B481E"/>
    <w:rsid w:val="003B4AD9"/>
    <w:rsid w:val="003B587B"/>
    <w:rsid w:val="003C17FE"/>
    <w:rsid w:val="003C4953"/>
    <w:rsid w:val="003C52A1"/>
    <w:rsid w:val="003C7137"/>
    <w:rsid w:val="003C7E08"/>
    <w:rsid w:val="003D1754"/>
    <w:rsid w:val="003D1C1E"/>
    <w:rsid w:val="003D3957"/>
    <w:rsid w:val="003D3FCA"/>
    <w:rsid w:val="003D42CF"/>
    <w:rsid w:val="003D6991"/>
    <w:rsid w:val="003D724B"/>
    <w:rsid w:val="003D73AE"/>
    <w:rsid w:val="003E0518"/>
    <w:rsid w:val="003E1EB5"/>
    <w:rsid w:val="003E26DD"/>
    <w:rsid w:val="003E3D35"/>
    <w:rsid w:val="003E50F9"/>
    <w:rsid w:val="003E5394"/>
    <w:rsid w:val="003E6EA3"/>
    <w:rsid w:val="003E79F8"/>
    <w:rsid w:val="003F01A6"/>
    <w:rsid w:val="003F0946"/>
    <w:rsid w:val="003F0A54"/>
    <w:rsid w:val="003F114B"/>
    <w:rsid w:val="003F17D8"/>
    <w:rsid w:val="003F29C3"/>
    <w:rsid w:val="003F4C83"/>
    <w:rsid w:val="003F65D9"/>
    <w:rsid w:val="003F6866"/>
    <w:rsid w:val="003F6E1E"/>
    <w:rsid w:val="003F74D6"/>
    <w:rsid w:val="004019E4"/>
    <w:rsid w:val="00401E5E"/>
    <w:rsid w:val="004023B2"/>
    <w:rsid w:val="00402D1E"/>
    <w:rsid w:val="00404AED"/>
    <w:rsid w:val="00404E1E"/>
    <w:rsid w:val="00406613"/>
    <w:rsid w:val="00410C3C"/>
    <w:rsid w:val="00411DE9"/>
    <w:rsid w:val="0041317B"/>
    <w:rsid w:val="00414235"/>
    <w:rsid w:val="0041520E"/>
    <w:rsid w:val="00417F38"/>
    <w:rsid w:val="00417F7B"/>
    <w:rsid w:val="00420D3E"/>
    <w:rsid w:val="00422F69"/>
    <w:rsid w:val="00424073"/>
    <w:rsid w:val="0042568A"/>
    <w:rsid w:val="0042584F"/>
    <w:rsid w:val="0042768E"/>
    <w:rsid w:val="00430BD9"/>
    <w:rsid w:val="00431885"/>
    <w:rsid w:val="00433197"/>
    <w:rsid w:val="00433AC4"/>
    <w:rsid w:val="00436B32"/>
    <w:rsid w:val="00440072"/>
    <w:rsid w:val="004401FB"/>
    <w:rsid w:val="00440A17"/>
    <w:rsid w:val="00443A17"/>
    <w:rsid w:val="00444750"/>
    <w:rsid w:val="00444B3F"/>
    <w:rsid w:val="0044605D"/>
    <w:rsid w:val="004465D8"/>
    <w:rsid w:val="00447778"/>
    <w:rsid w:val="0045301E"/>
    <w:rsid w:val="00454D52"/>
    <w:rsid w:val="00455718"/>
    <w:rsid w:val="0045636A"/>
    <w:rsid w:val="004632FC"/>
    <w:rsid w:val="0046418E"/>
    <w:rsid w:val="00464283"/>
    <w:rsid w:val="00464D50"/>
    <w:rsid w:val="0046547E"/>
    <w:rsid w:val="00465991"/>
    <w:rsid w:val="00465BA2"/>
    <w:rsid w:val="00466D83"/>
    <w:rsid w:val="00467201"/>
    <w:rsid w:val="0046728D"/>
    <w:rsid w:val="004700CF"/>
    <w:rsid w:val="00470622"/>
    <w:rsid w:val="0047085B"/>
    <w:rsid w:val="0047243F"/>
    <w:rsid w:val="00472925"/>
    <w:rsid w:val="00474680"/>
    <w:rsid w:val="004748A8"/>
    <w:rsid w:val="00474DDD"/>
    <w:rsid w:val="004758E9"/>
    <w:rsid w:val="0047717E"/>
    <w:rsid w:val="00477C99"/>
    <w:rsid w:val="00481A53"/>
    <w:rsid w:val="004820B6"/>
    <w:rsid w:val="00483FFE"/>
    <w:rsid w:val="00485DEF"/>
    <w:rsid w:val="00486A64"/>
    <w:rsid w:val="004902F1"/>
    <w:rsid w:val="00491911"/>
    <w:rsid w:val="0049335B"/>
    <w:rsid w:val="00493A83"/>
    <w:rsid w:val="00494780"/>
    <w:rsid w:val="004A08DA"/>
    <w:rsid w:val="004A0A46"/>
    <w:rsid w:val="004A1CFC"/>
    <w:rsid w:val="004A263D"/>
    <w:rsid w:val="004A28B7"/>
    <w:rsid w:val="004A5474"/>
    <w:rsid w:val="004A5F6D"/>
    <w:rsid w:val="004A6741"/>
    <w:rsid w:val="004A6C3D"/>
    <w:rsid w:val="004A6DAA"/>
    <w:rsid w:val="004B0D62"/>
    <w:rsid w:val="004B2186"/>
    <w:rsid w:val="004B278C"/>
    <w:rsid w:val="004B3ED5"/>
    <w:rsid w:val="004B4014"/>
    <w:rsid w:val="004B48D1"/>
    <w:rsid w:val="004B6456"/>
    <w:rsid w:val="004C0623"/>
    <w:rsid w:val="004C217E"/>
    <w:rsid w:val="004C24A2"/>
    <w:rsid w:val="004C2C96"/>
    <w:rsid w:val="004C491A"/>
    <w:rsid w:val="004C52D2"/>
    <w:rsid w:val="004C53B6"/>
    <w:rsid w:val="004D46D8"/>
    <w:rsid w:val="004D579B"/>
    <w:rsid w:val="004D7BFF"/>
    <w:rsid w:val="004E0B04"/>
    <w:rsid w:val="004E1639"/>
    <w:rsid w:val="004E7BB6"/>
    <w:rsid w:val="004F0642"/>
    <w:rsid w:val="004F1EC4"/>
    <w:rsid w:val="004F266F"/>
    <w:rsid w:val="004F41CA"/>
    <w:rsid w:val="005003AD"/>
    <w:rsid w:val="005056D2"/>
    <w:rsid w:val="00506150"/>
    <w:rsid w:val="0050694B"/>
    <w:rsid w:val="00511CFE"/>
    <w:rsid w:val="00512464"/>
    <w:rsid w:val="00513CA0"/>
    <w:rsid w:val="00513EAD"/>
    <w:rsid w:val="00514034"/>
    <w:rsid w:val="005149F7"/>
    <w:rsid w:val="005158A5"/>
    <w:rsid w:val="0051592E"/>
    <w:rsid w:val="00517553"/>
    <w:rsid w:val="00520F1C"/>
    <w:rsid w:val="0052107C"/>
    <w:rsid w:val="00521A36"/>
    <w:rsid w:val="0052248D"/>
    <w:rsid w:val="005225CE"/>
    <w:rsid w:val="005236AF"/>
    <w:rsid w:val="00523F74"/>
    <w:rsid w:val="005244ED"/>
    <w:rsid w:val="005250C6"/>
    <w:rsid w:val="00527A52"/>
    <w:rsid w:val="005311FD"/>
    <w:rsid w:val="005326E3"/>
    <w:rsid w:val="00532BFD"/>
    <w:rsid w:val="00533A28"/>
    <w:rsid w:val="00534F59"/>
    <w:rsid w:val="00535B3F"/>
    <w:rsid w:val="00536DBD"/>
    <w:rsid w:val="005377CB"/>
    <w:rsid w:val="0054118C"/>
    <w:rsid w:val="00543716"/>
    <w:rsid w:val="005439A3"/>
    <w:rsid w:val="00544363"/>
    <w:rsid w:val="00544976"/>
    <w:rsid w:val="005479DA"/>
    <w:rsid w:val="00547DD9"/>
    <w:rsid w:val="00547F16"/>
    <w:rsid w:val="00550243"/>
    <w:rsid w:val="0055059C"/>
    <w:rsid w:val="00552911"/>
    <w:rsid w:val="00555C28"/>
    <w:rsid w:val="00555EAE"/>
    <w:rsid w:val="00561AEA"/>
    <w:rsid w:val="00561C79"/>
    <w:rsid w:val="005626ED"/>
    <w:rsid w:val="00562ECF"/>
    <w:rsid w:val="00565A67"/>
    <w:rsid w:val="00566B9F"/>
    <w:rsid w:val="00567589"/>
    <w:rsid w:val="00567A74"/>
    <w:rsid w:val="005703E1"/>
    <w:rsid w:val="00571036"/>
    <w:rsid w:val="00571525"/>
    <w:rsid w:val="00571DE6"/>
    <w:rsid w:val="0057212C"/>
    <w:rsid w:val="005730D3"/>
    <w:rsid w:val="00573AAF"/>
    <w:rsid w:val="00574F64"/>
    <w:rsid w:val="00577B0F"/>
    <w:rsid w:val="0058010A"/>
    <w:rsid w:val="00582065"/>
    <w:rsid w:val="00583818"/>
    <w:rsid w:val="00585028"/>
    <w:rsid w:val="0058541B"/>
    <w:rsid w:val="005904DF"/>
    <w:rsid w:val="00590B10"/>
    <w:rsid w:val="00591D0D"/>
    <w:rsid w:val="0059268B"/>
    <w:rsid w:val="00593699"/>
    <w:rsid w:val="00593DD4"/>
    <w:rsid w:val="00597AF5"/>
    <w:rsid w:val="005A1035"/>
    <w:rsid w:val="005A1167"/>
    <w:rsid w:val="005A1842"/>
    <w:rsid w:val="005A2DB7"/>
    <w:rsid w:val="005A6301"/>
    <w:rsid w:val="005A722F"/>
    <w:rsid w:val="005A7497"/>
    <w:rsid w:val="005B0334"/>
    <w:rsid w:val="005B4DF7"/>
    <w:rsid w:val="005B579C"/>
    <w:rsid w:val="005B5AA5"/>
    <w:rsid w:val="005B5AF6"/>
    <w:rsid w:val="005B607D"/>
    <w:rsid w:val="005B6547"/>
    <w:rsid w:val="005C08C4"/>
    <w:rsid w:val="005C1E05"/>
    <w:rsid w:val="005C1E69"/>
    <w:rsid w:val="005C2996"/>
    <w:rsid w:val="005C388D"/>
    <w:rsid w:val="005C7C54"/>
    <w:rsid w:val="005C7E98"/>
    <w:rsid w:val="005D0025"/>
    <w:rsid w:val="005D0B06"/>
    <w:rsid w:val="005D17F7"/>
    <w:rsid w:val="005D364C"/>
    <w:rsid w:val="005D4B9E"/>
    <w:rsid w:val="005D5478"/>
    <w:rsid w:val="005D54A9"/>
    <w:rsid w:val="005D7B50"/>
    <w:rsid w:val="005E1E1F"/>
    <w:rsid w:val="005E290C"/>
    <w:rsid w:val="005E4EEF"/>
    <w:rsid w:val="005E616C"/>
    <w:rsid w:val="005E64B0"/>
    <w:rsid w:val="005E658E"/>
    <w:rsid w:val="005E65C3"/>
    <w:rsid w:val="005E69B0"/>
    <w:rsid w:val="005E7C66"/>
    <w:rsid w:val="005F0512"/>
    <w:rsid w:val="005F093A"/>
    <w:rsid w:val="005F1CF4"/>
    <w:rsid w:val="005F6A7F"/>
    <w:rsid w:val="005F724A"/>
    <w:rsid w:val="005F7989"/>
    <w:rsid w:val="005F7EC1"/>
    <w:rsid w:val="006006C7"/>
    <w:rsid w:val="006029EA"/>
    <w:rsid w:val="0060300E"/>
    <w:rsid w:val="006033C9"/>
    <w:rsid w:val="00604DE7"/>
    <w:rsid w:val="006051A8"/>
    <w:rsid w:val="0060536A"/>
    <w:rsid w:val="00611755"/>
    <w:rsid w:val="00611DD5"/>
    <w:rsid w:val="00613E30"/>
    <w:rsid w:val="00613EAB"/>
    <w:rsid w:val="0061627E"/>
    <w:rsid w:val="006172C4"/>
    <w:rsid w:val="00620094"/>
    <w:rsid w:val="00620638"/>
    <w:rsid w:val="006217D4"/>
    <w:rsid w:val="00621A35"/>
    <w:rsid w:val="00621DE8"/>
    <w:rsid w:val="00622869"/>
    <w:rsid w:val="00622FC8"/>
    <w:rsid w:val="0062435A"/>
    <w:rsid w:val="00626E15"/>
    <w:rsid w:val="006278AC"/>
    <w:rsid w:val="00630B9C"/>
    <w:rsid w:val="006320B2"/>
    <w:rsid w:val="006324A4"/>
    <w:rsid w:val="00633257"/>
    <w:rsid w:val="00633C52"/>
    <w:rsid w:val="0063447F"/>
    <w:rsid w:val="0063505C"/>
    <w:rsid w:val="00637C5A"/>
    <w:rsid w:val="00640A6D"/>
    <w:rsid w:val="0064230A"/>
    <w:rsid w:val="00642CDD"/>
    <w:rsid w:val="0064552A"/>
    <w:rsid w:val="00645EB8"/>
    <w:rsid w:val="00646C32"/>
    <w:rsid w:val="006477E2"/>
    <w:rsid w:val="00650221"/>
    <w:rsid w:val="00650496"/>
    <w:rsid w:val="00650840"/>
    <w:rsid w:val="00650C2C"/>
    <w:rsid w:val="00651426"/>
    <w:rsid w:val="0065143C"/>
    <w:rsid w:val="00652B1D"/>
    <w:rsid w:val="00653952"/>
    <w:rsid w:val="00654CA8"/>
    <w:rsid w:val="00656EC6"/>
    <w:rsid w:val="00661354"/>
    <w:rsid w:val="00662053"/>
    <w:rsid w:val="00663879"/>
    <w:rsid w:val="006656A0"/>
    <w:rsid w:val="006658F2"/>
    <w:rsid w:val="00665F03"/>
    <w:rsid w:val="006701CD"/>
    <w:rsid w:val="006737DA"/>
    <w:rsid w:val="00673DBA"/>
    <w:rsid w:val="00674254"/>
    <w:rsid w:val="006763A7"/>
    <w:rsid w:val="00676D83"/>
    <w:rsid w:val="00677A64"/>
    <w:rsid w:val="00680DEC"/>
    <w:rsid w:val="00681EC5"/>
    <w:rsid w:val="00682239"/>
    <w:rsid w:val="0068265B"/>
    <w:rsid w:val="0068366C"/>
    <w:rsid w:val="00684EDA"/>
    <w:rsid w:val="00687FB0"/>
    <w:rsid w:val="0069010F"/>
    <w:rsid w:val="0069019D"/>
    <w:rsid w:val="00691A93"/>
    <w:rsid w:val="006937D4"/>
    <w:rsid w:val="0069495A"/>
    <w:rsid w:val="006955C7"/>
    <w:rsid w:val="00696039"/>
    <w:rsid w:val="00696633"/>
    <w:rsid w:val="006A2A08"/>
    <w:rsid w:val="006B3ED7"/>
    <w:rsid w:val="006B4058"/>
    <w:rsid w:val="006B44D6"/>
    <w:rsid w:val="006B4BF0"/>
    <w:rsid w:val="006B598F"/>
    <w:rsid w:val="006B5B57"/>
    <w:rsid w:val="006B5F00"/>
    <w:rsid w:val="006B636C"/>
    <w:rsid w:val="006C0ECC"/>
    <w:rsid w:val="006C3F11"/>
    <w:rsid w:val="006C4A3D"/>
    <w:rsid w:val="006C4A49"/>
    <w:rsid w:val="006C5572"/>
    <w:rsid w:val="006C6035"/>
    <w:rsid w:val="006C65CC"/>
    <w:rsid w:val="006C6EB1"/>
    <w:rsid w:val="006D0ED9"/>
    <w:rsid w:val="006D1058"/>
    <w:rsid w:val="006D1347"/>
    <w:rsid w:val="006D142D"/>
    <w:rsid w:val="006D2C7A"/>
    <w:rsid w:val="006D2E1C"/>
    <w:rsid w:val="006D5332"/>
    <w:rsid w:val="006D56BA"/>
    <w:rsid w:val="006D5FBF"/>
    <w:rsid w:val="006D6B89"/>
    <w:rsid w:val="006D7A7F"/>
    <w:rsid w:val="006E0F97"/>
    <w:rsid w:val="006E1511"/>
    <w:rsid w:val="006E2CAD"/>
    <w:rsid w:val="006E62BC"/>
    <w:rsid w:val="006E75F8"/>
    <w:rsid w:val="006F047F"/>
    <w:rsid w:val="006F12F2"/>
    <w:rsid w:val="006F20D0"/>
    <w:rsid w:val="006F4725"/>
    <w:rsid w:val="006F6B17"/>
    <w:rsid w:val="007005A9"/>
    <w:rsid w:val="007006C1"/>
    <w:rsid w:val="007006FD"/>
    <w:rsid w:val="0070163C"/>
    <w:rsid w:val="00702756"/>
    <w:rsid w:val="00702A8F"/>
    <w:rsid w:val="0070453C"/>
    <w:rsid w:val="00706881"/>
    <w:rsid w:val="007071E4"/>
    <w:rsid w:val="0071017C"/>
    <w:rsid w:val="00710F44"/>
    <w:rsid w:val="00711DEE"/>
    <w:rsid w:val="00712318"/>
    <w:rsid w:val="00712BB3"/>
    <w:rsid w:val="00713B96"/>
    <w:rsid w:val="007153F0"/>
    <w:rsid w:val="00715634"/>
    <w:rsid w:val="00716692"/>
    <w:rsid w:val="00717275"/>
    <w:rsid w:val="007212A1"/>
    <w:rsid w:val="00722127"/>
    <w:rsid w:val="0072300D"/>
    <w:rsid w:val="007240E7"/>
    <w:rsid w:val="0072508D"/>
    <w:rsid w:val="007250EB"/>
    <w:rsid w:val="00732965"/>
    <w:rsid w:val="00733B2D"/>
    <w:rsid w:val="00734677"/>
    <w:rsid w:val="00734FA8"/>
    <w:rsid w:val="0073610C"/>
    <w:rsid w:val="007379BF"/>
    <w:rsid w:val="00737F11"/>
    <w:rsid w:val="00740660"/>
    <w:rsid w:val="00740707"/>
    <w:rsid w:val="00740A3A"/>
    <w:rsid w:val="007411FE"/>
    <w:rsid w:val="007433CC"/>
    <w:rsid w:val="00744243"/>
    <w:rsid w:val="007448B2"/>
    <w:rsid w:val="00744BE5"/>
    <w:rsid w:val="00745946"/>
    <w:rsid w:val="00750F76"/>
    <w:rsid w:val="00752784"/>
    <w:rsid w:val="00754499"/>
    <w:rsid w:val="007545E3"/>
    <w:rsid w:val="00755834"/>
    <w:rsid w:val="00760ACF"/>
    <w:rsid w:val="00762185"/>
    <w:rsid w:val="007630F7"/>
    <w:rsid w:val="00763552"/>
    <w:rsid w:val="0077152D"/>
    <w:rsid w:val="00775155"/>
    <w:rsid w:val="0077567C"/>
    <w:rsid w:val="00776958"/>
    <w:rsid w:val="00777147"/>
    <w:rsid w:val="0078028C"/>
    <w:rsid w:val="00781119"/>
    <w:rsid w:val="007830A1"/>
    <w:rsid w:val="00785D59"/>
    <w:rsid w:val="00786131"/>
    <w:rsid w:val="00787C60"/>
    <w:rsid w:val="00790CAC"/>
    <w:rsid w:val="007938C5"/>
    <w:rsid w:val="00793DDD"/>
    <w:rsid w:val="00796456"/>
    <w:rsid w:val="007A06B1"/>
    <w:rsid w:val="007A62CD"/>
    <w:rsid w:val="007A70AB"/>
    <w:rsid w:val="007A7D1B"/>
    <w:rsid w:val="007B0871"/>
    <w:rsid w:val="007B1A09"/>
    <w:rsid w:val="007B1A10"/>
    <w:rsid w:val="007B1F0A"/>
    <w:rsid w:val="007B7556"/>
    <w:rsid w:val="007C0114"/>
    <w:rsid w:val="007C0B93"/>
    <w:rsid w:val="007C0F97"/>
    <w:rsid w:val="007C1A33"/>
    <w:rsid w:val="007C27D2"/>
    <w:rsid w:val="007C3470"/>
    <w:rsid w:val="007C35F8"/>
    <w:rsid w:val="007C5CAB"/>
    <w:rsid w:val="007C64CE"/>
    <w:rsid w:val="007C6567"/>
    <w:rsid w:val="007C69EB"/>
    <w:rsid w:val="007D035D"/>
    <w:rsid w:val="007D08B0"/>
    <w:rsid w:val="007D2446"/>
    <w:rsid w:val="007D26B6"/>
    <w:rsid w:val="007D312F"/>
    <w:rsid w:val="007D3451"/>
    <w:rsid w:val="007D43E1"/>
    <w:rsid w:val="007D45AF"/>
    <w:rsid w:val="007D4A8D"/>
    <w:rsid w:val="007D5F23"/>
    <w:rsid w:val="007D6B35"/>
    <w:rsid w:val="007E112F"/>
    <w:rsid w:val="007E140F"/>
    <w:rsid w:val="007E2570"/>
    <w:rsid w:val="007E38D0"/>
    <w:rsid w:val="007E3E70"/>
    <w:rsid w:val="007E522E"/>
    <w:rsid w:val="007F00B2"/>
    <w:rsid w:val="007F054B"/>
    <w:rsid w:val="007F1720"/>
    <w:rsid w:val="007F1896"/>
    <w:rsid w:val="007F31F1"/>
    <w:rsid w:val="007F44D4"/>
    <w:rsid w:val="007F4C7A"/>
    <w:rsid w:val="007F534A"/>
    <w:rsid w:val="007F5852"/>
    <w:rsid w:val="008012DF"/>
    <w:rsid w:val="00801E86"/>
    <w:rsid w:val="0080318E"/>
    <w:rsid w:val="008031D8"/>
    <w:rsid w:val="00804426"/>
    <w:rsid w:val="008051B5"/>
    <w:rsid w:val="00805377"/>
    <w:rsid w:val="0080654A"/>
    <w:rsid w:val="0081176D"/>
    <w:rsid w:val="008138D5"/>
    <w:rsid w:val="00814D31"/>
    <w:rsid w:val="00816519"/>
    <w:rsid w:val="00816C6C"/>
    <w:rsid w:val="00820367"/>
    <w:rsid w:val="00822C65"/>
    <w:rsid w:val="00823EBB"/>
    <w:rsid w:val="00824947"/>
    <w:rsid w:val="00826D9C"/>
    <w:rsid w:val="00831156"/>
    <w:rsid w:val="0083355C"/>
    <w:rsid w:val="00833E87"/>
    <w:rsid w:val="00835FD7"/>
    <w:rsid w:val="00836E02"/>
    <w:rsid w:val="0084157F"/>
    <w:rsid w:val="00841800"/>
    <w:rsid w:val="008443F2"/>
    <w:rsid w:val="00845028"/>
    <w:rsid w:val="0084760A"/>
    <w:rsid w:val="008502F2"/>
    <w:rsid w:val="008503C5"/>
    <w:rsid w:val="00850BC0"/>
    <w:rsid w:val="00852737"/>
    <w:rsid w:val="00854C28"/>
    <w:rsid w:val="00854F16"/>
    <w:rsid w:val="0085513B"/>
    <w:rsid w:val="00855877"/>
    <w:rsid w:val="00856B10"/>
    <w:rsid w:val="00857948"/>
    <w:rsid w:val="00860436"/>
    <w:rsid w:val="00862A1F"/>
    <w:rsid w:val="00863D79"/>
    <w:rsid w:val="00863FF6"/>
    <w:rsid w:val="008644AB"/>
    <w:rsid w:val="00864638"/>
    <w:rsid w:val="008646BB"/>
    <w:rsid w:val="00864CE6"/>
    <w:rsid w:val="008654B5"/>
    <w:rsid w:val="00865FE9"/>
    <w:rsid w:val="0086683E"/>
    <w:rsid w:val="00866FD6"/>
    <w:rsid w:val="008677B3"/>
    <w:rsid w:val="00871245"/>
    <w:rsid w:val="008716AE"/>
    <w:rsid w:val="00874DD5"/>
    <w:rsid w:val="00875860"/>
    <w:rsid w:val="00883A02"/>
    <w:rsid w:val="00883CB4"/>
    <w:rsid w:val="00885B2E"/>
    <w:rsid w:val="008879D1"/>
    <w:rsid w:val="00890219"/>
    <w:rsid w:val="008904A1"/>
    <w:rsid w:val="00890DC7"/>
    <w:rsid w:val="00890ECA"/>
    <w:rsid w:val="00891146"/>
    <w:rsid w:val="00893472"/>
    <w:rsid w:val="008947A0"/>
    <w:rsid w:val="008966ED"/>
    <w:rsid w:val="00897559"/>
    <w:rsid w:val="008A2909"/>
    <w:rsid w:val="008A3CB5"/>
    <w:rsid w:val="008A3D3B"/>
    <w:rsid w:val="008A4903"/>
    <w:rsid w:val="008A4CB3"/>
    <w:rsid w:val="008A5935"/>
    <w:rsid w:val="008B14A0"/>
    <w:rsid w:val="008B193E"/>
    <w:rsid w:val="008B2DF7"/>
    <w:rsid w:val="008B3928"/>
    <w:rsid w:val="008B5358"/>
    <w:rsid w:val="008B6B6E"/>
    <w:rsid w:val="008C0AEC"/>
    <w:rsid w:val="008C10FB"/>
    <w:rsid w:val="008C2423"/>
    <w:rsid w:val="008C3E75"/>
    <w:rsid w:val="008C41DA"/>
    <w:rsid w:val="008C7792"/>
    <w:rsid w:val="008C7962"/>
    <w:rsid w:val="008D03D4"/>
    <w:rsid w:val="008D07CB"/>
    <w:rsid w:val="008D0E63"/>
    <w:rsid w:val="008D2C7E"/>
    <w:rsid w:val="008D4A22"/>
    <w:rsid w:val="008D5C1A"/>
    <w:rsid w:val="008D626E"/>
    <w:rsid w:val="008D785E"/>
    <w:rsid w:val="008E1CF2"/>
    <w:rsid w:val="008E312F"/>
    <w:rsid w:val="008E3B8A"/>
    <w:rsid w:val="008F04C6"/>
    <w:rsid w:val="008F204F"/>
    <w:rsid w:val="008F3412"/>
    <w:rsid w:val="008F3596"/>
    <w:rsid w:val="008F455F"/>
    <w:rsid w:val="008F5442"/>
    <w:rsid w:val="008F6480"/>
    <w:rsid w:val="008F6D4C"/>
    <w:rsid w:val="008F76B8"/>
    <w:rsid w:val="0090260D"/>
    <w:rsid w:val="00903840"/>
    <w:rsid w:val="00903965"/>
    <w:rsid w:val="00903F76"/>
    <w:rsid w:val="0090528B"/>
    <w:rsid w:val="00906410"/>
    <w:rsid w:val="0090769B"/>
    <w:rsid w:val="009105D1"/>
    <w:rsid w:val="00912C1E"/>
    <w:rsid w:val="00912D69"/>
    <w:rsid w:val="00912E2D"/>
    <w:rsid w:val="00913234"/>
    <w:rsid w:val="00914376"/>
    <w:rsid w:val="0091560E"/>
    <w:rsid w:val="009175D6"/>
    <w:rsid w:val="00917EF6"/>
    <w:rsid w:val="00920C85"/>
    <w:rsid w:val="00920D87"/>
    <w:rsid w:val="009219D3"/>
    <w:rsid w:val="009261DA"/>
    <w:rsid w:val="00927072"/>
    <w:rsid w:val="009270E1"/>
    <w:rsid w:val="009334FE"/>
    <w:rsid w:val="00934529"/>
    <w:rsid w:val="00934655"/>
    <w:rsid w:val="009356A6"/>
    <w:rsid w:val="0093767E"/>
    <w:rsid w:val="00940073"/>
    <w:rsid w:val="009408D1"/>
    <w:rsid w:val="00940E1D"/>
    <w:rsid w:val="0094140D"/>
    <w:rsid w:val="00942127"/>
    <w:rsid w:val="0094223A"/>
    <w:rsid w:val="00943A82"/>
    <w:rsid w:val="009449E7"/>
    <w:rsid w:val="00944ED2"/>
    <w:rsid w:val="00946F7F"/>
    <w:rsid w:val="009502F9"/>
    <w:rsid w:val="00951390"/>
    <w:rsid w:val="0095240A"/>
    <w:rsid w:val="009524DB"/>
    <w:rsid w:val="00953B6C"/>
    <w:rsid w:val="009547C6"/>
    <w:rsid w:val="00957232"/>
    <w:rsid w:val="009578CD"/>
    <w:rsid w:val="00957D1A"/>
    <w:rsid w:val="009610D4"/>
    <w:rsid w:val="009614AD"/>
    <w:rsid w:val="00961985"/>
    <w:rsid w:val="00961AAA"/>
    <w:rsid w:val="009626F6"/>
    <w:rsid w:val="009643B9"/>
    <w:rsid w:val="00964F52"/>
    <w:rsid w:val="00965BA2"/>
    <w:rsid w:val="009703BA"/>
    <w:rsid w:val="00970502"/>
    <w:rsid w:val="00970C5E"/>
    <w:rsid w:val="00972A37"/>
    <w:rsid w:val="00973042"/>
    <w:rsid w:val="009731B1"/>
    <w:rsid w:val="009739E3"/>
    <w:rsid w:val="00974B85"/>
    <w:rsid w:val="00974D50"/>
    <w:rsid w:val="009750A9"/>
    <w:rsid w:val="00975961"/>
    <w:rsid w:val="00976BF4"/>
    <w:rsid w:val="00976DDE"/>
    <w:rsid w:val="009810B4"/>
    <w:rsid w:val="00984CF3"/>
    <w:rsid w:val="00985E1F"/>
    <w:rsid w:val="0098734C"/>
    <w:rsid w:val="00992163"/>
    <w:rsid w:val="009936A6"/>
    <w:rsid w:val="00993E5C"/>
    <w:rsid w:val="00994545"/>
    <w:rsid w:val="00995520"/>
    <w:rsid w:val="009A40B3"/>
    <w:rsid w:val="009A4AD7"/>
    <w:rsid w:val="009A635E"/>
    <w:rsid w:val="009A6E99"/>
    <w:rsid w:val="009A760B"/>
    <w:rsid w:val="009B0379"/>
    <w:rsid w:val="009B11F2"/>
    <w:rsid w:val="009B306F"/>
    <w:rsid w:val="009B37A5"/>
    <w:rsid w:val="009B3B7B"/>
    <w:rsid w:val="009B4CFB"/>
    <w:rsid w:val="009B69A6"/>
    <w:rsid w:val="009B71BA"/>
    <w:rsid w:val="009B74FA"/>
    <w:rsid w:val="009B7C97"/>
    <w:rsid w:val="009C0457"/>
    <w:rsid w:val="009C0B76"/>
    <w:rsid w:val="009C1EB3"/>
    <w:rsid w:val="009C5B06"/>
    <w:rsid w:val="009C64C3"/>
    <w:rsid w:val="009C76B0"/>
    <w:rsid w:val="009D1696"/>
    <w:rsid w:val="009D255F"/>
    <w:rsid w:val="009D29B6"/>
    <w:rsid w:val="009D2B12"/>
    <w:rsid w:val="009D5337"/>
    <w:rsid w:val="009D6F26"/>
    <w:rsid w:val="009D74DE"/>
    <w:rsid w:val="009D7716"/>
    <w:rsid w:val="009E12AD"/>
    <w:rsid w:val="009E2274"/>
    <w:rsid w:val="009E4453"/>
    <w:rsid w:val="009F05BD"/>
    <w:rsid w:val="009F0B12"/>
    <w:rsid w:val="009F2560"/>
    <w:rsid w:val="009F27C3"/>
    <w:rsid w:val="009F4937"/>
    <w:rsid w:val="009F628C"/>
    <w:rsid w:val="009F6690"/>
    <w:rsid w:val="00A005BB"/>
    <w:rsid w:val="00A00B2F"/>
    <w:rsid w:val="00A01059"/>
    <w:rsid w:val="00A01337"/>
    <w:rsid w:val="00A014F6"/>
    <w:rsid w:val="00A01875"/>
    <w:rsid w:val="00A0257D"/>
    <w:rsid w:val="00A026F9"/>
    <w:rsid w:val="00A03037"/>
    <w:rsid w:val="00A04690"/>
    <w:rsid w:val="00A053D9"/>
    <w:rsid w:val="00A10E8F"/>
    <w:rsid w:val="00A1109C"/>
    <w:rsid w:val="00A1279E"/>
    <w:rsid w:val="00A14BE3"/>
    <w:rsid w:val="00A17DE1"/>
    <w:rsid w:val="00A200EB"/>
    <w:rsid w:val="00A22629"/>
    <w:rsid w:val="00A22AC0"/>
    <w:rsid w:val="00A231CC"/>
    <w:rsid w:val="00A2335C"/>
    <w:rsid w:val="00A24DD1"/>
    <w:rsid w:val="00A25D62"/>
    <w:rsid w:val="00A269A4"/>
    <w:rsid w:val="00A305C7"/>
    <w:rsid w:val="00A305DE"/>
    <w:rsid w:val="00A32D44"/>
    <w:rsid w:val="00A33A2F"/>
    <w:rsid w:val="00A352B6"/>
    <w:rsid w:val="00A35CA0"/>
    <w:rsid w:val="00A360E4"/>
    <w:rsid w:val="00A37A33"/>
    <w:rsid w:val="00A37C94"/>
    <w:rsid w:val="00A4021B"/>
    <w:rsid w:val="00A413E7"/>
    <w:rsid w:val="00A414BB"/>
    <w:rsid w:val="00A418F9"/>
    <w:rsid w:val="00A427DC"/>
    <w:rsid w:val="00A44743"/>
    <w:rsid w:val="00A447C9"/>
    <w:rsid w:val="00A44835"/>
    <w:rsid w:val="00A50626"/>
    <w:rsid w:val="00A51552"/>
    <w:rsid w:val="00A52A95"/>
    <w:rsid w:val="00A52DE3"/>
    <w:rsid w:val="00A570EC"/>
    <w:rsid w:val="00A578E1"/>
    <w:rsid w:val="00A632D6"/>
    <w:rsid w:val="00A65AE3"/>
    <w:rsid w:val="00A67DBD"/>
    <w:rsid w:val="00A71C2B"/>
    <w:rsid w:val="00A71F1B"/>
    <w:rsid w:val="00A72D7B"/>
    <w:rsid w:val="00A73381"/>
    <w:rsid w:val="00A748B9"/>
    <w:rsid w:val="00A75535"/>
    <w:rsid w:val="00A7566F"/>
    <w:rsid w:val="00A75BBF"/>
    <w:rsid w:val="00A763A8"/>
    <w:rsid w:val="00A76428"/>
    <w:rsid w:val="00A8026C"/>
    <w:rsid w:val="00A81B95"/>
    <w:rsid w:val="00A83376"/>
    <w:rsid w:val="00A840F3"/>
    <w:rsid w:val="00A85B14"/>
    <w:rsid w:val="00A87D53"/>
    <w:rsid w:val="00A90011"/>
    <w:rsid w:val="00A90B24"/>
    <w:rsid w:val="00A9147C"/>
    <w:rsid w:val="00A935E8"/>
    <w:rsid w:val="00A946B4"/>
    <w:rsid w:val="00A9704A"/>
    <w:rsid w:val="00A973D0"/>
    <w:rsid w:val="00A9744E"/>
    <w:rsid w:val="00A97F71"/>
    <w:rsid w:val="00AA08B3"/>
    <w:rsid w:val="00AA496D"/>
    <w:rsid w:val="00AA558A"/>
    <w:rsid w:val="00AA5725"/>
    <w:rsid w:val="00AA5B6C"/>
    <w:rsid w:val="00AA5F11"/>
    <w:rsid w:val="00AA7584"/>
    <w:rsid w:val="00AA76EE"/>
    <w:rsid w:val="00AB0A3F"/>
    <w:rsid w:val="00AB1FE7"/>
    <w:rsid w:val="00AB2334"/>
    <w:rsid w:val="00AB2D03"/>
    <w:rsid w:val="00AB3346"/>
    <w:rsid w:val="00AB725B"/>
    <w:rsid w:val="00AC0C74"/>
    <w:rsid w:val="00AC1EAC"/>
    <w:rsid w:val="00AC20E6"/>
    <w:rsid w:val="00AC4415"/>
    <w:rsid w:val="00AD1B41"/>
    <w:rsid w:val="00AD24BF"/>
    <w:rsid w:val="00AD2B53"/>
    <w:rsid w:val="00AD4324"/>
    <w:rsid w:val="00AD7216"/>
    <w:rsid w:val="00AD7404"/>
    <w:rsid w:val="00AD7BF2"/>
    <w:rsid w:val="00AE309E"/>
    <w:rsid w:val="00AE49E2"/>
    <w:rsid w:val="00AE52C0"/>
    <w:rsid w:val="00AE5C78"/>
    <w:rsid w:val="00AF3B1C"/>
    <w:rsid w:val="00AF41EA"/>
    <w:rsid w:val="00AF4B28"/>
    <w:rsid w:val="00AF546D"/>
    <w:rsid w:val="00AF6D67"/>
    <w:rsid w:val="00B01178"/>
    <w:rsid w:val="00B03D68"/>
    <w:rsid w:val="00B04EBA"/>
    <w:rsid w:val="00B0517A"/>
    <w:rsid w:val="00B054A1"/>
    <w:rsid w:val="00B05616"/>
    <w:rsid w:val="00B10175"/>
    <w:rsid w:val="00B10C88"/>
    <w:rsid w:val="00B14C6A"/>
    <w:rsid w:val="00B15883"/>
    <w:rsid w:val="00B165B7"/>
    <w:rsid w:val="00B16904"/>
    <w:rsid w:val="00B17C8E"/>
    <w:rsid w:val="00B21F8D"/>
    <w:rsid w:val="00B22080"/>
    <w:rsid w:val="00B2217E"/>
    <w:rsid w:val="00B22785"/>
    <w:rsid w:val="00B23E3F"/>
    <w:rsid w:val="00B23F74"/>
    <w:rsid w:val="00B2428E"/>
    <w:rsid w:val="00B24340"/>
    <w:rsid w:val="00B2615B"/>
    <w:rsid w:val="00B268DD"/>
    <w:rsid w:val="00B3074F"/>
    <w:rsid w:val="00B3237F"/>
    <w:rsid w:val="00B32C53"/>
    <w:rsid w:val="00B3384A"/>
    <w:rsid w:val="00B3495E"/>
    <w:rsid w:val="00B35DDB"/>
    <w:rsid w:val="00B41441"/>
    <w:rsid w:val="00B41FC8"/>
    <w:rsid w:val="00B4368B"/>
    <w:rsid w:val="00B44803"/>
    <w:rsid w:val="00B44B88"/>
    <w:rsid w:val="00B45CA3"/>
    <w:rsid w:val="00B45D2E"/>
    <w:rsid w:val="00B46879"/>
    <w:rsid w:val="00B46C58"/>
    <w:rsid w:val="00B47B7E"/>
    <w:rsid w:val="00B509E4"/>
    <w:rsid w:val="00B51297"/>
    <w:rsid w:val="00B51918"/>
    <w:rsid w:val="00B51D97"/>
    <w:rsid w:val="00B51F2E"/>
    <w:rsid w:val="00B521F1"/>
    <w:rsid w:val="00B533F6"/>
    <w:rsid w:val="00B54BE5"/>
    <w:rsid w:val="00B6106C"/>
    <w:rsid w:val="00B65C58"/>
    <w:rsid w:val="00B7293D"/>
    <w:rsid w:val="00B7370F"/>
    <w:rsid w:val="00B73BE4"/>
    <w:rsid w:val="00B74075"/>
    <w:rsid w:val="00B7446F"/>
    <w:rsid w:val="00B744D8"/>
    <w:rsid w:val="00B74D3D"/>
    <w:rsid w:val="00B7776A"/>
    <w:rsid w:val="00B82012"/>
    <w:rsid w:val="00B83C7B"/>
    <w:rsid w:val="00B84007"/>
    <w:rsid w:val="00B851AC"/>
    <w:rsid w:val="00B86DCB"/>
    <w:rsid w:val="00B878CB"/>
    <w:rsid w:val="00B93853"/>
    <w:rsid w:val="00B93A30"/>
    <w:rsid w:val="00B93C8E"/>
    <w:rsid w:val="00B94433"/>
    <w:rsid w:val="00B944A8"/>
    <w:rsid w:val="00B9647D"/>
    <w:rsid w:val="00B97489"/>
    <w:rsid w:val="00BA31A5"/>
    <w:rsid w:val="00BA3A5E"/>
    <w:rsid w:val="00BA5D7E"/>
    <w:rsid w:val="00BA6C01"/>
    <w:rsid w:val="00BA764A"/>
    <w:rsid w:val="00BA7E01"/>
    <w:rsid w:val="00BB1340"/>
    <w:rsid w:val="00BB223A"/>
    <w:rsid w:val="00BB28C3"/>
    <w:rsid w:val="00BB43A5"/>
    <w:rsid w:val="00BB51F8"/>
    <w:rsid w:val="00BB754F"/>
    <w:rsid w:val="00BB7B39"/>
    <w:rsid w:val="00BC01C5"/>
    <w:rsid w:val="00BC11FA"/>
    <w:rsid w:val="00BC2674"/>
    <w:rsid w:val="00BC4663"/>
    <w:rsid w:val="00BC6C7A"/>
    <w:rsid w:val="00BC75C0"/>
    <w:rsid w:val="00BD438B"/>
    <w:rsid w:val="00BD4900"/>
    <w:rsid w:val="00BD6317"/>
    <w:rsid w:val="00BE01DB"/>
    <w:rsid w:val="00BE02EB"/>
    <w:rsid w:val="00BE050A"/>
    <w:rsid w:val="00BE0641"/>
    <w:rsid w:val="00BE0AA0"/>
    <w:rsid w:val="00BE110D"/>
    <w:rsid w:val="00BE16A2"/>
    <w:rsid w:val="00BE1E89"/>
    <w:rsid w:val="00BE1FDC"/>
    <w:rsid w:val="00BE28E6"/>
    <w:rsid w:val="00BE31AD"/>
    <w:rsid w:val="00BE3580"/>
    <w:rsid w:val="00BF0870"/>
    <w:rsid w:val="00BF133F"/>
    <w:rsid w:val="00BF2787"/>
    <w:rsid w:val="00BF3E09"/>
    <w:rsid w:val="00BF4022"/>
    <w:rsid w:val="00BF51A3"/>
    <w:rsid w:val="00BF5726"/>
    <w:rsid w:val="00BF7B6C"/>
    <w:rsid w:val="00C00022"/>
    <w:rsid w:val="00C00588"/>
    <w:rsid w:val="00C008B0"/>
    <w:rsid w:val="00C0114D"/>
    <w:rsid w:val="00C024EA"/>
    <w:rsid w:val="00C03DB9"/>
    <w:rsid w:val="00C04973"/>
    <w:rsid w:val="00C107F2"/>
    <w:rsid w:val="00C10F0B"/>
    <w:rsid w:val="00C119C7"/>
    <w:rsid w:val="00C13139"/>
    <w:rsid w:val="00C13CD3"/>
    <w:rsid w:val="00C13DE8"/>
    <w:rsid w:val="00C14F5A"/>
    <w:rsid w:val="00C17F6D"/>
    <w:rsid w:val="00C21144"/>
    <w:rsid w:val="00C22366"/>
    <w:rsid w:val="00C22A45"/>
    <w:rsid w:val="00C22EB4"/>
    <w:rsid w:val="00C2346F"/>
    <w:rsid w:val="00C234A7"/>
    <w:rsid w:val="00C24DBE"/>
    <w:rsid w:val="00C25547"/>
    <w:rsid w:val="00C269AE"/>
    <w:rsid w:val="00C2737D"/>
    <w:rsid w:val="00C27592"/>
    <w:rsid w:val="00C30156"/>
    <w:rsid w:val="00C3029A"/>
    <w:rsid w:val="00C30945"/>
    <w:rsid w:val="00C30B62"/>
    <w:rsid w:val="00C31479"/>
    <w:rsid w:val="00C3194B"/>
    <w:rsid w:val="00C32A41"/>
    <w:rsid w:val="00C3774E"/>
    <w:rsid w:val="00C37E81"/>
    <w:rsid w:val="00C40247"/>
    <w:rsid w:val="00C408E7"/>
    <w:rsid w:val="00C41594"/>
    <w:rsid w:val="00C4205D"/>
    <w:rsid w:val="00C47476"/>
    <w:rsid w:val="00C476DD"/>
    <w:rsid w:val="00C50315"/>
    <w:rsid w:val="00C51A19"/>
    <w:rsid w:val="00C51AEC"/>
    <w:rsid w:val="00C51E58"/>
    <w:rsid w:val="00C51F5B"/>
    <w:rsid w:val="00C528B1"/>
    <w:rsid w:val="00C538EE"/>
    <w:rsid w:val="00C5571E"/>
    <w:rsid w:val="00C55924"/>
    <w:rsid w:val="00C561A3"/>
    <w:rsid w:val="00C56AC2"/>
    <w:rsid w:val="00C603E9"/>
    <w:rsid w:val="00C60B4C"/>
    <w:rsid w:val="00C61D38"/>
    <w:rsid w:val="00C643BD"/>
    <w:rsid w:val="00C663C9"/>
    <w:rsid w:val="00C66867"/>
    <w:rsid w:val="00C67EE6"/>
    <w:rsid w:val="00C7210C"/>
    <w:rsid w:val="00C7443E"/>
    <w:rsid w:val="00C76F32"/>
    <w:rsid w:val="00C804F7"/>
    <w:rsid w:val="00C80C9B"/>
    <w:rsid w:val="00C8189D"/>
    <w:rsid w:val="00C84428"/>
    <w:rsid w:val="00C84794"/>
    <w:rsid w:val="00C87304"/>
    <w:rsid w:val="00C90F8D"/>
    <w:rsid w:val="00C925B2"/>
    <w:rsid w:val="00C9366A"/>
    <w:rsid w:val="00C956A9"/>
    <w:rsid w:val="00C95942"/>
    <w:rsid w:val="00C95DA6"/>
    <w:rsid w:val="00C96352"/>
    <w:rsid w:val="00C963AA"/>
    <w:rsid w:val="00C96E76"/>
    <w:rsid w:val="00C97B8A"/>
    <w:rsid w:val="00C97D13"/>
    <w:rsid w:val="00CA167C"/>
    <w:rsid w:val="00CA1D15"/>
    <w:rsid w:val="00CA2A2E"/>
    <w:rsid w:val="00CA2B36"/>
    <w:rsid w:val="00CA4F50"/>
    <w:rsid w:val="00CA7CD9"/>
    <w:rsid w:val="00CB3EFC"/>
    <w:rsid w:val="00CB4DD9"/>
    <w:rsid w:val="00CB5537"/>
    <w:rsid w:val="00CB5CDF"/>
    <w:rsid w:val="00CB5D5C"/>
    <w:rsid w:val="00CB61F8"/>
    <w:rsid w:val="00CB7D82"/>
    <w:rsid w:val="00CC08A4"/>
    <w:rsid w:val="00CC120F"/>
    <w:rsid w:val="00CC13C9"/>
    <w:rsid w:val="00CC1461"/>
    <w:rsid w:val="00CC25E1"/>
    <w:rsid w:val="00CC331C"/>
    <w:rsid w:val="00CC3330"/>
    <w:rsid w:val="00CC54F8"/>
    <w:rsid w:val="00CC5D3D"/>
    <w:rsid w:val="00CC7F17"/>
    <w:rsid w:val="00CD0336"/>
    <w:rsid w:val="00CD050C"/>
    <w:rsid w:val="00CD2D6D"/>
    <w:rsid w:val="00CD50D4"/>
    <w:rsid w:val="00CD6876"/>
    <w:rsid w:val="00CD71A0"/>
    <w:rsid w:val="00CE0936"/>
    <w:rsid w:val="00CE121D"/>
    <w:rsid w:val="00CE22C4"/>
    <w:rsid w:val="00CE3615"/>
    <w:rsid w:val="00CE7384"/>
    <w:rsid w:val="00CE7E9E"/>
    <w:rsid w:val="00CF03E2"/>
    <w:rsid w:val="00CF0634"/>
    <w:rsid w:val="00CF0FB9"/>
    <w:rsid w:val="00CF0FC0"/>
    <w:rsid w:val="00CF1650"/>
    <w:rsid w:val="00CF2528"/>
    <w:rsid w:val="00CF2D46"/>
    <w:rsid w:val="00CF3136"/>
    <w:rsid w:val="00CF3928"/>
    <w:rsid w:val="00CF4FB7"/>
    <w:rsid w:val="00CF70A4"/>
    <w:rsid w:val="00D00B2A"/>
    <w:rsid w:val="00D04782"/>
    <w:rsid w:val="00D050EF"/>
    <w:rsid w:val="00D0548F"/>
    <w:rsid w:val="00D05F16"/>
    <w:rsid w:val="00D06784"/>
    <w:rsid w:val="00D07642"/>
    <w:rsid w:val="00D10133"/>
    <w:rsid w:val="00D10CA2"/>
    <w:rsid w:val="00D10F03"/>
    <w:rsid w:val="00D16A3E"/>
    <w:rsid w:val="00D1768E"/>
    <w:rsid w:val="00D17776"/>
    <w:rsid w:val="00D20365"/>
    <w:rsid w:val="00D21792"/>
    <w:rsid w:val="00D21A08"/>
    <w:rsid w:val="00D23695"/>
    <w:rsid w:val="00D23807"/>
    <w:rsid w:val="00D255FF"/>
    <w:rsid w:val="00D26D05"/>
    <w:rsid w:val="00D26EF7"/>
    <w:rsid w:val="00D27585"/>
    <w:rsid w:val="00D304C6"/>
    <w:rsid w:val="00D31BE4"/>
    <w:rsid w:val="00D32DC1"/>
    <w:rsid w:val="00D33FAA"/>
    <w:rsid w:val="00D34098"/>
    <w:rsid w:val="00D34DD1"/>
    <w:rsid w:val="00D37BFF"/>
    <w:rsid w:val="00D41172"/>
    <w:rsid w:val="00D42BB5"/>
    <w:rsid w:val="00D42BF7"/>
    <w:rsid w:val="00D44DB4"/>
    <w:rsid w:val="00D45B23"/>
    <w:rsid w:val="00D46DAE"/>
    <w:rsid w:val="00D500F9"/>
    <w:rsid w:val="00D50190"/>
    <w:rsid w:val="00D508DF"/>
    <w:rsid w:val="00D513EF"/>
    <w:rsid w:val="00D52785"/>
    <w:rsid w:val="00D541D6"/>
    <w:rsid w:val="00D5540D"/>
    <w:rsid w:val="00D614D6"/>
    <w:rsid w:val="00D646DB"/>
    <w:rsid w:val="00D6495B"/>
    <w:rsid w:val="00D649F4"/>
    <w:rsid w:val="00D65671"/>
    <w:rsid w:val="00D65B5D"/>
    <w:rsid w:val="00D66689"/>
    <w:rsid w:val="00D666B4"/>
    <w:rsid w:val="00D6757B"/>
    <w:rsid w:val="00D676CF"/>
    <w:rsid w:val="00D70270"/>
    <w:rsid w:val="00D70BAA"/>
    <w:rsid w:val="00D71D62"/>
    <w:rsid w:val="00D72330"/>
    <w:rsid w:val="00D7319E"/>
    <w:rsid w:val="00D73CAD"/>
    <w:rsid w:val="00D7499B"/>
    <w:rsid w:val="00D75D6F"/>
    <w:rsid w:val="00D774F1"/>
    <w:rsid w:val="00D80400"/>
    <w:rsid w:val="00D806C9"/>
    <w:rsid w:val="00D8146F"/>
    <w:rsid w:val="00D81A70"/>
    <w:rsid w:val="00D8253B"/>
    <w:rsid w:val="00D827F2"/>
    <w:rsid w:val="00D840C7"/>
    <w:rsid w:val="00D85D15"/>
    <w:rsid w:val="00D85FE6"/>
    <w:rsid w:val="00D862CE"/>
    <w:rsid w:val="00D87696"/>
    <w:rsid w:val="00D87A50"/>
    <w:rsid w:val="00D90564"/>
    <w:rsid w:val="00D90BB0"/>
    <w:rsid w:val="00D9175F"/>
    <w:rsid w:val="00D9215A"/>
    <w:rsid w:val="00D92E97"/>
    <w:rsid w:val="00D943DF"/>
    <w:rsid w:val="00D94924"/>
    <w:rsid w:val="00D96661"/>
    <w:rsid w:val="00D96B7E"/>
    <w:rsid w:val="00D97B49"/>
    <w:rsid w:val="00DA18D4"/>
    <w:rsid w:val="00DA23D1"/>
    <w:rsid w:val="00DA5565"/>
    <w:rsid w:val="00DA5B32"/>
    <w:rsid w:val="00DA6431"/>
    <w:rsid w:val="00DB05D1"/>
    <w:rsid w:val="00DB0800"/>
    <w:rsid w:val="00DB0CEB"/>
    <w:rsid w:val="00DB286D"/>
    <w:rsid w:val="00DB3C22"/>
    <w:rsid w:val="00DB3ED0"/>
    <w:rsid w:val="00DB441B"/>
    <w:rsid w:val="00DB471B"/>
    <w:rsid w:val="00DB536D"/>
    <w:rsid w:val="00DB5723"/>
    <w:rsid w:val="00DB5D1E"/>
    <w:rsid w:val="00DB7167"/>
    <w:rsid w:val="00DB7A5E"/>
    <w:rsid w:val="00DC0602"/>
    <w:rsid w:val="00DC288C"/>
    <w:rsid w:val="00DC321C"/>
    <w:rsid w:val="00DC323D"/>
    <w:rsid w:val="00DC364C"/>
    <w:rsid w:val="00DC36E5"/>
    <w:rsid w:val="00DC6CDD"/>
    <w:rsid w:val="00DC7D33"/>
    <w:rsid w:val="00DD03A9"/>
    <w:rsid w:val="00DD1471"/>
    <w:rsid w:val="00DD35EC"/>
    <w:rsid w:val="00DD41A5"/>
    <w:rsid w:val="00DD6B83"/>
    <w:rsid w:val="00DE3003"/>
    <w:rsid w:val="00DE4D37"/>
    <w:rsid w:val="00DE51D3"/>
    <w:rsid w:val="00DE6EC9"/>
    <w:rsid w:val="00DE7A75"/>
    <w:rsid w:val="00DF0361"/>
    <w:rsid w:val="00DF0E66"/>
    <w:rsid w:val="00DF16AB"/>
    <w:rsid w:val="00DF20F2"/>
    <w:rsid w:val="00DF248A"/>
    <w:rsid w:val="00DF3DC4"/>
    <w:rsid w:val="00DF555A"/>
    <w:rsid w:val="00DF5E3F"/>
    <w:rsid w:val="00DF70B2"/>
    <w:rsid w:val="00E00387"/>
    <w:rsid w:val="00E004EE"/>
    <w:rsid w:val="00E012E2"/>
    <w:rsid w:val="00E017D5"/>
    <w:rsid w:val="00E01A42"/>
    <w:rsid w:val="00E02713"/>
    <w:rsid w:val="00E034F7"/>
    <w:rsid w:val="00E07AB9"/>
    <w:rsid w:val="00E12613"/>
    <w:rsid w:val="00E141F5"/>
    <w:rsid w:val="00E14894"/>
    <w:rsid w:val="00E15BD2"/>
    <w:rsid w:val="00E15F90"/>
    <w:rsid w:val="00E1620D"/>
    <w:rsid w:val="00E16BDB"/>
    <w:rsid w:val="00E20F56"/>
    <w:rsid w:val="00E2187C"/>
    <w:rsid w:val="00E229B9"/>
    <w:rsid w:val="00E2491A"/>
    <w:rsid w:val="00E2659A"/>
    <w:rsid w:val="00E2767A"/>
    <w:rsid w:val="00E31056"/>
    <w:rsid w:val="00E349C0"/>
    <w:rsid w:val="00E36647"/>
    <w:rsid w:val="00E36F4B"/>
    <w:rsid w:val="00E41316"/>
    <w:rsid w:val="00E44B63"/>
    <w:rsid w:val="00E45273"/>
    <w:rsid w:val="00E4579C"/>
    <w:rsid w:val="00E50677"/>
    <w:rsid w:val="00E52568"/>
    <w:rsid w:val="00E53810"/>
    <w:rsid w:val="00E5450F"/>
    <w:rsid w:val="00E5583F"/>
    <w:rsid w:val="00E5711A"/>
    <w:rsid w:val="00E605BC"/>
    <w:rsid w:val="00E60AF7"/>
    <w:rsid w:val="00E60BEA"/>
    <w:rsid w:val="00E61884"/>
    <w:rsid w:val="00E61907"/>
    <w:rsid w:val="00E622C8"/>
    <w:rsid w:val="00E62413"/>
    <w:rsid w:val="00E64AD0"/>
    <w:rsid w:val="00E64BB0"/>
    <w:rsid w:val="00E652AC"/>
    <w:rsid w:val="00E65598"/>
    <w:rsid w:val="00E6577D"/>
    <w:rsid w:val="00E66090"/>
    <w:rsid w:val="00E662DA"/>
    <w:rsid w:val="00E670A5"/>
    <w:rsid w:val="00E712BD"/>
    <w:rsid w:val="00E71E3B"/>
    <w:rsid w:val="00E735F5"/>
    <w:rsid w:val="00E762CE"/>
    <w:rsid w:val="00E76677"/>
    <w:rsid w:val="00E76D1D"/>
    <w:rsid w:val="00E77F3D"/>
    <w:rsid w:val="00E815CC"/>
    <w:rsid w:val="00E81626"/>
    <w:rsid w:val="00E82940"/>
    <w:rsid w:val="00E83186"/>
    <w:rsid w:val="00E83B13"/>
    <w:rsid w:val="00E8485B"/>
    <w:rsid w:val="00E84DC2"/>
    <w:rsid w:val="00E85FE3"/>
    <w:rsid w:val="00E8772B"/>
    <w:rsid w:val="00E87D90"/>
    <w:rsid w:val="00E9132D"/>
    <w:rsid w:val="00E9165F"/>
    <w:rsid w:val="00E91A47"/>
    <w:rsid w:val="00E92077"/>
    <w:rsid w:val="00E92471"/>
    <w:rsid w:val="00E96449"/>
    <w:rsid w:val="00E974C3"/>
    <w:rsid w:val="00E975BC"/>
    <w:rsid w:val="00EA088D"/>
    <w:rsid w:val="00EA2687"/>
    <w:rsid w:val="00EA288C"/>
    <w:rsid w:val="00EA30EF"/>
    <w:rsid w:val="00EA761C"/>
    <w:rsid w:val="00EB0531"/>
    <w:rsid w:val="00EB255B"/>
    <w:rsid w:val="00EB2572"/>
    <w:rsid w:val="00EB2B5D"/>
    <w:rsid w:val="00EB2E27"/>
    <w:rsid w:val="00EB6D49"/>
    <w:rsid w:val="00EB6E9C"/>
    <w:rsid w:val="00EB7E01"/>
    <w:rsid w:val="00EC4121"/>
    <w:rsid w:val="00EC5697"/>
    <w:rsid w:val="00EC6ED8"/>
    <w:rsid w:val="00EC7E21"/>
    <w:rsid w:val="00ED015B"/>
    <w:rsid w:val="00ED2824"/>
    <w:rsid w:val="00ED308B"/>
    <w:rsid w:val="00ED3659"/>
    <w:rsid w:val="00ED5563"/>
    <w:rsid w:val="00ED707B"/>
    <w:rsid w:val="00ED7742"/>
    <w:rsid w:val="00EE1E54"/>
    <w:rsid w:val="00EE25E6"/>
    <w:rsid w:val="00EE304D"/>
    <w:rsid w:val="00EE30B7"/>
    <w:rsid w:val="00EE43E7"/>
    <w:rsid w:val="00EE5952"/>
    <w:rsid w:val="00EE6A73"/>
    <w:rsid w:val="00EE7B4B"/>
    <w:rsid w:val="00EE7E46"/>
    <w:rsid w:val="00EF041E"/>
    <w:rsid w:val="00EF19CE"/>
    <w:rsid w:val="00EF2B02"/>
    <w:rsid w:val="00EF46A6"/>
    <w:rsid w:val="00EF4950"/>
    <w:rsid w:val="00EF4F00"/>
    <w:rsid w:val="00EF4FC2"/>
    <w:rsid w:val="00EF50ED"/>
    <w:rsid w:val="00EF6E4F"/>
    <w:rsid w:val="00EF6FBD"/>
    <w:rsid w:val="00F00D06"/>
    <w:rsid w:val="00F0133E"/>
    <w:rsid w:val="00F01462"/>
    <w:rsid w:val="00F014EE"/>
    <w:rsid w:val="00F02830"/>
    <w:rsid w:val="00F02FD3"/>
    <w:rsid w:val="00F03AB8"/>
    <w:rsid w:val="00F05AD5"/>
    <w:rsid w:val="00F06B3A"/>
    <w:rsid w:val="00F074FB"/>
    <w:rsid w:val="00F110EB"/>
    <w:rsid w:val="00F12B86"/>
    <w:rsid w:val="00F13508"/>
    <w:rsid w:val="00F14F6C"/>
    <w:rsid w:val="00F14F93"/>
    <w:rsid w:val="00F15030"/>
    <w:rsid w:val="00F156EB"/>
    <w:rsid w:val="00F15EC2"/>
    <w:rsid w:val="00F171F9"/>
    <w:rsid w:val="00F21927"/>
    <w:rsid w:val="00F21F7F"/>
    <w:rsid w:val="00F2208C"/>
    <w:rsid w:val="00F22298"/>
    <w:rsid w:val="00F22A1F"/>
    <w:rsid w:val="00F2415E"/>
    <w:rsid w:val="00F241F6"/>
    <w:rsid w:val="00F24287"/>
    <w:rsid w:val="00F25BCE"/>
    <w:rsid w:val="00F26E1C"/>
    <w:rsid w:val="00F31AEF"/>
    <w:rsid w:val="00F32874"/>
    <w:rsid w:val="00F35721"/>
    <w:rsid w:val="00F35A6E"/>
    <w:rsid w:val="00F36912"/>
    <w:rsid w:val="00F3699B"/>
    <w:rsid w:val="00F420ED"/>
    <w:rsid w:val="00F423F0"/>
    <w:rsid w:val="00F425A3"/>
    <w:rsid w:val="00F42E7A"/>
    <w:rsid w:val="00F45047"/>
    <w:rsid w:val="00F50616"/>
    <w:rsid w:val="00F52A43"/>
    <w:rsid w:val="00F54365"/>
    <w:rsid w:val="00F55A4D"/>
    <w:rsid w:val="00F56CFE"/>
    <w:rsid w:val="00F60675"/>
    <w:rsid w:val="00F62A81"/>
    <w:rsid w:val="00F62C17"/>
    <w:rsid w:val="00F62E99"/>
    <w:rsid w:val="00F64AFA"/>
    <w:rsid w:val="00F6538B"/>
    <w:rsid w:val="00F67647"/>
    <w:rsid w:val="00F67F1C"/>
    <w:rsid w:val="00F67F63"/>
    <w:rsid w:val="00F70FD1"/>
    <w:rsid w:val="00F7284E"/>
    <w:rsid w:val="00F731A4"/>
    <w:rsid w:val="00F73F3B"/>
    <w:rsid w:val="00F75696"/>
    <w:rsid w:val="00F75812"/>
    <w:rsid w:val="00F76447"/>
    <w:rsid w:val="00F7694F"/>
    <w:rsid w:val="00F76E9E"/>
    <w:rsid w:val="00F76F3E"/>
    <w:rsid w:val="00F8122E"/>
    <w:rsid w:val="00F81886"/>
    <w:rsid w:val="00F81F00"/>
    <w:rsid w:val="00F820AE"/>
    <w:rsid w:val="00F8260F"/>
    <w:rsid w:val="00F83940"/>
    <w:rsid w:val="00F83AF2"/>
    <w:rsid w:val="00F83C05"/>
    <w:rsid w:val="00F875C0"/>
    <w:rsid w:val="00F875E1"/>
    <w:rsid w:val="00F90314"/>
    <w:rsid w:val="00F91090"/>
    <w:rsid w:val="00F910AA"/>
    <w:rsid w:val="00F91767"/>
    <w:rsid w:val="00F925D5"/>
    <w:rsid w:val="00F92BE9"/>
    <w:rsid w:val="00F92CA6"/>
    <w:rsid w:val="00F92E6F"/>
    <w:rsid w:val="00F9333C"/>
    <w:rsid w:val="00F94A12"/>
    <w:rsid w:val="00F9670B"/>
    <w:rsid w:val="00FA0438"/>
    <w:rsid w:val="00FA0FFD"/>
    <w:rsid w:val="00FA37E5"/>
    <w:rsid w:val="00FA4EC4"/>
    <w:rsid w:val="00FA566E"/>
    <w:rsid w:val="00FA7D71"/>
    <w:rsid w:val="00FB1A58"/>
    <w:rsid w:val="00FB201D"/>
    <w:rsid w:val="00FB28B3"/>
    <w:rsid w:val="00FB4AB5"/>
    <w:rsid w:val="00FB5A27"/>
    <w:rsid w:val="00FB5EF1"/>
    <w:rsid w:val="00FC19E6"/>
    <w:rsid w:val="00FC1A44"/>
    <w:rsid w:val="00FC24E0"/>
    <w:rsid w:val="00FC3785"/>
    <w:rsid w:val="00FC3A8A"/>
    <w:rsid w:val="00FC42A9"/>
    <w:rsid w:val="00FC5992"/>
    <w:rsid w:val="00FC6273"/>
    <w:rsid w:val="00FD054B"/>
    <w:rsid w:val="00FD0B4A"/>
    <w:rsid w:val="00FD39AD"/>
    <w:rsid w:val="00FD4398"/>
    <w:rsid w:val="00FD646A"/>
    <w:rsid w:val="00FD73A1"/>
    <w:rsid w:val="00FE16AF"/>
    <w:rsid w:val="00FE179B"/>
    <w:rsid w:val="00FE31D2"/>
    <w:rsid w:val="00FE3573"/>
    <w:rsid w:val="00FE362B"/>
    <w:rsid w:val="00FE3E12"/>
    <w:rsid w:val="00FE45DA"/>
    <w:rsid w:val="00FE651E"/>
    <w:rsid w:val="00FE6E03"/>
    <w:rsid w:val="00FE7F77"/>
    <w:rsid w:val="00FF36C4"/>
    <w:rsid w:val="00FF69F2"/>
    <w:rsid w:val="00FF6C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5F73B"/>
  <w15:docId w15:val="{D0F7DB6A-E509-4C72-B947-F27DB7FF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58E"/>
    <w:pPr>
      <w:spacing w:line="360" w:lineRule="auto"/>
    </w:pPr>
    <w:rPr>
      <w:sz w:val="24"/>
    </w:rPr>
  </w:style>
  <w:style w:type="paragraph" w:styleId="Heading1">
    <w:name w:val="heading 1"/>
    <w:basedOn w:val="ListParagraph"/>
    <w:next w:val="Normal"/>
    <w:link w:val="Heading1Char"/>
    <w:uiPriority w:val="9"/>
    <w:qFormat/>
    <w:rsid w:val="00E670A5"/>
    <w:pPr>
      <w:numPr>
        <w:numId w:val="13"/>
      </w:numPr>
      <w:jc w:val="both"/>
      <w:outlineLvl w:val="0"/>
    </w:pPr>
    <w:rPr>
      <w:b/>
      <w:sz w:val="28"/>
    </w:rPr>
  </w:style>
  <w:style w:type="paragraph" w:styleId="Heading2">
    <w:name w:val="heading 2"/>
    <w:basedOn w:val="ListParagraph"/>
    <w:next w:val="Normal"/>
    <w:link w:val="Heading2Char"/>
    <w:uiPriority w:val="9"/>
    <w:unhideWhenUsed/>
    <w:qFormat/>
    <w:rsid w:val="00E670A5"/>
    <w:pPr>
      <w:numPr>
        <w:ilvl w:val="1"/>
        <w:numId w:val="13"/>
      </w:numPr>
      <w:outlineLvl w:val="1"/>
    </w:pPr>
    <w:rPr>
      <w:b/>
      <w:szCs w:val="20"/>
    </w:rPr>
  </w:style>
  <w:style w:type="paragraph" w:styleId="Heading3">
    <w:name w:val="heading 3"/>
    <w:basedOn w:val="Normal"/>
    <w:next w:val="Normal"/>
    <w:link w:val="Heading3Char"/>
    <w:uiPriority w:val="9"/>
    <w:unhideWhenUsed/>
    <w:qFormat/>
    <w:rsid w:val="00E77F3D"/>
    <w:pPr>
      <w:keepNext/>
      <w:keepLines/>
      <w:numPr>
        <w:ilvl w:val="2"/>
        <w:numId w:val="13"/>
      </w:numPr>
      <w:outlineLvl w:val="2"/>
    </w:pPr>
    <w:rPr>
      <w:rFonts w:asciiTheme="majorHAnsi" w:eastAsiaTheme="majorEastAsia" w:hAnsiTheme="majorHAnsi" w:cstheme="majorBidi"/>
      <w:b/>
      <w:iCs/>
      <w:szCs w:val="24"/>
    </w:rPr>
  </w:style>
  <w:style w:type="paragraph" w:styleId="Heading4">
    <w:name w:val="heading 4"/>
    <w:basedOn w:val="Normal"/>
    <w:next w:val="Normal"/>
    <w:link w:val="Heading4Char"/>
    <w:uiPriority w:val="9"/>
    <w:unhideWhenUsed/>
    <w:qFormat/>
    <w:rsid w:val="00CD050C"/>
    <w:pPr>
      <w:keepNext/>
      <w:keepLines/>
      <w:numPr>
        <w:ilvl w:val="3"/>
        <w:numId w:val="13"/>
      </w:numPr>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790CAC"/>
    <w:pPr>
      <w:keepNext/>
      <w:keepLines/>
      <w:numPr>
        <w:ilvl w:val="4"/>
        <w:numId w:val="13"/>
      </w:numPr>
      <w:spacing w:after="180"/>
      <w:outlineLvl w:val="4"/>
    </w:pPr>
    <w:rPr>
      <w:rFonts w:asciiTheme="majorHAnsi" w:eastAsiaTheme="majorEastAsia" w:hAnsiTheme="majorHAnsi" w:cstheme="majorBidi"/>
      <w:i/>
      <w:iCs/>
      <w:lang w:val="en-US"/>
    </w:rPr>
  </w:style>
  <w:style w:type="paragraph" w:styleId="Heading6">
    <w:name w:val="heading 6"/>
    <w:basedOn w:val="Normal"/>
    <w:next w:val="Normal"/>
    <w:link w:val="Heading6Char"/>
    <w:uiPriority w:val="9"/>
    <w:semiHidden/>
    <w:unhideWhenUsed/>
    <w:qFormat/>
    <w:rsid w:val="00B94433"/>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94433"/>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94433"/>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4433"/>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51E58"/>
    <w:pPr>
      <w:spacing w:after="0"/>
      <w:jc w:val="center"/>
    </w:pPr>
    <w:rPr>
      <w:rFonts w:ascii="Times New Roman" w:hAnsi="Times New Roman" w:cs="Times New Roman"/>
      <w:noProof/>
      <w:sz w:val="22"/>
      <w:lang w:val="en-US"/>
    </w:rPr>
  </w:style>
  <w:style w:type="character" w:customStyle="1" w:styleId="EndNoteBibliographyTitleChar">
    <w:name w:val="EndNote Bibliography Title Char"/>
    <w:basedOn w:val="DefaultParagraphFont"/>
    <w:link w:val="EndNoteBibliographyTitle"/>
    <w:rsid w:val="00C51E58"/>
    <w:rPr>
      <w:rFonts w:ascii="Times New Roman" w:hAnsi="Times New Roman" w:cs="Times New Roman"/>
      <w:noProof/>
      <w:lang w:val="en-US"/>
    </w:rPr>
  </w:style>
  <w:style w:type="paragraph" w:customStyle="1" w:styleId="EndNoteBibliography">
    <w:name w:val="EndNote Bibliography"/>
    <w:basedOn w:val="Normal"/>
    <w:link w:val="EndNoteBibliographyChar"/>
    <w:rsid w:val="00C51E58"/>
    <w:pPr>
      <w:spacing w:line="240" w:lineRule="auto"/>
    </w:pPr>
    <w:rPr>
      <w:rFonts w:ascii="Times New Roman" w:hAnsi="Times New Roman" w:cs="Times New Roman"/>
      <w:noProof/>
      <w:sz w:val="22"/>
      <w:lang w:val="en-US"/>
    </w:rPr>
  </w:style>
  <w:style w:type="character" w:customStyle="1" w:styleId="EndNoteBibliographyChar">
    <w:name w:val="EndNote Bibliography Char"/>
    <w:basedOn w:val="DefaultParagraphFont"/>
    <w:link w:val="EndNoteBibliography"/>
    <w:rsid w:val="00C51E58"/>
    <w:rPr>
      <w:rFonts w:ascii="Times New Roman" w:hAnsi="Times New Roman" w:cs="Times New Roman"/>
      <w:noProof/>
      <w:lang w:val="en-US"/>
    </w:rPr>
  </w:style>
  <w:style w:type="paragraph" w:styleId="ListParagraph">
    <w:name w:val="List Paragraph"/>
    <w:basedOn w:val="Normal"/>
    <w:link w:val="ListParagraphChar"/>
    <w:uiPriority w:val="34"/>
    <w:qFormat/>
    <w:rsid w:val="009B306F"/>
    <w:pPr>
      <w:ind w:left="720"/>
      <w:contextualSpacing/>
    </w:pPr>
  </w:style>
  <w:style w:type="character" w:customStyle="1" w:styleId="Heading1Char">
    <w:name w:val="Heading 1 Char"/>
    <w:basedOn w:val="DefaultParagraphFont"/>
    <w:link w:val="Heading1"/>
    <w:uiPriority w:val="9"/>
    <w:rsid w:val="00E670A5"/>
    <w:rPr>
      <w:b/>
      <w:sz w:val="28"/>
    </w:rPr>
  </w:style>
  <w:style w:type="character" w:customStyle="1" w:styleId="Heading2Char">
    <w:name w:val="Heading 2 Char"/>
    <w:basedOn w:val="DefaultParagraphFont"/>
    <w:link w:val="Heading2"/>
    <w:uiPriority w:val="9"/>
    <w:rsid w:val="00E670A5"/>
    <w:rPr>
      <w:b/>
      <w:sz w:val="24"/>
      <w:szCs w:val="20"/>
    </w:rPr>
  </w:style>
  <w:style w:type="character" w:customStyle="1" w:styleId="Heading3Char">
    <w:name w:val="Heading 3 Char"/>
    <w:basedOn w:val="DefaultParagraphFont"/>
    <w:link w:val="Heading3"/>
    <w:uiPriority w:val="9"/>
    <w:rsid w:val="00E77F3D"/>
    <w:rPr>
      <w:rFonts w:asciiTheme="majorHAnsi" w:eastAsiaTheme="majorEastAsia" w:hAnsiTheme="majorHAnsi" w:cstheme="majorBidi"/>
      <w:b/>
      <w:iCs/>
      <w:sz w:val="24"/>
      <w:szCs w:val="24"/>
    </w:rPr>
  </w:style>
  <w:style w:type="character" w:customStyle="1" w:styleId="Heading4Char">
    <w:name w:val="Heading 4 Char"/>
    <w:basedOn w:val="DefaultParagraphFont"/>
    <w:link w:val="Heading4"/>
    <w:uiPriority w:val="9"/>
    <w:rsid w:val="00CD050C"/>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rsid w:val="00790CAC"/>
    <w:rPr>
      <w:rFonts w:asciiTheme="majorHAnsi" w:eastAsiaTheme="majorEastAsia" w:hAnsiTheme="majorHAnsi" w:cstheme="majorBidi"/>
      <w:i/>
      <w:iCs/>
      <w:sz w:val="24"/>
      <w:lang w:val="en-US"/>
    </w:rPr>
  </w:style>
  <w:style w:type="character" w:customStyle="1" w:styleId="Heading6Char">
    <w:name w:val="Heading 6 Char"/>
    <w:basedOn w:val="DefaultParagraphFont"/>
    <w:link w:val="Heading6"/>
    <w:uiPriority w:val="9"/>
    <w:semiHidden/>
    <w:rsid w:val="00B94433"/>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B94433"/>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B944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94433"/>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36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99B"/>
    <w:rPr>
      <w:sz w:val="24"/>
    </w:rPr>
  </w:style>
  <w:style w:type="paragraph" w:styleId="Footer">
    <w:name w:val="footer"/>
    <w:basedOn w:val="Normal"/>
    <w:link w:val="FooterChar"/>
    <w:uiPriority w:val="99"/>
    <w:unhideWhenUsed/>
    <w:rsid w:val="00F36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99B"/>
    <w:rPr>
      <w:sz w:val="24"/>
    </w:rPr>
  </w:style>
  <w:style w:type="paragraph" w:customStyle="1" w:styleId="Default">
    <w:name w:val="Default"/>
    <w:rsid w:val="003E26DD"/>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02247D"/>
    <w:pPr>
      <w:spacing w:after="200" w:line="240" w:lineRule="auto"/>
      <w:jc w:val="center"/>
    </w:pPr>
    <w:rPr>
      <w:b/>
      <w:iCs/>
      <w:szCs w:val="18"/>
    </w:rPr>
  </w:style>
  <w:style w:type="paragraph" w:styleId="BalloonText">
    <w:name w:val="Balloon Text"/>
    <w:basedOn w:val="Normal"/>
    <w:link w:val="BalloonTextChar"/>
    <w:uiPriority w:val="99"/>
    <w:semiHidden/>
    <w:unhideWhenUsed/>
    <w:rsid w:val="00F9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0AA"/>
    <w:rPr>
      <w:rFonts w:ascii="Tahoma" w:hAnsi="Tahoma" w:cs="Tahoma"/>
      <w:sz w:val="16"/>
      <w:szCs w:val="16"/>
    </w:rPr>
  </w:style>
  <w:style w:type="character" w:customStyle="1" w:styleId="ListParagraphChar">
    <w:name w:val="List Paragraph Char"/>
    <w:basedOn w:val="DefaultParagraphFont"/>
    <w:link w:val="ListParagraph"/>
    <w:uiPriority w:val="34"/>
    <w:rsid w:val="003F4C83"/>
    <w:rPr>
      <w:sz w:val="24"/>
    </w:rPr>
  </w:style>
  <w:style w:type="character" w:styleId="Hyperlink">
    <w:name w:val="Hyperlink"/>
    <w:basedOn w:val="DefaultParagraphFont"/>
    <w:uiPriority w:val="99"/>
    <w:unhideWhenUsed/>
    <w:rsid w:val="001F4C2B"/>
    <w:rPr>
      <w:color w:val="0563C1" w:themeColor="hyperlink"/>
      <w:u w:val="single"/>
    </w:rPr>
  </w:style>
  <w:style w:type="table" w:styleId="TableGrid">
    <w:name w:val="Table Grid"/>
    <w:basedOn w:val="TableNormal"/>
    <w:uiPriority w:val="39"/>
    <w:rsid w:val="001F4C2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0BEA"/>
    <w:rPr>
      <w:color w:val="954F72" w:themeColor="followedHyperlink"/>
      <w:u w:val="single"/>
    </w:rPr>
  </w:style>
  <w:style w:type="paragraph" w:styleId="TOCHeading">
    <w:name w:val="TOC Heading"/>
    <w:basedOn w:val="Heading1"/>
    <w:next w:val="Normal"/>
    <w:uiPriority w:val="39"/>
    <w:unhideWhenUsed/>
    <w:qFormat/>
    <w:rsid w:val="000E2CF4"/>
    <w:pPr>
      <w:keepNext/>
      <w:keepLines/>
      <w:spacing w:before="480" w:after="0" w:line="276" w:lineRule="auto"/>
      <w:contextualSpacing w:val="0"/>
      <w:jc w:val="left"/>
      <w:outlineLvl w:val="9"/>
    </w:pPr>
    <w:rPr>
      <w:rFonts w:asciiTheme="majorHAnsi" w:eastAsiaTheme="majorEastAsia" w:hAnsiTheme="majorHAnsi" w:cstheme="majorBidi"/>
      <w:bCs/>
      <w:color w:val="2E74B5" w:themeColor="accent1" w:themeShade="BF"/>
      <w:szCs w:val="28"/>
      <w:lang w:val="en-US" w:eastAsia="ja-JP"/>
    </w:rPr>
  </w:style>
  <w:style w:type="paragraph" w:styleId="TOC1">
    <w:name w:val="toc 1"/>
    <w:basedOn w:val="Normal"/>
    <w:next w:val="Normal"/>
    <w:autoRedefine/>
    <w:uiPriority w:val="39"/>
    <w:unhideWhenUsed/>
    <w:rsid w:val="000E2CF4"/>
    <w:pPr>
      <w:tabs>
        <w:tab w:val="left" w:pos="480"/>
        <w:tab w:val="right" w:leader="dot" w:pos="9016"/>
      </w:tabs>
      <w:spacing w:after="100"/>
    </w:pPr>
    <w:rPr>
      <w:b/>
      <w:bCs/>
      <w:noProof/>
    </w:rPr>
  </w:style>
  <w:style w:type="paragraph" w:styleId="TOC2">
    <w:name w:val="toc 2"/>
    <w:basedOn w:val="Normal"/>
    <w:next w:val="Normal"/>
    <w:autoRedefine/>
    <w:uiPriority w:val="39"/>
    <w:unhideWhenUsed/>
    <w:rsid w:val="000E2CF4"/>
    <w:pPr>
      <w:spacing w:after="100"/>
      <w:ind w:left="240"/>
    </w:pPr>
  </w:style>
  <w:style w:type="paragraph" w:styleId="TOC3">
    <w:name w:val="toc 3"/>
    <w:basedOn w:val="Normal"/>
    <w:next w:val="Normal"/>
    <w:autoRedefine/>
    <w:uiPriority w:val="39"/>
    <w:unhideWhenUsed/>
    <w:rsid w:val="000E2CF4"/>
    <w:pPr>
      <w:spacing w:after="100"/>
      <w:ind w:left="480"/>
    </w:pPr>
  </w:style>
  <w:style w:type="paragraph" w:styleId="TableofFigures">
    <w:name w:val="table of figures"/>
    <w:basedOn w:val="Normal"/>
    <w:next w:val="Normal"/>
    <w:uiPriority w:val="99"/>
    <w:unhideWhenUsed/>
    <w:rsid w:val="00C10F0B"/>
    <w:pPr>
      <w:spacing w:after="0"/>
      <w:ind w:left="480" w:hanging="480"/>
    </w:pPr>
    <w:rPr>
      <w:rFonts w:cstheme="minorHAnsi"/>
      <w:b/>
      <w:bCs/>
      <w:sz w:val="20"/>
      <w:szCs w:val="20"/>
    </w:rPr>
  </w:style>
  <w:style w:type="character" w:styleId="PlaceholderText">
    <w:name w:val="Placeholder Text"/>
    <w:basedOn w:val="DefaultParagraphFont"/>
    <w:uiPriority w:val="99"/>
    <w:semiHidden/>
    <w:rsid w:val="001E2980"/>
    <w:rPr>
      <w:color w:val="808080"/>
    </w:rPr>
  </w:style>
  <w:style w:type="character" w:styleId="CommentReference">
    <w:name w:val="annotation reference"/>
    <w:basedOn w:val="DefaultParagraphFont"/>
    <w:uiPriority w:val="99"/>
    <w:semiHidden/>
    <w:unhideWhenUsed/>
    <w:rsid w:val="00D32DC1"/>
    <w:rPr>
      <w:sz w:val="16"/>
      <w:szCs w:val="16"/>
    </w:rPr>
  </w:style>
  <w:style w:type="paragraph" w:styleId="CommentText">
    <w:name w:val="annotation text"/>
    <w:basedOn w:val="Normal"/>
    <w:link w:val="CommentTextChar"/>
    <w:uiPriority w:val="99"/>
    <w:unhideWhenUsed/>
    <w:rsid w:val="00D32DC1"/>
    <w:pPr>
      <w:spacing w:line="240" w:lineRule="auto"/>
    </w:pPr>
    <w:rPr>
      <w:sz w:val="20"/>
      <w:szCs w:val="20"/>
    </w:rPr>
  </w:style>
  <w:style w:type="character" w:customStyle="1" w:styleId="CommentTextChar">
    <w:name w:val="Comment Text Char"/>
    <w:basedOn w:val="DefaultParagraphFont"/>
    <w:link w:val="CommentText"/>
    <w:uiPriority w:val="99"/>
    <w:rsid w:val="00D32DC1"/>
    <w:rPr>
      <w:sz w:val="20"/>
      <w:szCs w:val="20"/>
    </w:rPr>
  </w:style>
  <w:style w:type="paragraph" w:styleId="CommentSubject">
    <w:name w:val="annotation subject"/>
    <w:basedOn w:val="CommentText"/>
    <w:next w:val="CommentText"/>
    <w:link w:val="CommentSubjectChar"/>
    <w:uiPriority w:val="99"/>
    <w:semiHidden/>
    <w:unhideWhenUsed/>
    <w:rsid w:val="00D32DC1"/>
    <w:rPr>
      <w:b/>
      <w:bCs/>
    </w:rPr>
  </w:style>
  <w:style w:type="character" w:customStyle="1" w:styleId="CommentSubjectChar">
    <w:name w:val="Comment Subject Char"/>
    <w:basedOn w:val="CommentTextChar"/>
    <w:link w:val="CommentSubject"/>
    <w:uiPriority w:val="99"/>
    <w:semiHidden/>
    <w:rsid w:val="00D32DC1"/>
    <w:rPr>
      <w:b/>
      <w:bCs/>
      <w:sz w:val="20"/>
      <w:szCs w:val="20"/>
    </w:rPr>
  </w:style>
  <w:style w:type="character" w:customStyle="1" w:styleId="title-text">
    <w:name w:val="title-text"/>
    <w:basedOn w:val="DefaultParagraphFont"/>
    <w:rsid w:val="00AA7584"/>
  </w:style>
  <w:style w:type="paragraph" w:styleId="NoSpacing">
    <w:name w:val="No Spacing"/>
    <w:aliases w:val="Body"/>
    <w:basedOn w:val="Normal"/>
    <w:uiPriority w:val="1"/>
    <w:qFormat/>
    <w:rsid w:val="0059268B"/>
    <w:pPr>
      <w:spacing w:line="480" w:lineRule="auto"/>
      <w:ind w:firstLine="431"/>
      <w:contextualSpacing/>
      <w:jc w:val="both"/>
    </w:pPr>
    <w:rPr>
      <w:iCs/>
      <w:szCs w:val="24"/>
    </w:rPr>
  </w:style>
  <w:style w:type="paragraph" w:styleId="Revision">
    <w:name w:val="Revision"/>
    <w:hidden/>
    <w:uiPriority w:val="99"/>
    <w:semiHidden/>
    <w:rsid w:val="000858E8"/>
    <w:pPr>
      <w:spacing w:after="0" w:line="240" w:lineRule="auto"/>
    </w:pPr>
    <w:rPr>
      <w:sz w:val="24"/>
    </w:rPr>
  </w:style>
  <w:style w:type="character" w:customStyle="1" w:styleId="UnresolvedMention1">
    <w:name w:val="Unresolved Mention1"/>
    <w:basedOn w:val="DefaultParagraphFont"/>
    <w:uiPriority w:val="99"/>
    <w:semiHidden/>
    <w:unhideWhenUsed/>
    <w:rsid w:val="001032F2"/>
    <w:rPr>
      <w:color w:val="605E5C"/>
      <w:shd w:val="clear" w:color="auto" w:fill="E1DFDD"/>
    </w:rPr>
  </w:style>
  <w:style w:type="table" w:customStyle="1" w:styleId="TableGrid1">
    <w:name w:val="Table Grid1"/>
    <w:basedOn w:val="TableNormal"/>
    <w:next w:val="TableGrid"/>
    <w:uiPriority w:val="39"/>
    <w:rsid w:val="008D5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basedOn w:val="DefaultParagraphFont"/>
    <w:uiPriority w:val="99"/>
    <w:semiHidden/>
    <w:unhideWhenUsed/>
    <w:rsid w:val="008D5C1A"/>
    <w:rPr>
      <w:color w:val="605E5C"/>
      <w:shd w:val="clear" w:color="auto" w:fill="E1DFDD"/>
    </w:rPr>
  </w:style>
  <w:style w:type="character" w:customStyle="1" w:styleId="UnresolvedMention2">
    <w:name w:val="Unresolved Mention2"/>
    <w:basedOn w:val="DefaultParagraphFont"/>
    <w:uiPriority w:val="99"/>
    <w:semiHidden/>
    <w:unhideWhenUsed/>
    <w:rsid w:val="008D5C1A"/>
    <w:rPr>
      <w:color w:val="605E5C"/>
      <w:shd w:val="clear" w:color="auto" w:fill="E1DFDD"/>
    </w:rPr>
  </w:style>
  <w:style w:type="character" w:customStyle="1" w:styleId="UnresolvedMention3">
    <w:name w:val="Unresolved Mention3"/>
    <w:basedOn w:val="DefaultParagraphFont"/>
    <w:uiPriority w:val="99"/>
    <w:semiHidden/>
    <w:unhideWhenUsed/>
    <w:rsid w:val="008D5C1A"/>
    <w:rPr>
      <w:color w:val="605E5C"/>
      <w:shd w:val="clear" w:color="auto" w:fill="E1DFDD"/>
    </w:rPr>
  </w:style>
  <w:style w:type="character" w:customStyle="1" w:styleId="UnresolvedMention4">
    <w:name w:val="Unresolved Mention4"/>
    <w:basedOn w:val="DefaultParagraphFont"/>
    <w:uiPriority w:val="99"/>
    <w:semiHidden/>
    <w:unhideWhenUsed/>
    <w:rsid w:val="008D5C1A"/>
    <w:rPr>
      <w:color w:val="605E5C"/>
      <w:shd w:val="clear" w:color="auto" w:fill="E1DFDD"/>
    </w:rPr>
  </w:style>
  <w:style w:type="paragraph" w:styleId="BodyText">
    <w:name w:val="Body Text"/>
    <w:basedOn w:val="Normal"/>
    <w:link w:val="BodyTextChar"/>
    <w:uiPriority w:val="99"/>
    <w:rsid w:val="008D5C1A"/>
    <w:pPr>
      <w:spacing w:after="0" w:line="240" w:lineRule="auto"/>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8D5C1A"/>
    <w:rPr>
      <w:rFonts w:ascii="Times New Roman" w:eastAsia="Times New Roman" w:hAnsi="Times New Roman" w:cs="Times New Roman"/>
      <w:sz w:val="24"/>
      <w:szCs w:val="24"/>
      <w:lang w:val="en-US"/>
    </w:rPr>
  </w:style>
  <w:style w:type="character" w:customStyle="1" w:styleId="UnresolvedMention5">
    <w:name w:val="Unresolved Mention5"/>
    <w:basedOn w:val="DefaultParagraphFont"/>
    <w:uiPriority w:val="99"/>
    <w:semiHidden/>
    <w:unhideWhenUsed/>
    <w:rsid w:val="008D5C1A"/>
    <w:rPr>
      <w:color w:val="605E5C"/>
      <w:shd w:val="clear" w:color="auto" w:fill="E1DFDD"/>
    </w:rPr>
  </w:style>
  <w:style w:type="character" w:customStyle="1" w:styleId="UnresolvedMention6">
    <w:name w:val="Unresolved Mention6"/>
    <w:basedOn w:val="DefaultParagraphFont"/>
    <w:uiPriority w:val="99"/>
    <w:semiHidden/>
    <w:unhideWhenUsed/>
    <w:rsid w:val="008D5C1A"/>
    <w:rPr>
      <w:color w:val="605E5C"/>
      <w:shd w:val="clear" w:color="auto" w:fill="E1DFDD"/>
    </w:rPr>
  </w:style>
  <w:style w:type="character" w:customStyle="1" w:styleId="UnresolvedMention7">
    <w:name w:val="Unresolved Mention7"/>
    <w:basedOn w:val="DefaultParagraphFont"/>
    <w:uiPriority w:val="99"/>
    <w:semiHidden/>
    <w:unhideWhenUsed/>
    <w:rsid w:val="008D5C1A"/>
    <w:rPr>
      <w:color w:val="605E5C"/>
      <w:shd w:val="clear" w:color="auto" w:fill="E1DFDD"/>
    </w:rPr>
  </w:style>
  <w:style w:type="paragraph" w:styleId="TOC4">
    <w:name w:val="toc 4"/>
    <w:basedOn w:val="Normal"/>
    <w:next w:val="Normal"/>
    <w:autoRedefine/>
    <w:uiPriority w:val="39"/>
    <w:unhideWhenUsed/>
    <w:rsid w:val="00E87D90"/>
    <w:pPr>
      <w:spacing w:after="100" w:line="259" w:lineRule="auto"/>
      <w:ind w:left="660"/>
    </w:pPr>
    <w:rPr>
      <w:rFonts w:eastAsiaTheme="minorEastAsia"/>
      <w:sz w:val="22"/>
      <w:lang w:eastAsia="en-GB"/>
    </w:rPr>
  </w:style>
  <w:style w:type="paragraph" w:styleId="TOC5">
    <w:name w:val="toc 5"/>
    <w:basedOn w:val="Normal"/>
    <w:next w:val="Normal"/>
    <w:autoRedefine/>
    <w:uiPriority w:val="39"/>
    <w:unhideWhenUsed/>
    <w:rsid w:val="00E87D90"/>
    <w:pPr>
      <w:spacing w:after="100" w:line="259" w:lineRule="auto"/>
      <w:ind w:left="880"/>
    </w:pPr>
    <w:rPr>
      <w:rFonts w:eastAsiaTheme="minorEastAsia"/>
      <w:sz w:val="22"/>
      <w:lang w:eastAsia="en-GB"/>
    </w:rPr>
  </w:style>
  <w:style w:type="paragraph" w:styleId="TOC6">
    <w:name w:val="toc 6"/>
    <w:basedOn w:val="Normal"/>
    <w:next w:val="Normal"/>
    <w:autoRedefine/>
    <w:uiPriority w:val="39"/>
    <w:unhideWhenUsed/>
    <w:rsid w:val="00E87D90"/>
    <w:pPr>
      <w:spacing w:after="100" w:line="259" w:lineRule="auto"/>
      <w:ind w:left="1100"/>
    </w:pPr>
    <w:rPr>
      <w:rFonts w:eastAsiaTheme="minorEastAsia"/>
      <w:sz w:val="22"/>
      <w:lang w:eastAsia="en-GB"/>
    </w:rPr>
  </w:style>
  <w:style w:type="paragraph" w:styleId="TOC7">
    <w:name w:val="toc 7"/>
    <w:basedOn w:val="Normal"/>
    <w:next w:val="Normal"/>
    <w:autoRedefine/>
    <w:uiPriority w:val="39"/>
    <w:unhideWhenUsed/>
    <w:rsid w:val="00E87D90"/>
    <w:pPr>
      <w:spacing w:after="100" w:line="259" w:lineRule="auto"/>
      <w:ind w:left="1320"/>
    </w:pPr>
    <w:rPr>
      <w:rFonts w:eastAsiaTheme="minorEastAsia"/>
      <w:sz w:val="22"/>
      <w:lang w:eastAsia="en-GB"/>
    </w:rPr>
  </w:style>
  <w:style w:type="paragraph" w:styleId="TOC8">
    <w:name w:val="toc 8"/>
    <w:basedOn w:val="Normal"/>
    <w:next w:val="Normal"/>
    <w:autoRedefine/>
    <w:uiPriority w:val="39"/>
    <w:unhideWhenUsed/>
    <w:rsid w:val="00E87D90"/>
    <w:pPr>
      <w:spacing w:after="100" w:line="259" w:lineRule="auto"/>
      <w:ind w:left="1540"/>
    </w:pPr>
    <w:rPr>
      <w:rFonts w:eastAsiaTheme="minorEastAsia"/>
      <w:sz w:val="22"/>
      <w:lang w:eastAsia="en-GB"/>
    </w:rPr>
  </w:style>
  <w:style w:type="paragraph" w:styleId="TOC9">
    <w:name w:val="toc 9"/>
    <w:basedOn w:val="Normal"/>
    <w:next w:val="Normal"/>
    <w:autoRedefine/>
    <w:uiPriority w:val="39"/>
    <w:unhideWhenUsed/>
    <w:rsid w:val="00E87D90"/>
    <w:pPr>
      <w:spacing w:after="100" w:line="259" w:lineRule="auto"/>
      <w:ind w:left="1760"/>
    </w:pPr>
    <w:rPr>
      <w:rFonts w:eastAsiaTheme="minorEastAsia"/>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6649">
      <w:bodyDiv w:val="1"/>
      <w:marLeft w:val="0"/>
      <w:marRight w:val="0"/>
      <w:marTop w:val="0"/>
      <w:marBottom w:val="0"/>
      <w:divBdr>
        <w:top w:val="none" w:sz="0" w:space="0" w:color="auto"/>
        <w:left w:val="none" w:sz="0" w:space="0" w:color="auto"/>
        <w:bottom w:val="none" w:sz="0" w:space="0" w:color="auto"/>
        <w:right w:val="none" w:sz="0" w:space="0" w:color="auto"/>
      </w:divBdr>
    </w:div>
    <w:div w:id="202208185">
      <w:bodyDiv w:val="1"/>
      <w:marLeft w:val="0"/>
      <w:marRight w:val="0"/>
      <w:marTop w:val="0"/>
      <w:marBottom w:val="0"/>
      <w:divBdr>
        <w:top w:val="none" w:sz="0" w:space="0" w:color="auto"/>
        <w:left w:val="none" w:sz="0" w:space="0" w:color="auto"/>
        <w:bottom w:val="none" w:sz="0" w:space="0" w:color="auto"/>
        <w:right w:val="none" w:sz="0" w:space="0" w:color="auto"/>
      </w:divBdr>
    </w:div>
    <w:div w:id="1362244212">
      <w:bodyDiv w:val="1"/>
      <w:marLeft w:val="0"/>
      <w:marRight w:val="0"/>
      <w:marTop w:val="0"/>
      <w:marBottom w:val="0"/>
      <w:divBdr>
        <w:top w:val="none" w:sz="0" w:space="0" w:color="auto"/>
        <w:left w:val="none" w:sz="0" w:space="0" w:color="auto"/>
        <w:bottom w:val="none" w:sz="0" w:space="0" w:color="auto"/>
        <w:right w:val="none" w:sz="0" w:space="0" w:color="auto"/>
      </w:divBdr>
      <w:divsChild>
        <w:div w:id="1371220964">
          <w:marLeft w:val="1166"/>
          <w:marRight w:val="0"/>
          <w:marTop w:val="0"/>
          <w:marBottom w:val="0"/>
          <w:divBdr>
            <w:top w:val="none" w:sz="0" w:space="0" w:color="auto"/>
            <w:left w:val="none" w:sz="0" w:space="0" w:color="auto"/>
            <w:bottom w:val="none" w:sz="0" w:space="0" w:color="auto"/>
            <w:right w:val="none" w:sz="0" w:space="0" w:color="auto"/>
          </w:divBdr>
        </w:div>
      </w:divsChild>
    </w:div>
    <w:div w:id="1601139748">
      <w:bodyDiv w:val="1"/>
      <w:marLeft w:val="0"/>
      <w:marRight w:val="0"/>
      <w:marTop w:val="0"/>
      <w:marBottom w:val="0"/>
      <w:divBdr>
        <w:top w:val="none" w:sz="0" w:space="0" w:color="auto"/>
        <w:left w:val="none" w:sz="0" w:space="0" w:color="auto"/>
        <w:bottom w:val="none" w:sz="0" w:space="0" w:color="auto"/>
        <w:right w:val="none" w:sz="0" w:space="0" w:color="auto"/>
      </w:divBdr>
    </w:div>
    <w:div w:id="1873766821">
      <w:bodyDiv w:val="1"/>
      <w:marLeft w:val="0"/>
      <w:marRight w:val="0"/>
      <w:marTop w:val="0"/>
      <w:marBottom w:val="0"/>
      <w:divBdr>
        <w:top w:val="none" w:sz="0" w:space="0" w:color="auto"/>
        <w:left w:val="none" w:sz="0" w:space="0" w:color="auto"/>
        <w:bottom w:val="none" w:sz="0" w:space="0" w:color="auto"/>
        <w:right w:val="none" w:sz="0" w:space="0" w:color="auto"/>
      </w:divBdr>
    </w:div>
    <w:div w:id="2121335976">
      <w:bodyDiv w:val="1"/>
      <w:marLeft w:val="0"/>
      <w:marRight w:val="0"/>
      <w:marTop w:val="0"/>
      <w:marBottom w:val="0"/>
      <w:divBdr>
        <w:top w:val="none" w:sz="0" w:space="0" w:color="auto"/>
        <w:left w:val="none" w:sz="0" w:space="0" w:color="auto"/>
        <w:bottom w:val="none" w:sz="0" w:space="0" w:color="auto"/>
        <w:right w:val="none" w:sz="0" w:space="0" w:color="auto"/>
      </w:divBdr>
      <w:divsChild>
        <w:div w:id="162033667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Davies@bham.ac.uk"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uk.rs-online.com/web/p/pressure-sensors/7975005/"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omega.com/en-us/flow-instruments/flow-meters/paddlewheel-flow-meters/p/FPB100-Series"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hyperlink" Target="https://www.hobut.co.uk/ct132tran-current-sensor-current-transdu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hyperlink" Target="https://www.syxthsense.com/sensors/teat-ll/fluid-temperature-transmitter,-4..20ma/" TargetMode="Externa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hyperlink" Target="https://www.omega.com/en-us/control-monitoring/air-soil-liquid-and-gas/water-quality-transmitters/cdtx-2850-series/p/CDTX-285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D4721-1755-4BB6-A21F-EB938A740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22261</TotalTime>
  <Pages>12</Pages>
  <Words>2755</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Mito, Mohamed (Research Student)</dc:creator>
  <cp:keywords/>
  <dc:description/>
  <cp:lastModifiedBy>Mohamed Mito (Research Student)</cp:lastModifiedBy>
  <cp:revision>453</cp:revision>
  <cp:lastPrinted>2018-07-19T08:50:00Z</cp:lastPrinted>
  <dcterms:created xsi:type="dcterms:W3CDTF">2018-05-21T12:08:00Z</dcterms:created>
  <dcterms:modified xsi:type="dcterms:W3CDTF">2022-02-03T10:37:00Z</dcterms:modified>
</cp:coreProperties>
</file>