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821" w:rsidRDefault="00C92E82" w:rsidP="00E1742D">
      <w:pPr>
        <w:rPr>
          <w:rFonts w:cs="Arial"/>
          <w:b/>
          <w:sz w:val="24"/>
        </w:rPr>
      </w:pPr>
      <w:bookmarkStart w:id="0" w:name="_GoBack"/>
      <w:bookmarkEnd w:id="0"/>
      <w:r>
        <w:rPr>
          <w:rFonts w:cs="Arial"/>
          <w:b/>
          <w:sz w:val="32"/>
        </w:rPr>
        <w:t>CLINICAL STUDY</w:t>
      </w:r>
    </w:p>
    <w:p w:rsidR="00621C16" w:rsidRPr="00786BE7" w:rsidRDefault="00542015" w:rsidP="0062426B">
      <w:pPr>
        <w:rPr>
          <w:rFonts w:cs="Arial"/>
          <w:b/>
          <w:sz w:val="24"/>
        </w:rPr>
      </w:pPr>
      <w:r>
        <w:rPr>
          <w:rFonts w:cs="Arial"/>
          <w:b/>
          <w:sz w:val="24"/>
        </w:rPr>
        <w:t>Application of</w:t>
      </w:r>
      <w:r w:rsidR="00804F11">
        <w:rPr>
          <w:rFonts w:cs="Arial"/>
          <w:b/>
          <w:sz w:val="24"/>
        </w:rPr>
        <w:t xml:space="preserve"> </w:t>
      </w:r>
      <w:r w:rsidR="00621C16">
        <w:rPr>
          <w:rFonts w:cs="Arial"/>
          <w:b/>
          <w:sz w:val="24"/>
        </w:rPr>
        <w:t>B</w:t>
      </w:r>
      <w:r>
        <w:rPr>
          <w:rFonts w:cs="Arial"/>
          <w:b/>
          <w:sz w:val="24"/>
        </w:rPr>
        <w:t xml:space="preserve">ayes’ </w:t>
      </w:r>
      <w:r w:rsidR="00621C16">
        <w:rPr>
          <w:rFonts w:cs="Arial"/>
          <w:b/>
          <w:sz w:val="24"/>
        </w:rPr>
        <w:t xml:space="preserve">to the prediction of </w:t>
      </w:r>
      <w:r>
        <w:rPr>
          <w:rFonts w:cs="Arial"/>
          <w:b/>
          <w:sz w:val="24"/>
        </w:rPr>
        <w:t xml:space="preserve">referral </w:t>
      </w:r>
      <w:r w:rsidR="00621C16">
        <w:rPr>
          <w:rFonts w:cs="Arial"/>
          <w:b/>
          <w:sz w:val="24"/>
        </w:rPr>
        <w:t>decisions made by specialist optometrists in relation to</w:t>
      </w:r>
      <w:r w:rsidR="00621C16" w:rsidRPr="00786BE7">
        <w:rPr>
          <w:rFonts w:cs="Arial"/>
          <w:b/>
          <w:sz w:val="24"/>
        </w:rPr>
        <w:t xml:space="preserve"> chronic open angle glaucoma</w:t>
      </w:r>
      <w:r w:rsidR="00621C16">
        <w:rPr>
          <w:rFonts w:cs="Arial"/>
          <w:b/>
          <w:sz w:val="24"/>
        </w:rPr>
        <w:t xml:space="preserve"> </w:t>
      </w:r>
      <w:r>
        <w:rPr>
          <w:rFonts w:cs="Arial"/>
          <w:sz w:val="24"/>
        </w:rPr>
        <w:t>(136 characters</w:t>
      </w:r>
      <w:r w:rsidR="00621C16" w:rsidRPr="00C31D1F">
        <w:rPr>
          <w:rFonts w:cs="Arial"/>
          <w:sz w:val="24"/>
        </w:rPr>
        <w:t>)</w:t>
      </w:r>
    </w:p>
    <w:p w:rsidR="0062426B" w:rsidRDefault="00786BE7" w:rsidP="0062426B">
      <w:r>
        <w:t>J C</w:t>
      </w:r>
      <w:r w:rsidR="0062426B">
        <w:t xml:space="preserve"> Gurney</w:t>
      </w:r>
      <w:r>
        <w:t>,</w:t>
      </w:r>
      <w:r w:rsidR="00F212FC">
        <w:rPr>
          <w:vertAlign w:val="superscript"/>
        </w:rPr>
        <w:t xml:space="preserve">1,2 </w:t>
      </w:r>
      <w:r>
        <w:t>E</w:t>
      </w:r>
      <w:r w:rsidR="0062426B">
        <w:t xml:space="preserve"> Ansari</w:t>
      </w:r>
      <w:r>
        <w:t>,</w:t>
      </w:r>
      <w:r w:rsidRPr="00786BE7">
        <w:rPr>
          <w:vertAlign w:val="superscript"/>
        </w:rPr>
        <w:t>3</w:t>
      </w:r>
      <w:r>
        <w:t xml:space="preserve"> D</w:t>
      </w:r>
      <w:r w:rsidR="0062426B">
        <w:t xml:space="preserve"> Harle</w:t>
      </w:r>
      <w:r>
        <w:t>,</w:t>
      </w:r>
      <w:r w:rsidRPr="00786BE7">
        <w:rPr>
          <w:vertAlign w:val="superscript"/>
        </w:rPr>
        <w:t>4</w:t>
      </w:r>
      <w:r>
        <w:t xml:space="preserve"> N</w:t>
      </w:r>
      <w:r w:rsidR="0062426B">
        <w:t xml:space="preserve"> O'Kane</w:t>
      </w:r>
      <w:r>
        <w:t>,</w:t>
      </w:r>
      <w:r w:rsidRPr="00786BE7">
        <w:rPr>
          <w:vertAlign w:val="superscript"/>
        </w:rPr>
        <w:t>5</w:t>
      </w:r>
      <w:r>
        <w:t xml:space="preserve"> </w:t>
      </w:r>
      <w:r w:rsidR="0030682A">
        <w:t>R V Sagar</w:t>
      </w:r>
      <w:r w:rsidR="0030682A" w:rsidRPr="00786BE7">
        <w:rPr>
          <w:vertAlign w:val="superscript"/>
        </w:rPr>
        <w:t>2</w:t>
      </w:r>
      <w:r w:rsidR="0030682A">
        <w:t xml:space="preserve">, </w:t>
      </w:r>
      <w:r>
        <w:t>M C M</w:t>
      </w:r>
      <w:r w:rsidR="0062426B">
        <w:t xml:space="preserve"> Dunne</w:t>
      </w:r>
      <w:r w:rsidRPr="00786BE7">
        <w:rPr>
          <w:vertAlign w:val="superscript"/>
        </w:rPr>
        <w:t>2</w:t>
      </w:r>
      <w:r>
        <w:t xml:space="preserve"> </w:t>
      </w:r>
    </w:p>
    <w:p w:rsidR="00BE51CD" w:rsidRDefault="0062426B" w:rsidP="00BE51CD">
      <w:pPr>
        <w:spacing w:after="0"/>
        <w:rPr>
          <w:sz w:val="20"/>
        </w:rPr>
      </w:pPr>
      <w:r w:rsidRPr="008A12E6">
        <w:rPr>
          <w:sz w:val="20"/>
          <w:vertAlign w:val="superscript"/>
        </w:rPr>
        <w:t>1</w:t>
      </w:r>
      <w:r w:rsidRPr="008A12E6">
        <w:rPr>
          <w:sz w:val="20"/>
        </w:rPr>
        <w:t>Community Ophthalmology Team, West Kent C</w:t>
      </w:r>
      <w:r w:rsidR="00BE51CD">
        <w:rPr>
          <w:sz w:val="20"/>
        </w:rPr>
        <w:t>CG, Aylesford, UK</w:t>
      </w:r>
    </w:p>
    <w:p w:rsidR="00BE51CD" w:rsidRDefault="0062426B" w:rsidP="00BE51CD">
      <w:pPr>
        <w:spacing w:after="0"/>
        <w:rPr>
          <w:sz w:val="20"/>
        </w:rPr>
      </w:pPr>
      <w:r w:rsidRPr="008A12E6">
        <w:rPr>
          <w:sz w:val="20"/>
          <w:vertAlign w:val="superscript"/>
        </w:rPr>
        <w:t>2</w:t>
      </w:r>
      <w:r w:rsidRPr="008A12E6">
        <w:rPr>
          <w:sz w:val="20"/>
        </w:rPr>
        <w:t xml:space="preserve">Ophthalmic Research Group, </w:t>
      </w:r>
      <w:r w:rsidR="00BE51CD">
        <w:rPr>
          <w:sz w:val="20"/>
        </w:rPr>
        <w:t xml:space="preserve">Optometry School, </w:t>
      </w:r>
      <w:r w:rsidRPr="008A12E6">
        <w:rPr>
          <w:sz w:val="20"/>
        </w:rPr>
        <w:t>Aston University,</w:t>
      </w:r>
      <w:r w:rsidR="00BE51CD">
        <w:rPr>
          <w:sz w:val="20"/>
        </w:rPr>
        <w:t xml:space="preserve"> Birmingham, UK</w:t>
      </w:r>
    </w:p>
    <w:p w:rsidR="00BE51CD" w:rsidRDefault="0062426B" w:rsidP="00BE51CD">
      <w:pPr>
        <w:spacing w:after="0"/>
        <w:rPr>
          <w:sz w:val="20"/>
        </w:rPr>
      </w:pPr>
      <w:r w:rsidRPr="008A12E6">
        <w:rPr>
          <w:sz w:val="20"/>
          <w:vertAlign w:val="superscript"/>
        </w:rPr>
        <w:t>3</w:t>
      </w:r>
      <w:r w:rsidR="006B0318" w:rsidRPr="006B0318">
        <w:rPr>
          <w:sz w:val="20"/>
        </w:rPr>
        <w:t xml:space="preserve"> </w:t>
      </w:r>
      <w:r w:rsidR="006B0318" w:rsidRPr="00E51923">
        <w:rPr>
          <w:sz w:val="20"/>
        </w:rPr>
        <w:t>Maidstone &amp; Tunbridge Wells NHS Trust</w:t>
      </w:r>
      <w:r w:rsidR="006B0318">
        <w:rPr>
          <w:sz w:val="20"/>
        </w:rPr>
        <w:t>, UK</w:t>
      </w:r>
    </w:p>
    <w:p w:rsidR="00BE51CD" w:rsidRDefault="0062426B" w:rsidP="00BE51CD">
      <w:pPr>
        <w:spacing w:after="0"/>
        <w:rPr>
          <w:sz w:val="20"/>
        </w:rPr>
      </w:pPr>
      <w:r w:rsidRPr="008A12E6">
        <w:rPr>
          <w:sz w:val="20"/>
          <w:vertAlign w:val="superscript"/>
        </w:rPr>
        <w:t>4</w:t>
      </w:r>
      <w:r w:rsidRPr="008A12E6">
        <w:rPr>
          <w:sz w:val="20"/>
        </w:rPr>
        <w:t>Community Ophthalmology Team, West</w:t>
      </w:r>
      <w:r w:rsidR="00E51923">
        <w:rPr>
          <w:sz w:val="20"/>
        </w:rPr>
        <w:t xml:space="preserve"> Kent CCG, Tu</w:t>
      </w:r>
      <w:r w:rsidR="00BE51CD">
        <w:rPr>
          <w:sz w:val="20"/>
        </w:rPr>
        <w:t>nbridge, UK</w:t>
      </w:r>
    </w:p>
    <w:p w:rsidR="0062426B" w:rsidRDefault="006B0318" w:rsidP="00BE51CD">
      <w:pPr>
        <w:spacing w:after="0"/>
        <w:rPr>
          <w:sz w:val="20"/>
        </w:rPr>
      </w:pPr>
      <w:r w:rsidRPr="008A12E6">
        <w:rPr>
          <w:sz w:val="20"/>
          <w:vertAlign w:val="superscript"/>
        </w:rPr>
        <w:t>5</w:t>
      </w:r>
      <w:r w:rsidRPr="008A12E6">
        <w:rPr>
          <w:sz w:val="20"/>
        </w:rPr>
        <w:t>Community Ophthalmology Team, West Kent CCG, Rochester, UK</w:t>
      </w:r>
    </w:p>
    <w:p w:rsidR="00BE51CD" w:rsidRDefault="00BE51CD" w:rsidP="00BE51CD">
      <w:pPr>
        <w:spacing w:after="0"/>
        <w:rPr>
          <w:sz w:val="20"/>
        </w:rPr>
      </w:pPr>
    </w:p>
    <w:p w:rsidR="009F746E" w:rsidRDefault="00BE51CD" w:rsidP="0062426B">
      <w:pPr>
        <w:rPr>
          <w:sz w:val="20"/>
        </w:rPr>
      </w:pPr>
      <w:r>
        <w:rPr>
          <w:sz w:val="20"/>
        </w:rPr>
        <w:t xml:space="preserve">Correspondence: </w:t>
      </w:r>
      <w:r w:rsidR="009F746E">
        <w:rPr>
          <w:sz w:val="20"/>
        </w:rPr>
        <w:t xml:space="preserve">M C M Dunne, </w:t>
      </w:r>
      <w:r>
        <w:rPr>
          <w:sz w:val="20"/>
        </w:rPr>
        <w:t>Ophthalmic Research Group, Optometry school</w:t>
      </w:r>
      <w:r w:rsidR="009F746E">
        <w:rPr>
          <w:sz w:val="20"/>
        </w:rPr>
        <w:t>, Aston Uni</w:t>
      </w:r>
      <w:r>
        <w:rPr>
          <w:sz w:val="20"/>
        </w:rPr>
        <w:t xml:space="preserve">versity, Birmingham B4 7ET, UK, Tel: +44(0) 121 204 4113 E-mail: </w:t>
      </w:r>
      <w:hyperlink r:id="rId8" w:history="1">
        <w:r w:rsidR="00C35A6F" w:rsidRPr="00C61216">
          <w:rPr>
            <w:rStyle w:val="Hyperlink"/>
            <w:sz w:val="20"/>
          </w:rPr>
          <w:t>m.c.m.dunne@aston.ac.uk</w:t>
        </w:r>
      </w:hyperlink>
    </w:p>
    <w:p w:rsidR="004014A8" w:rsidRDefault="00542015" w:rsidP="0062426B">
      <w:r>
        <w:t xml:space="preserve">Running title: Bayes’ and specialist optometrist </w:t>
      </w:r>
      <w:r w:rsidR="005E6EF4">
        <w:t>referral</w:t>
      </w:r>
      <w:r w:rsidR="009703AB">
        <w:t>s</w:t>
      </w:r>
      <w:r w:rsidR="004014A8">
        <w:t xml:space="preserve"> </w:t>
      </w:r>
      <w:r w:rsidR="009703AB">
        <w:t>(43</w:t>
      </w:r>
      <w:r>
        <w:t xml:space="preserve"> characters</w:t>
      </w:r>
      <w:r w:rsidR="004014A8">
        <w:t>)</w:t>
      </w:r>
    </w:p>
    <w:p w:rsidR="00C35A6F" w:rsidRPr="00C35A6F" w:rsidRDefault="008D0DF7" w:rsidP="0062426B">
      <w:r>
        <w:t>Authors’ disclosure of support: No grants or equipment support was received for this project which represents part of the research carried out by Dr John Gurney for his Professional Doctorate in Optometry.</w:t>
      </w:r>
    </w:p>
    <w:p w:rsidR="0062426B" w:rsidRDefault="00A8442C" w:rsidP="0062426B">
      <w:r>
        <w:t>Abstract</w:t>
      </w:r>
    </w:p>
    <w:p w:rsidR="0062426B" w:rsidRDefault="00A8442C" w:rsidP="0062426B">
      <w:r w:rsidRPr="00A8442C">
        <w:rPr>
          <w:i/>
        </w:rPr>
        <w:t>Purpose</w:t>
      </w:r>
      <w:r w:rsidR="0057370A">
        <w:t xml:space="preserve"> </w:t>
      </w:r>
      <w:r w:rsidR="0062426B">
        <w:t xml:space="preserve">To </w:t>
      </w:r>
      <w:r>
        <w:t>determine</w:t>
      </w:r>
      <w:r w:rsidR="00C31D1F">
        <w:t xml:space="preserve"> the accuracy of </w:t>
      </w:r>
      <w:r w:rsidR="00000445">
        <w:t>a</w:t>
      </w:r>
      <w:r w:rsidR="009703AB">
        <w:t xml:space="preserve"> </w:t>
      </w:r>
      <w:r w:rsidR="005E6EF4" w:rsidRPr="005E6EF4">
        <w:t>Bayesian learning scheme</w:t>
      </w:r>
      <w:r w:rsidR="00000445">
        <w:t xml:space="preserve"> (</w:t>
      </w:r>
      <w:r w:rsidR="009703AB">
        <w:t>Bayes’</w:t>
      </w:r>
      <w:r w:rsidR="00BD0BF1">
        <w:t>)</w:t>
      </w:r>
      <w:r w:rsidR="009A029D">
        <w:t xml:space="preserve"> </w:t>
      </w:r>
      <w:r w:rsidR="00C31D1F">
        <w:t>applied to the</w:t>
      </w:r>
      <w:r w:rsidR="00D53BB9">
        <w:t xml:space="preserve"> </w:t>
      </w:r>
      <w:r w:rsidR="0062426B">
        <w:t>predict</w:t>
      </w:r>
      <w:r w:rsidR="00C31D1F">
        <w:t>ion of</w:t>
      </w:r>
      <w:r w:rsidR="0062426B">
        <w:t xml:space="preserve"> clinical decisions</w:t>
      </w:r>
      <w:r w:rsidR="009703AB">
        <w:t xml:space="preserve"> made by specialist optometrists in</w:t>
      </w:r>
      <w:r w:rsidRPr="00A8442C">
        <w:t xml:space="preserve"> </w:t>
      </w:r>
      <w:r w:rsidR="009703AB">
        <w:t>relation</w:t>
      </w:r>
      <w:r>
        <w:t xml:space="preserve"> to</w:t>
      </w:r>
      <w:r w:rsidR="009703AB">
        <w:t xml:space="preserve"> the</w:t>
      </w:r>
      <w:r>
        <w:t xml:space="preserve"> referral refinement of chr</w:t>
      </w:r>
      <w:r w:rsidR="009703AB">
        <w:t>onic open angle glaucoma (COAG)</w:t>
      </w:r>
      <w:r w:rsidR="0062426B">
        <w:t>.</w:t>
      </w:r>
    </w:p>
    <w:p w:rsidR="0062426B" w:rsidRDefault="0062426B" w:rsidP="0062426B">
      <w:r w:rsidRPr="00A8442C">
        <w:rPr>
          <w:i/>
        </w:rPr>
        <w:t>Methods</w:t>
      </w:r>
      <w:r>
        <w:t xml:space="preserve"> </w:t>
      </w:r>
      <w:r w:rsidR="00A8442C">
        <w:t xml:space="preserve">This cross-sectional observational study involved collection of data </w:t>
      </w:r>
      <w:r>
        <w:t>f</w:t>
      </w:r>
      <w:r w:rsidR="00DF5D1D">
        <w:t>rom the worst affected or</w:t>
      </w:r>
      <w:r>
        <w:t xml:space="preserve"> right eyes of </w:t>
      </w:r>
      <w:r w:rsidR="009703AB">
        <w:t>a consecutive sample of cases</w:t>
      </w:r>
      <w:r w:rsidR="00A8442C">
        <w:t xml:space="preserve"> (n = 1006)</w:t>
      </w:r>
      <w:r w:rsidR="0057370A">
        <w:t xml:space="preserve"> </w:t>
      </w:r>
      <w:r>
        <w:t xml:space="preserve">referred into the </w:t>
      </w:r>
      <w:r w:rsidR="00171523">
        <w:t>West Kent Clinical Commissioning Group (CCG) Community Ophthalmology Team (COT)</w:t>
      </w:r>
      <w:r w:rsidR="00A8442C">
        <w:t xml:space="preserve"> by</w:t>
      </w:r>
      <w:r w:rsidR="003621D1">
        <w:t xml:space="preserve"> high street optometrists</w:t>
      </w:r>
      <w:r>
        <w:t xml:space="preserve">. </w:t>
      </w:r>
      <w:r w:rsidR="00171523">
        <w:t>Multilevel c</w:t>
      </w:r>
      <w:r w:rsidR="00B34FC7">
        <w:t xml:space="preserve">lassification of each </w:t>
      </w:r>
      <w:r>
        <w:t xml:space="preserve">case was </w:t>
      </w:r>
      <w:r w:rsidR="00B34FC7">
        <w:t>based on</w:t>
      </w:r>
      <w:r>
        <w:t xml:space="preserve"> race, sex, age, family history of COAG, reason for referral, Goldmann</w:t>
      </w:r>
      <w:r w:rsidR="0057370A">
        <w:t xml:space="preserve"> </w:t>
      </w:r>
      <w:r>
        <w:t>Applanation Tonometry (intraocular pressure and inter-ocular asymmetry), optic nerve head assessment (vertical size, cup disc ratio</w:t>
      </w:r>
      <w:r w:rsidR="0057370A">
        <w:t xml:space="preserve"> </w:t>
      </w:r>
      <w:r>
        <w:t>&amp; inter-ocular asymmetry), central corneal thickness and visual field analysis (Hodapp-Parrish-Anderson classification).</w:t>
      </w:r>
      <w:r w:rsidR="001D3E24">
        <w:t xml:space="preserve"> </w:t>
      </w:r>
      <w:r w:rsidR="00A8442C">
        <w:t xml:space="preserve">Randomised stratified tenfold cross-validation was applied to determine the </w:t>
      </w:r>
      <w:r w:rsidR="00B34FC7">
        <w:t xml:space="preserve">accuracy of </w:t>
      </w:r>
      <w:r w:rsidR="009703AB">
        <w:t>Bayes’</w:t>
      </w:r>
      <w:r w:rsidR="00BD0BF1">
        <w:t xml:space="preserve"> </w:t>
      </w:r>
      <w:r w:rsidR="00A8442C">
        <w:t xml:space="preserve">by </w:t>
      </w:r>
      <w:r w:rsidR="00B34FC7">
        <w:t>comparing its output to the clinical decisions of</w:t>
      </w:r>
      <w:r w:rsidR="001D3E24">
        <w:t xml:space="preserve"> three</w:t>
      </w:r>
      <w:r w:rsidR="00B34FC7">
        <w:t xml:space="preserve"> COT</w:t>
      </w:r>
      <w:r w:rsidR="001D3E24">
        <w:t xml:space="preserve"> </w:t>
      </w:r>
      <w:r w:rsidR="00171523">
        <w:t xml:space="preserve">specialist </w:t>
      </w:r>
      <w:r w:rsidR="001D3E24">
        <w:t>optometrists</w:t>
      </w:r>
      <w:r w:rsidR="00B04714">
        <w:t>; namely, the decision to discharge, follow-up or refer each case</w:t>
      </w:r>
      <w:r w:rsidR="001D3E24">
        <w:t>.</w:t>
      </w:r>
    </w:p>
    <w:p w:rsidR="0062426B" w:rsidRDefault="0062426B" w:rsidP="0062426B">
      <w:r w:rsidRPr="00914BF6">
        <w:rPr>
          <w:i/>
        </w:rPr>
        <w:t>Results</w:t>
      </w:r>
      <w:r>
        <w:t xml:space="preserve"> </w:t>
      </w:r>
      <w:r w:rsidR="00BD0BF1">
        <w:t>Outcomes of cross-validation,</w:t>
      </w:r>
      <w:r w:rsidR="00C765C5">
        <w:t xml:space="preserve"> expressed as means and standard deviations, showed that the accuracy</w:t>
      </w:r>
      <w:r w:rsidR="00152FC7">
        <w:t xml:space="preserve"> of </w:t>
      </w:r>
      <w:r w:rsidR="009703AB">
        <w:t>Bayes’</w:t>
      </w:r>
      <w:r w:rsidR="00A8442C">
        <w:t xml:space="preserve"> </w:t>
      </w:r>
      <w:r w:rsidR="00C765C5">
        <w:t>was high (95%, 2.0%</w:t>
      </w:r>
      <w:r>
        <w:t xml:space="preserve">) </w:t>
      </w:r>
      <w:r w:rsidR="00C765C5">
        <w:t>but</w:t>
      </w:r>
      <w:r w:rsidR="00B04714">
        <w:t xml:space="preserve"> that</w:t>
      </w:r>
      <w:r w:rsidR="00914BF6">
        <w:t xml:space="preserve"> it</w:t>
      </w:r>
      <w:r w:rsidR="00C765C5">
        <w:t xml:space="preserve"> false</w:t>
      </w:r>
      <w:r w:rsidR="00914BF6">
        <w:t>ly</w:t>
      </w:r>
      <w:r w:rsidR="00C765C5">
        <w:t xml:space="preserve"> discharge</w:t>
      </w:r>
      <w:r w:rsidR="00914BF6">
        <w:t>d</w:t>
      </w:r>
      <w:r w:rsidR="00C765C5">
        <w:t xml:space="preserve"> (3.4%, 1.6%</w:t>
      </w:r>
      <w:r w:rsidR="00914BF6">
        <w:t>) or referred</w:t>
      </w:r>
      <w:r w:rsidR="00AA5138">
        <w:t xml:space="preserve"> (3.1%, 1.5%</w:t>
      </w:r>
      <w:r>
        <w:t xml:space="preserve">) </w:t>
      </w:r>
      <w:r w:rsidR="00914BF6">
        <w:t>some cases</w:t>
      </w:r>
      <w:r w:rsidR="005E7CE4">
        <w:t>.</w:t>
      </w:r>
    </w:p>
    <w:p w:rsidR="006444F1" w:rsidRDefault="0062426B" w:rsidP="0062426B">
      <w:r w:rsidRPr="00914BF6">
        <w:rPr>
          <w:i/>
        </w:rPr>
        <w:t>Conclusions</w:t>
      </w:r>
      <w:r>
        <w:t xml:space="preserve"> </w:t>
      </w:r>
      <w:r w:rsidR="009703AB">
        <w:t>The results indicate that Bayes’ has</w:t>
      </w:r>
      <w:r w:rsidR="00171523">
        <w:t xml:space="preserve"> the potential to augment the decisions of specialist</w:t>
      </w:r>
      <w:r w:rsidR="00914BF6">
        <w:t xml:space="preserve"> optometrists.</w:t>
      </w:r>
    </w:p>
    <w:p w:rsidR="001F4220" w:rsidRDefault="00CA35C3" w:rsidP="0062426B">
      <w:pPr>
        <w:pBdr>
          <w:bottom w:val="single" w:sz="12" w:space="1" w:color="auto"/>
        </w:pBdr>
      </w:pPr>
      <w:r>
        <w:t>(208</w:t>
      </w:r>
      <w:r w:rsidR="001F4220">
        <w:t xml:space="preserve"> words)</w:t>
      </w:r>
    </w:p>
    <w:p w:rsidR="0081346F" w:rsidRDefault="0081346F" w:rsidP="0062426B"/>
    <w:p w:rsidR="00F8232E" w:rsidRDefault="00F8232E" w:rsidP="0062426B">
      <w:pPr>
        <w:rPr>
          <w:b/>
        </w:rPr>
      </w:pPr>
    </w:p>
    <w:p w:rsidR="00F8232E" w:rsidRDefault="00F8232E" w:rsidP="0062426B">
      <w:pPr>
        <w:rPr>
          <w:b/>
        </w:rPr>
      </w:pPr>
    </w:p>
    <w:p w:rsidR="0081346F" w:rsidRPr="0081346F" w:rsidRDefault="0081346F" w:rsidP="0062426B">
      <w:pPr>
        <w:rPr>
          <w:b/>
        </w:rPr>
      </w:pPr>
      <w:r w:rsidRPr="0081346F">
        <w:rPr>
          <w:b/>
        </w:rPr>
        <w:t>Introduction</w:t>
      </w:r>
    </w:p>
    <w:p w:rsidR="00727F26" w:rsidRDefault="00266399" w:rsidP="0062426B">
      <w:r>
        <w:t>O</w:t>
      </w:r>
      <w:r w:rsidR="00201A25">
        <w:t xml:space="preserve">ptometric enhanced eye care services </w:t>
      </w:r>
      <w:r>
        <w:t xml:space="preserve">have been </w:t>
      </w:r>
      <w:r w:rsidR="00201A25">
        <w:t xml:space="preserve">designed to overcome the burden on the </w:t>
      </w:r>
      <w:r>
        <w:t>Hospital Eye Service (</w:t>
      </w:r>
      <w:r w:rsidR="00521D93">
        <w:t>HES</w:t>
      </w:r>
      <w:r>
        <w:t>)</w:t>
      </w:r>
      <w:r w:rsidR="0086136F">
        <w:t xml:space="preserve"> caused by </w:t>
      </w:r>
      <w:r w:rsidR="00283DFE">
        <w:t xml:space="preserve">glaucoma referrals </w:t>
      </w:r>
      <w:r w:rsidR="0086136F">
        <w:t>that result</w:t>
      </w:r>
      <w:r w:rsidR="00283DFE">
        <w:t xml:space="preserve"> in high first visit discharge rates.</w:t>
      </w:r>
      <w:r w:rsidR="005E7CE4" w:rsidRPr="005E7CE4">
        <w:rPr>
          <w:vertAlign w:val="superscript"/>
        </w:rPr>
        <w:t>1</w:t>
      </w:r>
      <w:r w:rsidR="005037B9">
        <w:t xml:space="preserve"> </w:t>
      </w:r>
      <w:r w:rsidR="00727F26">
        <w:t xml:space="preserve">The </w:t>
      </w:r>
      <w:r w:rsidR="00727F26" w:rsidRPr="00727F26">
        <w:t>West Kent</w:t>
      </w:r>
      <w:r w:rsidR="0030682A">
        <w:t xml:space="preserve"> CCG</w:t>
      </w:r>
      <w:r w:rsidR="00727F26" w:rsidRPr="00727F26">
        <w:t xml:space="preserve"> </w:t>
      </w:r>
      <w:r w:rsidR="00F8232E">
        <w:t>COT</w:t>
      </w:r>
      <w:r w:rsidR="0086136F">
        <w:t xml:space="preserve"> </w:t>
      </w:r>
      <w:r w:rsidR="0081346F">
        <w:t>has provided such a service since</w:t>
      </w:r>
      <w:r w:rsidR="00CA35C3">
        <w:t xml:space="preserve"> 2006. This</w:t>
      </w:r>
      <w:r w:rsidR="00D506A0">
        <w:t xml:space="preserve"> is led by a </w:t>
      </w:r>
      <w:r w:rsidR="0030682A">
        <w:t>consultant ophthalmologist (</w:t>
      </w:r>
      <w:r w:rsidR="00311127">
        <w:t>EA)</w:t>
      </w:r>
      <w:r w:rsidR="004901E5">
        <w:t xml:space="preserve"> who pr</w:t>
      </w:r>
      <w:r w:rsidR="00CA35C3">
        <w:t>ovided</w:t>
      </w:r>
      <w:r w:rsidR="004901E5">
        <w:t xml:space="preserve"> hospital-based training prior to accreditation</w:t>
      </w:r>
      <w:r w:rsidR="00D36AC0">
        <w:t xml:space="preserve"> (</w:t>
      </w:r>
      <w:r w:rsidR="00B372BC" w:rsidRPr="00B372BC">
        <w:t>Optometrist with Special Interest in Ophthalmology</w:t>
      </w:r>
      <w:r w:rsidR="00BE7EAD">
        <w:t>, OPwSI</w:t>
      </w:r>
      <w:r w:rsidR="00D36AC0">
        <w:t>)</w:t>
      </w:r>
      <w:r w:rsidR="004901E5">
        <w:t>, regu</w:t>
      </w:r>
      <w:r w:rsidR="00D36AC0">
        <w:t>lar re-accreditation and direct access to</w:t>
      </w:r>
      <w:r w:rsidR="004901E5">
        <w:t xml:space="preserve"> ad</w:t>
      </w:r>
      <w:r w:rsidR="00D506A0">
        <w:t>vice for</w:t>
      </w:r>
      <w:r w:rsidR="004901E5">
        <w:t xml:space="preserve"> the </w:t>
      </w:r>
      <w:r w:rsidR="00F8232E">
        <w:t>specialist</w:t>
      </w:r>
      <w:r w:rsidR="00C4047A">
        <w:t xml:space="preserve"> optometrists</w:t>
      </w:r>
      <w:r w:rsidR="00CA35C3">
        <w:t xml:space="preserve"> involved</w:t>
      </w:r>
      <w:r w:rsidR="00C4047A">
        <w:t xml:space="preserve"> </w:t>
      </w:r>
      <w:r w:rsidR="00D36AC0">
        <w:t xml:space="preserve">in </w:t>
      </w:r>
      <w:r w:rsidR="004901E5">
        <w:t xml:space="preserve">this study. </w:t>
      </w:r>
      <w:r w:rsidR="00F645A0">
        <w:t xml:space="preserve">More about accreditation of optometrists can be found </w:t>
      </w:r>
      <w:r w:rsidR="0005155B">
        <w:t>elsewhere</w:t>
      </w:r>
      <w:r w:rsidR="00F645A0">
        <w:t>.</w:t>
      </w:r>
      <w:r w:rsidR="0005155B" w:rsidRPr="0005155B">
        <w:rPr>
          <w:vertAlign w:val="superscript"/>
        </w:rPr>
        <w:t>2</w:t>
      </w:r>
      <w:r w:rsidR="00F645A0">
        <w:t xml:space="preserve"> </w:t>
      </w:r>
      <w:r w:rsidR="00F8232E">
        <w:t>T</w:t>
      </w:r>
      <w:r w:rsidR="00A97B01">
        <w:t xml:space="preserve">he COT provides </w:t>
      </w:r>
      <w:r w:rsidR="00F8232E">
        <w:t>a</w:t>
      </w:r>
      <w:r w:rsidR="0005155B">
        <w:t xml:space="preserve"> </w:t>
      </w:r>
      <w:r w:rsidR="00EC3F08">
        <w:t xml:space="preserve">glaucoma </w:t>
      </w:r>
      <w:r w:rsidR="001F3608">
        <w:t>referral refinement service</w:t>
      </w:r>
      <w:r w:rsidR="00F8232E">
        <w:t xml:space="preserve"> in the UK,</w:t>
      </w:r>
      <w:r w:rsidR="0005155B">
        <w:t xml:space="preserve"> as defined</w:t>
      </w:r>
      <w:r w:rsidR="00EC3F08">
        <w:t xml:space="preserve"> in the</w:t>
      </w:r>
      <w:r w:rsidR="002F30F0">
        <w:t xml:space="preserve"> </w:t>
      </w:r>
      <w:r w:rsidR="0005155B">
        <w:t>current Commissioning Guide</w:t>
      </w:r>
      <w:r w:rsidR="002F30F0">
        <w:t>,</w:t>
      </w:r>
      <w:r w:rsidR="0005155B">
        <w:t xml:space="preserve"> </w:t>
      </w:r>
      <w:r w:rsidR="0005155B" w:rsidRPr="0005155B">
        <w:rPr>
          <w:vertAlign w:val="superscript"/>
        </w:rPr>
        <w:t>3</w:t>
      </w:r>
      <w:r w:rsidR="00EC3F08">
        <w:t xml:space="preserve"> as all patients undergo gonioscopy to exclude other forms of glaucoma. This service is provided</w:t>
      </w:r>
      <w:r w:rsidR="00A97B01">
        <w:t xml:space="preserve"> for </w:t>
      </w:r>
      <w:r w:rsidR="00F8232E">
        <w:t>the</w:t>
      </w:r>
      <w:r w:rsidR="00A97B01">
        <w:t xml:space="preserve"> West Kent, Medway</w:t>
      </w:r>
      <w:r w:rsidR="001F3608">
        <w:t>,</w:t>
      </w:r>
      <w:r w:rsidR="00A97B01">
        <w:t xml:space="preserve"> </w:t>
      </w:r>
      <w:r w:rsidR="001F3608">
        <w:t>Dartford and Swanley</w:t>
      </w:r>
      <w:r w:rsidR="006A1B96">
        <w:t xml:space="preserve"> areas</w:t>
      </w:r>
      <w:r w:rsidR="00D42E2A">
        <w:t>.</w:t>
      </w:r>
    </w:p>
    <w:p w:rsidR="00266399" w:rsidRDefault="00727F26" w:rsidP="0062426B">
      <w:r>
        <w:t xml:space="preserve">Bayes’ </w:t>
      </w:r>
      <w:r w:rsidR="00296A3F">
        <w:t>theorem</w:t>
      </w:r>
      <w:r w:rsidR="00CA35C3">
        <w:t xml:space="preserve"> </w:t>
      </w:r>
      <w:r w:rsidR="0049576E">
        <w:t>predicts that</w:t>
      </w:r>
      <w:r>
        <w:t xml:space="preserve"> high </w:t>
      </w:r>
      <w:r w:rsidR="0049576E">
        <w:t>first visit discharge rates will occur for</w:t>
      </w:r>
      <w:r>
        <w:t xml:space="preserve"> relatively rare diseases like COAG</w:t>
      </w:r>
      <w:r w:rsidR="00E3274D">
        <w:t xml:space="preserve"> even when the sensitivity and specificity of screening tests are high</w:t>
      </w:r>
      <w:r>
        <w:t>.</w:t>
      </w:r>
      <w:r w:rsidR="0032348F" w:rsidRPr="0032348F">
        <w:rPr>
          <w:vertAlign w:val="superscript"/>
        </w:rPr>
        <w:t>4</w:t>
      </w:r>
      <w:r w:rsidR="009F6585">
        <w:t xml:space="preserve"> </w:t>
      </w:r>
      <w:r w:rsidR="00544E66">
        <w:t>A</w:t>
      </w:r>
      <w:r w:rsidR="00296A3F">
        <w:t xml:space="preserve">pplication of </w:t>
      </w:r>
      <w:r w:rsidR="004E5B90">
        <w:t>Bayes’</w:t>
      </w:r>
      <w:r w:rsidR="00A04A72">
        <w:t xml:space="preserve"> </w:t>
      </w:r>
      <w:r w:rsidR="002F7763">
        <w:t>involves</w:t>
      </w:r>
      <w:r w:rsidR="00296A3F">
        <w:t xml:space="preserve"> estim</w:t>
      </w:r>
      <w:r w:rsidR="00A04A72">
        <w:t>ating the probability of an outcome</w:t>
      </w:r>
      <w:r w:rsidR="00296A3F">
        <w:t xml:space="preserve"> by multiplying an initial </w:t>
      </w:r>
      <w:r w:rsidR="003E5504">
        <w:t>estimate</w:t>
      </w:r>
      <w:r w:rsidR="00DC4711">
        <w:t>, based on prevalence</w:t>
      </w:r>
      <w:r w:rsidR="00A04A72">
        <w:t xml:space="preserve"> of that outcome</w:t>
      </w:r>
      <w:r w:rsidR="00DC4711">
        <w:t>,</w:t>
      </w:r>
      <w:r w:rsidR="00296A3F">
        <w:t xml:space="preserve"> by likelihood ratios</w:t>
      </w:r>
      <w:r w:rsidR="00521D93">
        <w:t xml:space="preserve"> derived from the sensitivity and specificity of</w:t>
      </w:r>
      <w:r w:rsidR="00296A3F">
        <w:t xml:space="preserve"> each</w:t>
      </w:r>
      <w:r w:rsidR="003E5504">
        <w:t xml:space="preserve"> diagnostic</w:t>
      </w:r>
      <w:r w:rsidR="00296A3F">
        <w:t xml:space="preserve"> test carried out</w:t>
      </w:r>
      <w:r w:rsidR="002F7763">
        <w:t>.</w:t>
      </w:r>
      <w:r w:rsidR="00544E66" w:rsidRPr="00544E66">
        <w:rPr>
          <w:vertAlign w:val="superscript"/>
        </w:rPr>
        <w:t>5,6</w:t>
      </w:r>
      <w:r w:rsidR="003E5504">
        <w:t xml:space="preserve"> </w:t>
      </w:r>
    </w:p>
    <w:p w:rsidR="002458F4" w:rsidRDefault="00D42E2A" w:rsidP="0062426B">
      <w:r>
        <w:t>T</w:t>
      </w:r>
      <w:r w:rsidR="00544E66">
        <w:t>he</w:t>
      </w:r>
      <w:r>
        <w:t xml:space="preserve"> </w:t>
      </w:r>
      <w:r w:rsidR="008043D2">
        <w:t xml:space="preserve">objective of the present study </w:t>
      </w:r>
      <w:r w:rsidR="004A3B53">
        <w:t xml:space="preserve">was </w:t>
      </w:r>
      <w:r w:rsidR="008043D2">
        <w:t xml:space="preserve">to determine </w:t>
      </w:r>
      <w:r w:rsidR="003E5504">
        <w:t xml:space="preserve">how </w:t>
      </w:r>
      <w:r w:rsidR="0049576E">
        <w:t xml:space="preserve">accurately </w:t>
      </w:r>
      <w:r w:rsidR="004E5B90">
        <w:t>Bayes’</w:t>
      </w:r>
      <w:r w:rsidR="00323469">
        <w:t xml:space="preserve"> </w:t>
      </w:r>
      <w:r w:rsidR="004A3B53">
        <w:t>could predict</w:t>
      </w:r>
      <w:r w:rsidR="008043D2">
        <w:t xml:space="preserve"> </w:t>
      </w:r>
      <w:r w:rsidR="006F6257">
        <w:t>clinical decisions made</w:t>
      </w:r>
      <w:r w:rsidR="00A511EE">
        <w:t xml:space="preserve"> the</w:t>
      </w:r>
      <w:r w:rsidR="006F6257">
        <w:t xml:space="preserve"> </w:t>
      </w:r>
      <w:r w:rsidR="00EF3729">
        <w:t>specialist optometrists</w:t>
      </w:r>
      <w:r w:rsidR="00544E66">
        <w:t xml:space="preserve"> in the COT</w:t>
      </w:r>
      <w:r w:rsidR="006F6257">
        <w:t>.</w:t>
      </w:r>
    </w:p>
    <w:p w:rsidR="00FA4FC2" w:rsidRPr="0081346F" w:rsidRDefault="00AA5138" w:rsidP="0062426B">
      <w:pPr>
        <w:rPr>
          <w:b/>
        </w:rPr>
      </w:pPr>
      <w:r>
        <w:rPr>
          <w:b/>
        </w:rPr>
        <w:t>Subjects</w:t>
      </w:r>
      <w:r w:rsidR="0081346F">
        <w:rPr>
          <w:b/>
        </w:rPr>
        <w:t xml:space="preserve"> and methods</w:t>
      </w:r>
    </w:p>
    <w:p w:rsidR="008128F6" w:rsidRDefault="00FA4FC2" w:rsidP="0062426B">
      <w:r>
        <w:t>This</w:t>
      </w:r>
      <w:r w:rsidR="00F1490D">
        <w:t xml:space="preserve"> study was approved by the Life and Health Sciences Research Ethics Committee at Aston University. It was treated as a clinical audit so that fully anonymised data collection </w:t>
      </w:r>
      <w:r w:rsidR="00DC10E7">
        <w:t xml:space="preserve">was permitted </w:t>
      </w:r>
      <w:r w:rsidR="00F1490D">
        <w:t>witho</w:t>
      </w:r>
      <w:r w:rsidR="00DC10E7">
        <w:t>ut patient consent</w:t>
      </w:r>
      <w:r w:rsidR="00F1490D">
        <w:t>.</w:t>
      </w:r>
    </w:p>
    <w:p w:rsidR="00CB09C0" w:rsidRPr="002C146F" w:rsidRDefault="00FA68AB" w:rsidP="0062426B">
      <w:pPr>
        <w:rPr>
          <w:b/>
        </w:rPr>
      </w:pPr>
      <w:r>
        <w:t>A consecutive sample of a</w:t>
      </w:r>
      <w:r w:rsidR="008128F6">
        <w:t xml:space="preserve">ll referrals for suspected COAG </w:t>
      </w:r>
      <w:r w:rsidR="008128F6" w:rsidRPr="0034719E">
        <w:t>seen by th</w:t>
      </w:r>
      <w:r w:rsidR="00AB409F">
        <w:t>ree</w:t>
      </w:r>
      <w:r w:rsidR="004E1830" w:rsidRPr="0034719E">
        <w:t xml:space="preserve"> COT optometrists (JCG</w:t>
      </w:r>
      <w:r w:rsidR="008128F6" w:rsidRPr="0034719E">
        <w:t>, DH and NOK)</w:t>
      </w:r>
      <w:r w:rsidR="00F91342" w:rsidRPr="0034719E">
        <w:t xml:space="preserve"> </w:t>
      </w:r>
      <w:r w:rsidR="008128F6" w:rsidRPr="0034719E">
        <w:t xml:space="preserve">over a period of 1 </w:t>
      </w:r>
      <w:r>
        <w:t>year (October 2014 to 2015) was</w:t>
      </w:r>
      <w:r w:rsidR="008128F6" w:rsidRPr="0034719E">
        <w:t xml:space="preserve"> included in this study. </w:t>
      </w:r>
      <w:r w:rsidR="008128F6">
        <w:t xml:space="preserve">This amounted to 1006 </w:t>
      </w:r>
      <w:r w:rsidR="001F5766">
        <w:t xml:space="preserve">new cases referred into the COT from high street optometrists </w:t>
      </w:r>
      <w:r w:rsidR="008128F6">
        <w:t xml:space="preserve">and data were </w:t>
      </w:r>
      <w:r w:rsidR="007004E2">
        <w:t xml:space="preserve">only </w:t>
      </w:r>
      <w:r w:rsidR="008128F6">
        <w:t>taken from the worst affected or right eyes.</w:t>
      </w:r>
      <w:r w:rsidR="001F6FB7">
        <w:rPr>
          <w:b/>
        </w:rPr>
        <w:t xml:space="preserve"> </w:t>
      </w:r>
    </w:p>
    <w:p w:rsidR="00FC5B3F" w:rsidRDefault="00FC5B3F" w:rsidP="00DC7E9F">
      <w:r w:rsidRPr="00091711">
        <w:rPr>
          <w:b/>
        </w:rPr>
        <w:t>Table 1</w:t>
      </w:r>
      <w:r>
        <w:t xml:space="preserve"> Clinical methods that formed part of the COT standard operating procedure (SOP)</w:t>
      </w:r>
    </w:p>
    <w:tbl>
      <w:tblPr>
        <w:tblStyle w:val="TableGrid"/>
        <w:tblW w:w="0" w:type="auto"/>
        <w:jc w:val="center"/>
        <w:tblLook w:val="04A0" w:firstRow="1" w:lastRow="0" w:firstColumn="1" w:lastColumn="0" w:noHBand="0" w:noVBand="1"/>
      </w:tblPr>
      <w:tblGrid>
        <w:gridCol w:w="4748"/>
        <w:gridCol w:w="3831"/>
      </w:tblGrid>
      <w:tr w:rsidR="00FC5B3F" w:rsidTr="000E2839">
        <w:trPr>
          <w:jc w:val="center"/>
        </w:trPr>
        <w:tc>
          <w:tcPr>
            <w:tcW w:w="0" w:type="auto"/>
          </w:tcPr>
          <w:p w:rsidR="00FC5B3F" w:rsidRDefault="00FC5B3F" w:rsidP="000E2839">
            <w:r>
              <w:t>Tests</w:t>
            </w:r>
          </w:p>
        </w:tc>
        <w:tc>
          <w:tcPr>
            <w:tcW w:w="0" w:type="auto"/>
          </w:tcPr>
          <w:p w:rsidR="00FC5B3F" w:rsidRDefault="00FC5B3F" w:rsidP="000E2839">
            <w:r>
              <w:t>Method (COT SOP)</w:t>
            </w:r>
          </w:p>
        </w:tc>
      </w:tr>
      <w:tr w:rsidR="00FC5B3F" w:rsidTr="000E2839">
        <w:trPr>
          <w:jc w:val="center"/>
        </w:trPr>
        <w:tc>
          <w:tcPr>
            <w:tcW w:w="0" w:type="auto"/>
          </w:tcPr>
          <w:p w:rsidR="00FC5B3F" w:rsidRDefault="00FC5B3F" w:rsidP="000E2839">
            <w:r>
              <w:t>Tonometry:</w:t>
            </w:r>
          </w:p>
          <w:p w:rsidR="00FC5B3F" w:rsidRDefault="00FC5B3F" w:rsidP="000E2839">
            <w:pPr>
              <w:pStyle w:val="ListParagraph"/>
              <w:numPr>
                <w:ilvl w:val="0"/>
                <w:numId w:val="4"/>
              </w:numPr>
            </w:pPr>
            <w:r>
              <w:t>Intraocular pressure (IOP)</w:t>
            </w:r>
          </w:p>
          <w:p w:rsidR="00FC5B3F" w:rsidRDefault="00FC5B3F" w:rsidP="000E2839">
            <w:pPr>
              <w:pStyle w:val="ListParagraph"/>
              <w:numPr>
                <w:ilvl w:val="0"/>
                <w:numId w:val="4"/>
              </w:numPr>
            </w:pPr>
            <w:r>
              <w:t>Inter-ocular difference in IOP (IOP diff)</w:t>
            </w:r>
          </w:p>
        </w:tc>
        <w:tc>
          <w:tcPr>
            <w:tcW w:w="0" w:type="auto"/>
          </w:tcPr>
          <w:p w:rsidR="00FC5B3F" w:rsidRDefault="00FC5B3F" w:rsidP="000E2839">
            <w:r>
              <w:t>Goldmann applanation tonometry (GAT)</w:t>
            </w:r>
          </w:p>
        </w:tc>
      </w:tr>
      <w:tr w:rsidR="00FC5B3F" w:rsidTr="000E2839">
        <w:trPr>
          <w:jc w:val="center"/>
        </w:trPr>
        <w:tc>
          <w:tcPr>
            <w:tcW w:w="0" w:type="auto"/>
          </w:tcPr>
          <w:p w:rsidR="00FC5B3F" w:rsidRDefault="00FC5B3F" w:rsidP="000E2839">
            <w:r>
              <w:t>Optic nerve head analysis (ONHA):</w:t>
            </w:r>
          </w:p>
          <w:p w:rsidR="00FC5B3F" w:rsidRDefault="00FC5B3F" w:rsidP="000E2839">
            <w:pPr>
              <w:pStyle w:val="ListParagraph"/>
              <w:numPr>
                <w:ilvl w:val="0"/>
                <w:numId w:val="4"/>
              </w:numPr>
            </w:pPr>
            <w:r>
              <w:t>Vertical disc size (VDS)</w:t>
            </w:r>
          </w:p>
          <w:p w:rsidR="00FC5B3F" w:rsidRDefault="00FC5B3F" w:rsidP="000E2839">
            <w:pPr>
              <w:pStyle w:val="ListParagraph"/>
              <w:numPr>
                <w:ilvl w:val="0"/>
                <w:numId w:val="4"/>
              </w:numPr>
            </w:pPr>
            <w:r>
              <w:t>Vertical cup disc ratio (VCDR)</w:t>
            </w:r>
          </w:p>
          <w:p w:rsidR="00FC5B3F" w:rsidRDefault="00FC5B3F" w:rsidP="000E2839">
            <w:pPr>
              <w:pStyle w:val="ListParagraph"/>
              <w:numPr>
                <w:ilvl w:val="0"/>
                <w:numId w:val="4"/>
              </w:numPr>
            </w:pPr>
            <w:r>
              <w:t>Inter-ocular difference in VCDR (VCDR diff)</w:t>
            </w:r>
          </w:p>
        </w:tc>
        <w:tc>
          <w:tcPr>
            <w:tcW w:w="0" w:type="auto"/>
          </w:tcPr>
          <w:p w:rsidR="00FC5B3F" w:rsidRDefault="00FC5B3F" w:rsidP="000E2839">
            <w:r>
              <w:t>Pupil dilation</w:t>
            </w:r>
          </w:p>
          <w:p w:rsidR="00FC5B3F" w:rsidRDefault="00FC5B3F" w:rsidP="000E2839">
            <w:r>
              <w:t>Slit lamp biomicroscopy</w:t>
            </w:r>
          </w:p>
          <w:p w:rsidR="00FC5B3F" w:rsidRDefault="00FC5B3F" w:rsidP="000E2839">
            <w:r>
              <w:t>Volk lens</w:t>
            </w:r>
          </w:p>
        </w:tc>
      </w:tr>
      <w:tr w:rsidR="00FC5B3F" w:rsidTr="000E2839">
        <w:trPr>
          <w:jc w:val="center"/>
        </w:trPr>
        <w:tc>
          <w:tcPr>
            <w:tcW w:w="0" w:type="auto"/>
          </w:tcPr>
          <w:p w:rsidR="00FC5B3F" w:rsidRDefault="00FC5B3F" w:rsidP="000E2839">
            <w:r>
              <w:t>Central corneal thickness (CCT)</w:t>
            </w:r>
          </w:p>
        </w:tc>
        <w:tc>
          <w:tcPr>
            <w:tcW w:w="0" w:type="auto"/>
          </w:tcPr>
          <w:p w:rsidR="00FC5B3F" w:rsidRDefault="00FC5B3F" w:rsidP="000E2839">
            <w:r>
              <w:t>Ultrasound pachymetry</w:t>
            </w:r>
          </w:p>
        </w:tc>
      </w:tr>
      <w:tr w:rsidR="00FC5B3F" w:rsidTr="000E2839">
        <w:trPr>
          <w:jc w:val="center"/>
        </w:trPr>
        <w:tc>
          <w:tcPr>
            <w:tcW w:w="0" w:type="auto"/>
          </w:tcPr>
          <w:p w:rsidR="00FC5B3F" w:rsidRDefault="00FC5B3F" w:rsidP="000E2839">
            <w:r>
              <w:lastRenderedPageBreak/>
              <w:t>Visual field analysis (VFA)</w:t>
            </w:r>
          </w:p>
        </w:tc>
        <w:tc>
          <w:tcPr>
            <w:tcW w:w="0" w:type="auto"/>
          </w:tcPr>
          <w:p w:rsidR="00FC5B3F" w:rsidRDefault="00FC5B3F" w:rsidP="000E2839">
            <w:r>
              <w:t>SITA 24-2</w:t>
            </w:r>
          </w:p>
          <w:p w:rsidR="00FC5B3F" w:rsidRDefault="00FC5B3F" w:rsidP="000E2839">
            <w:r>
              <w:t>Hodapp-Anderson-Parrish grade (HPA)</w:t>
            </w:r>
          </w:p>
        </w:tc>
      </w:tr>
      <w:tr w:rsidR="00FC5B3F" w:rsidTr="000E2839">
        <w:trPr>
          <w:jc w:val="center"/>
        </w:trPr>
        <w:tc>
          <w:tcPr>
            <w:tcW w:w="0" w:type="auto"/>
            <w:gridSpan w:val="2"/>
          </w:tcPr>
          <w:p w:rsidR="00FC5B3F" w:rsidRDefault="00FC5B3F" w:rsidP="000E2839">
            <w:pPr>
              <w:jc w:val="center"/>
            </w:pPr>
            <w:r>
              <w:t>Gonioscopic examination of the anterior chamber</w:t>
            </w:r>
          </w:p>
          <w:p w:rsidR="00FC5B3F" w:rsidRDefault="00FC5B3F" w:rsidP="000E2839">
            <w:pPr>
              <w:jc w:val="center"/>
            </w:pPr>
            <w:r>
              <w:t>(to exclude other causes of glaucoma)</w:t>
            </w:r>
          </w:p>
        </w:tc>
      </w:tr>
    </w:tbl>
    <w:p w:rsidR="00FC5B3F" w:rsidRDefault="00FC5B3F" w:rsidP="00FC5B3F"/>
    <w:p w:rsidR="009705BC" w:rsidRPr="00FC5B3F" w:rsidRDefault="005C7A30" w:rsidP="00FC5B3F">
      <w:pPr>
        <w:rPr>
          <w:vertAlign w:val="superscript"/>
        </w:rPr>
      </w:pPr>
      <w:r>
        <w:t xml:space="preserve">A summary is provided of the clinical methods (Table 1) and multilevel groups (Table 2) </w:t>
      </w:r>
      <w:r w:rsidR="00B70013">
        <w:t xml:space="preserve">used in this study. </w:t>
      </w:r>
      <w:r w:rsidR="00FA68AB">
        <w:t>The use of multilevel groups has been advocated by others.</w:t>
      </w:r>
      <w:r w:rsidR="00FA68AB" w:rsidRPr="00FA68AB">
        <w:rPr>
          <w:vertAlign w:val="superscript"/>
        </w:rPr>
        <w:t xml:space="preserve"> </w:t>
      </w:r>
      <w:r w:rsidR="00FA68AB" w:rsidRPr="00544E66">
        <w:rPr>
          <w:vertAlign w:val="superscript"/>
        </w:rPr>
        <w:t>5,6</w:t>
      </w:r>
      <w:r w:rsidR="00FA68AB">
        <w:t xml:space="preserve"> </w:t>
      </w:r>
      <w:r w:rsidR="0089742C">
        <w:t>The clinical methods used were part of a standard operating procedure (SOP) adopted by the COT that was informed by N</w:t>
      </w:r>
      <w:r w:rsidR="009168C4">
        <w:t>ICE guideline CG85</w:t>
      </w:r>
      <w:r w:rsidR="00A06A98">
        <w:t>.</w:t>
      </w:r>
      <w:r w:rsidR="00D421D8" w:rsidRPr="00D421D8">
        <w:rPr>
          <w:vertAlign w:val="superscript"/>
        </w:rPr>
        <w:t>7</w:t>
      </w:r>
    </w:p>
    <w:p w:rsidR="009705BC" w:rsidRDefault="009705BC" w:rsidP="00DC7E9F">
      <w:pPr>
        <w:rPr>
          <w:noProof/>
          <w:lang w:eastAsia="en-GB"/>
        </w:rPr>
      </w:pPr>
      <w:r w:rsidRPr="00B672E7">
        <w:rPr>
          <w:b/>
        </w:rPr>
        <w:t>Table 2</w:t>
      </w:r>
      <w:r>
        <w:t xml:space="preserve"> Multilevel groups adopted and their frequency of occurrence in 1006 cases. Abbreviations are defined in Table 1.  </w:t>
      </w:r>
    </w:p>
    <w:tbl>
      <w:tblPr>
        <w:tblStyle w:val="TableGrid"/>
        <w:tblW w:w="0" w:type="auto"/>
        <w:jc w:val="center"/>
        <w:tblLook w:val="04A0" w:firstRow="1" w:lastRow="0" w:firstColumn="1" w:lastColumn="0" w:noHBand="0" w:noVBand="1"/>
      </w:tblPr>
      <w:tblGrid>
        <w:gridCol w:w="2080"/>
        <w:gridCol w:w="6689"/>
      </w:tblGrid>
      <w:tr w:rsidR="009705BC" w:rsidTr="009705BC">
        <w:trPr>
          <w:jc w:val="center"/>
        </w:trPr>
        <w:tc>
          <w:tcPr>
            <w:tcW w:w="0" w:type="auto"/>
          </w:tcPr>
          <w:p w:rsidR="009705BC" w:rsidRDefault="009705BC" w:rsidP="00D37FB5">
            <w:r>
              <w:t>Tests</w:t>
            </w:r>
          </w:p>
        </w:tc>
        <w:tc>
          <w:tcPr>
            <w:tcW w:w="0" w:type="auto"/>
          </w:tcPr>
          <w:p w:rsidR="009705BC" w:rsidRDefault="009705BC" w:rsidP="00D37FB5">
            <w:r w:rsidRPr="000A3E24">
              <w:t>Groups (frequency) – likelihood ratios calculate</w:t>
            </w:r>
            <w:r>
              <w:t xml:space="preserve">d for each </w:t>
            </w:r>
            <w:r w:rsidRPr="00000F30">
              <w:rPr>
                <w:vertAlign w:val="superscript"/>
              </w:rPr>
              <w:t>5</w:t>
            </w:r>
          </w:p>
        </w:tc>
      </w:tr>
      <w:tr w:rsidR="009705BC" w:rsidTr="009705BC">
        <w:trPr>
          <w:jc w:val="center"/>
        </w:trPr>
        <w:tc>
          <w:tcPr>
            <w:tcW w:w="0" w:type="auto"/>
          </w:tcPr>
          <w:p w:rsidR="009705BC" w:rsidRDefault="009705BC" w:rsidP="00D37FB5">
            <w:r>
              <w:t>Age (years)</w:t>
            </w:r>
          </w:p>
        </w:tc>
        <w:tc>
          <w:tcPr>
            <w:tcW w:w="0" w:type="auto"/>
          </w:tcPr>
          <w:p w:rsidR="009705BC" w:rsidRDefault="009705BC" w:rsidP="00D37FB5">
            <w:r w:rsidRPr="009830A8">
              <w:t>&lt;40 (60), 40-49 (135), 50-59 (242), 60-69 (275), 70-79 (218), 80+ (78)</w:t>
            </w:r>
          </w:p>
        </w:tc>
      </w:tr>
      <w:tr w:rsidR="009705BC" w:rsidTr="009705BC">
        <w:trPr>
          <w:jc w:val="center"/>
        </w:trPr>
        <w:tc>
          <w:tcPr>
            <w:tcW w:w="0" w:type="auto"/>
          </w:tcPr>
          <w:p w:rsidR="009705BC" w:rsidRDefault="009705BC" w:rsidP="00D37FB5">
            <w:r>
              <w:t>Sex</w:t>
            </w:r>
          </w:p>
        </w:tc>
        <w:tc>
          <w:tcPr>
            <w:tcW w:w="0" w:type="auto"/>
          </w:tcPr>
          <w:p w:rsidR="009705BC" w:rsidRDefault="009705BC" w:rsidP="00D37FB5">
            <w:r w:rsidRPr="009830A8">
              <w:t>Female (524), Male (482)</w:t>
            </w:r>
          </w:p>
        </w:tc>
      </w:tr>
      <w:tr w:rsidR="009705BC" w:rsidTr="009705BC">
        <w:trPr>
          <w:jc w:val="center"/>
        </w:trPr>
        <w:tc>
          <w:tcPr>
            <w:tcW w:w="0" w:type="auto"/>
          </w:tcPr>
          <w:p w:rsidR="009705BC" w:rsidRDefault="009705BC" w:rsidP="00D37FB5">
            <w:r>
              <w:t>Race</w:t>
            </w:r>
          </w:p>
        </w:tc>
        <w:tc>
          <w:tcPr>
            <w:tcW w:w="0" w:type="auto"/>
          </w:tcPr>
          <w:p w:rsidR="009705BC" w:rsidRDefault="009705BC" w:rsidP="00D37FB5">
            <w:r w:rsidRPr="009830A8">
              <w:t>Caucasian (965), Asian (17), Afro-Caribbean (12), Hispanic (9), African (3)</w:t>
            </w:r>
          </w:p>
        </w:tc>
      </w:tr>
      <w:tr w:rsidR="009705BC" w:rsidTr="009705BC">
        <w:trPr>
          <w:jc w:val="center"/>
        </w:trPr>
        <w:tc>
          <w:tcPr>
            <w:tcW w:w="0" w:type="auto"/>
          </w:tcPr>
          <w:p w:rsidR="009705BC" w:rsidRDefault="009705BC" w:rsidP="00D37FB5">
            <w:r>
              <w:t>FGH</w:t>
            </w:r>
          </w:p>
        </w:tc>
        <w:tc>
          <w:tcPr>
            <w:tcW w:w="0" w:type="auto"/>
          </w:tcPr>
          <w:p w:rsidR="009705BC" w:rsidRDefault="009705BC" w:rsidP="00D37FB5">
            <w:r w:rsidRPr="00FA3535">
              <w:t>Mother (143), Father (110), Sibling (62)</w:t>
            </w:r>
          </w:p>
        </w:tc>
      </w:tr>
      <w:tr w:rsidR="009705BC" w:rsidTr="009705BC">
        <w:trPr>
          <w:jc w:val="center"/>
        </w:trPr>
        <w:tc>
          <w:tcPr>
            <w:tcW w:w="0" w:type="auto"/>
          </w:tcPr>
          <w:p w:rsidR="009705BC" w:rsidRDefault="009705BC" w:rsidP="00D37FB5">
            <w:r>
              <w:t>GAT IOP (mmHg)</w:t>
            </w:r>
          </w:p>
        </w:tc>
        <w:tc>
          <w:tcPr>
            <w:tcW w:w="0" w:type="auto"/>
          </w:tcPr>
          <w:p w:rsidR="009705BC" w:rsidRDefault="009705BC" w:rsidP="00D37FB5">
            <w:r w:rsidRPr="00FA3535">
              <w:t>&lt;21 (773), 21-25 (181), &gt;25-32 (43), &gt;32 (9)</w:t>
            </w:r>
          </w:p>
        </w:tc>
      </w:tr>
      <w:tr w:rsidR="009705BC" w:rsidTr="009705BC">
        <w:trPr>
          <w:jc w:val="center"/>
        </w:trPr>
        <w:tc>
          <w:tcPr>
            <w:tcW w:w="0" w:type="auto"/>
          </w:tcPr>
          <w:p w:rsidR="009705BC" w:rsidRDefault="009705BC" w:rsidP="00D37FB5">
            <w:r w:rsidRPr="007C2F9F">
              <w:t>GAT IOP diff (mmHg)</w:t>
            </w:r>
          </w:p>
        </w:tc>
        <w:tc>
          <w:tcPr>
            <w:tcW w:w="0" w:type="auto"/>
          </w:tcPr>
          <w:p w:rsidR="009705BC" w:rsidRDefault="009705BC" w:rsidP="00D37FB5">
            <w:r w:rsidRPr="007C2F9F">
              <w:t>&lt;3 (926), 3-6 (53), &gt;6 (27)</w:t>
            </w:r>
          </w:p>
        </w:tc>
      </w:tr>
      <w:tr w:rsidR="009705BC" w:rsidTr="009705BC">
        <w:trPr>
          <w:jc w:val="center"/>
        </w:trPr>
        <w:tc>
          <w:tcPr>
            <w:tcW w:w="0" w:type="auto"/>
          </w:tcPr>
          <w:p w:rsidR="009705BC" w:rsidRDefault="009705BC" w:rsidP="00D37FB5">
            <w:r w:rsidRPr="007C2F9F">
              <w:t>ONHA VDS (mm)</w:t>
            </w:r>
          </w:p>
        </w:tc>
        <w:tc>
          <w:tcPr>
            <w:tcW w:w="0" w:type="auto"/>
          </w:tcPr>
          <w:p w:rsidR="009705BC" w:rsidRDefault="009705BC" w:rsidP="00D37FB5">
            <w:r w:rsidRPr="007C2F9F">
              <w:t>&lt;1.4 (87), 1.4-1.7 (439), 1.8+ (480)</w:t>
            </w:r>
          </w:p>
        </w:tc>
      </w:tr>
      <w:tr w:rsidR="009705BC" w:rsidTr="009705BC">
        <w:trPr>
          <w:jc w:val="center"/>
        </w:trPr>
        <w:tc>
          <w:tcPr>
            <w:tcW w:w="0" w:type="auto"/>
          </w:tcPr>
          <w:p w:rsidR="009705BC" w:rsidRDefault="009705BC" w:rsidP="00D37FB5">
            <w:r w:rsidRPr="007163F7">
              <w:t>ONHA VCDR (%)</w:t>
            </w:r>
          </w:p>
        </w:tc>
        <w:tc>
          <w:tcPr>
            <w:tcW w:w="0" w:type="auto"/>
          </w:tcPr>
          <w:p w:rsidR="009705BC" w:rsidRDefault="009705BC" w:rsidP="00D37FB5">
            <w:r w:rsidRPr="007163F7">
              <w:t>&lt;50 (496), 50-70 (449), &gt;70 (71)</w:t>
            </w:r>
          </w:p>
        </w:tc>
      </w:tr>
      <w:tr w:rsidR="009705BC" w:rsidTr="009705BC">
        <w:trPr>
          <w:jc w:val="center"/>
        </w:trPr>
        <w:tc>
          <w:tcPr>
            <w:tcW w:w="0" w:type="auto"/>
          </w:tcPr>
          <w:p w:rsidR="009705BC" w:rsidRDefault="009705BC" w:rsidP="00D37FB5">
            <w:r w:rsidRPr="007163F7">
              <w:t>ONHA VCDR diff (%)</w:t>
            </w:r>
          </w:p>
        </w:tc>
        <w:tc>
          <w:tcPr>
            <w:tcW w:w="0" w:type="auto"/>
          </w:tcPr>
          <w:p w:rsidR="009705BC" w:rsidRDefault="009705BC" w:rsidP="00D37FB5">
            <w:r w:rsidRPr="007163F7">
              <w:t>&lt;20 (865), 20-30 (121), &gt;30 (20)</w:t>
            </w:r>
          </w:p>
        </w:tc>
      </w:tr>
      <w:tr w:rsidR="009705BC" w:rsidTr="009705BC">
        <w:trPr>
          <w:jc w:val="center"/>
        </w:trPr>
        <w:tc>
          <w:tcPr>
            <w:tcW w:w="0" w:type="auto"/>
          </w:tcPr>
          <w:p w:rsidR="009705BC" w:rsidRDefault="009705BC" w:rsidP="00D37FB5">
            <w:r w:rsidRPr="007163F7">
              <w:t>CCT (microns)</w:t>
            </w:r>
          </w:p>
        </w:tc>
        <w:tc>
          <w:tcPr>
            <w:tcW w:w="0" w:type="auto"/>
          </w:tcPr>
          <w:p w:rsidR="009705BC" w:rsidRDefault="009705BC" w:rsidP="00D37FB5">
            <w:r w:rsidRPr="007163F7">
              <w:t>&lt;555 (443), 555-590 (374), &gt;590 (189)</w:t>
            </w:r>
          </w:p>
        </w:tc>
      </w:tr>
      <w:tr w:rsidR="009705BC" w:rsidTr="009705BC">
        <w:trPr>
          <w:jc w:val="center"/>
        </w:trPr>
        <w:tc>
          <w:tcPr>
            <w:tcW w:w="0" w:type="auto"/>
          </w:tcPr>
          <w:p w:rsidR="009705BC" w:rsidRDefault="009705BC" w:rsidP="00D37FB5">
            <w:r>
              <w:t>VFA HPA</w:t>
            </w:r>
          </w:p>
        </w:tc>
        <w:tc>
          <w:tcPr>
            <w:tcW w:w="0" w:type="auto"/>
          </w:tcPr>
          <w:p w:rsidR="009705BC" w:rsidRDefault="009705BC" w:rsidP="00D37FB5">
            <w:r w:rsidRPr="007163F7">
              <w:t>Mild (91), Moderate (44), Severe (29)</w:t>
            </w:r>
          </w:p>
        </w:tc>
      </w:tr>
    </w:tbl>
    <w:p w:rsidR="009705BC" w:rsidRDefault="009705BC" w:rsidP="009705BC">
      <w:pPr>
        <w:jc w:val="center"/>
      </w:pPr>
    </w:p>
    <w:p w:rsidR="00A36202" w:rsidRDefault="00E6712B" w:rsidP="00A36202">
      <w:r>
        <w:t>Intra-ocular pressure</w:t>
      </w:r>
      <w:r w:rsidR="0088095F">
        <w:t xml:space="preserve"> </w:t>
      </w:r>
      <w:r>
        <w:t>was measured using a</w:t>
      </w:r>
      <w:r w:rsidR="00001E32">
        <w:t xml:space="preserve"> Haag-</w:t>
      </w:r>
      <w:r w:rsidR="002B645D">
        <w:t>Streit AT</w:t>
      </w:r>
      <w:r w:rsidR="00001E32">
        <w:t>-</w:t>
      </w:r>
      <w:r w:rsidR="002B645D">
        <w:t xml:space="preserve">900 Model T </w:t>
      </w:r>
      <w:r w:rsidR="009168C4">
        <w:t>Goldmann applanation tonometer</w:t>
      </w:r>
      <w:r w:rsidR="0088095F">
        <w:t xml:space="preserve"> (GAT IOP)</w:t>
      </w:r>
      <w:r>
        <w:t xml:space="preserve"> and </w:t>
      </w:r>
      <w:r w:rsidR="0088095F">
        <w:t>multilevel groups followed</w:t>
      </w:r>
      <w:r w:rsidR="002B645D">
        <w:t xml:space="preserve"> NICE guidelines.</w:t>
      </w:r>
      <w:r w:rsidR="00D421D8" w:rsidRPr="00D421D8">
        <w:rPr>
          <w:vertAlign w:val="superscript"/>
        </w:rPr>
        <w:t>7</w:t>
      </w:r>
      <w:r w:rsidR="0088095F">
        <w:t xml:space="preserve"> G</w:t>
      </w:r>
      <w:r w:rsidR="002A2E24">
        <w:t>roups for</w:t>
      </w:r>
      <w:r w:rsidR="00001E32">
        <w:t xml:space="preserve"> in</w:t>
      </w:r>
      <w:r w:rsidR="003676AA">
        <w:t xml:space="preserve">ter-ocular differences in </w:t>
      </w:r>
      <w:r w:rsidR="00001E32">
        <w:t>pressure</w:t>
      </w:r>
      <w:r w:rsidR="00B6475C">
        <w:t xml:space="preserve"> (GAT IOP diff)</w:t>
      </w:r>
      <w:r w:rsidR="002B645D">
        <w:t xml:space="preserve"> </w:t>
      </w:r>
      <w:r w:rsidR="0088095F">
        <w:t>were based on</w:t>
      </w:r>
      <w:r w:rsidR="00001E32">
        <w:t xml:space="preserve"> a previous study</w:t>
      </w:r>
      <w:r w:rsidR="002B645D">
        <w:t>.</w:t>
      </w:r>
      <w:r w:rsidR="00D421D8" w:rsidRPr="00D421D8">
        <w:rPr>
          <w:vertAlign w:val="superscript"/>
        </w:rPr>
        <w:t>8</w:t>
      </w:r>
    </w:p>
    <w:p w:rsidR="00E6712B" w:rsidRDefault="00962771" w:rsidP="00E6712B">
      <w:r>
        <w:t>Dilated stereoscopic slit lamp biomicroscopy</w:t>
      </w:r>
      <w:r w:rsidR="00A36202">
        <w:t xml:space="preserve"> (Haag-Streit BQ900 or Topcon PS30)</w:t>
      </w:r>
      <w:r w:rsidR="002A2E24">
        <w:t xml:space="preserve"> with a Volk lens (66D or Digital 1x)</w:t>
      </w:r>
      <w:r>
        <w:t xml:space="preserve"> </w:t>
      </w:r>
      <w:r w:rsidR="00A36202">
        <w:t>was used for</w:t>
      </w:r>
      <w:r>
        <w:t xml:space="preserve"> optic ne</w:t>
      </w:r>
      <w:r w:rsidR="00A36202">
        <w:t>rve head assessment (ONHA)</w:t>
      </w:r>
      <w:r w:rsidR="002A2E24">
        <w:t>. Previous studies</w:t>
      </w:r>
      <w:r w:rsidR="0088095F">
        <w:t xml:space="preserve"> </w:t>
      </w:r>
      <w:r w:rsidR="002A2E24">
        <w:t xml:space="preserve">informed multilevel groups </w:t>
      </w:r>
      <w:r w:rsidR="0088095F">
        <w:t xml:space="preserve">for </w:t>
      </w:r>
      <w:r w:rsidR="002A2E24">
        <w:t>v</w:t>
      </w:r>
      <w:r w:rsidR="00440C28">
        <w:t>ertical optic disc size (VDS)</w:t>
      </w:r>
      <w:r w:rsidR="002A2E24">
        <w:t>,</w:t>
      </w:r>
      <w:r w:rsidR="00D421D8" w:rsidRPr="00D421D8">
        <w:rPr>
          <w:vertAlign w:val="superscript"/>
        </w:rPr>
        <w:t>9</w:t>
      </w:r>
      <w:r w:rsidR="002A2E24">
        <w:t xml:space="preserve"> vertical cup-to-disc ratio (VCDR) </w:t>
      </w:r>
      <w:r w:rsidR="00D421D8" w:rsidRPr="00D421D8">
        <w:rPr>
          <w:vertAlign w:val="superscript"/>
        </w:rPr>
        <w:t>10,11</w:t>
      </w:r>
      <w:r w:rsidR="002A2E24">
        <w:t xml:space="preserve"> and</w:t>
      </w:r>
      <w:r w:rsidR="00242810">
        <w:t xml:space="preserve"> i</w:t>
      </w:r>
      <w:r w:rsidR="00145083">
        <w:t>nter-ocular difference</w:t>
      </w:r>
      <w:r w:rsidR="00242810">
        <w:t>s</w:t>
      </w:r>
      <w:r w:rsidR="00145083">
        <w:t xml:space="preserve"> in VCDR (VCDR diff)</w:t>
      </w:r>
      <w:r w:rsidR="00950DEE" w:rsidRPr="00950DEE">
        <w:t>.</w:t>
      </w:r>
      <w:r w:rsidR="00D421D8" w:rsidRPr="00D421D8">
        <w:rPr>
          <w:vertAlign w:val="superscript"/>
        </w:rPr>
        <w:t>12</w:t>
      </w:r>
    </w:p>
    <w:p w:rsidR="00E6712B" w:rsidRDefault="00145083" w:rsidP="00E6712B">
      <w:r>
        <w:t>Central corneal thickness (CCT)</w:t>
      </w:r>
      <w:r w:rsidR="00E6712B">
        <w:t xml:space="preserve"> was measured using handheld ultrasound pachymetry (Accutome Pachpen, Pach</w:t>
      </w:r>
      <w:r w:rsidR="0088095F">
        <w:t>mate or Pachmate 2) and multilevel</w:t>
      </w:r>
      <w:r w:rsidR="00E6712B">
        <w:t xml:space="preserve"> groups were, again, based on NICE guidelines.</w:t>
      </w:r>
      <w:r w:rsidR="00D421D8" w:rsidRPr="00D421D8">
        <w:rPr>
          <w:vertAlign w:val="superscript"/>
        </w:rPr>
        <w:t>7</w:t>
      </w:r>
    </w:p>
    <w:p w:rsidR="00880128" w:rsidRDefault="00962771" w:rsidP="00E6712B">
      <w:r>
        <w:t xml:space="preserve">The SITA (Swedish interactive thresholding algorithm) 24-2 testing strategy is </w:t>
      </w:r>
      <w:r w:rsidR="0088095F">
        <w:t>recommended by NICE guidelines</w:t>
      </w:r>
      <w:r>
        <w:t xml:space="preserve"> for visual field assessment (VFA)</w:t>
      </w:r>
      <w:r w:rsidR="00643DEE">
        <w:t>.</w:t>
      </w:r>
      <w:r w:rsidR="00D421D8" w:rsidRPr="00D421D8">
        <w:rPr>
          <w:vertAlign w:val="superscript"/>
        </w:rPr>
        <w:t>7</w:t>
      </w:r>
      <w:r w:rsidR="00D421D8">
        <w:t xml:space="preserve"> </w:t>
      </w:r>
      <w:r w:rsidR="003676AA">
        <w:t>T</w:t>
      </w:r>
      <w:r w:rsidR="0088095F">
        <w:t>he</w:t>
      </w:r>
      <w:r w:rsidR="001D1F15" w:rsidRPr="001D1F15">
        <w:t xml:space="preserve"> Zeiss Humphrey </w:t>
      </w:r>
      <w:r w:rsidR="00E6712B">
        <w:t>Visual Field Analyser (</w:t>
      </w:r>
      <w:r w:rsidR="001D1F15" w:rsidRPr="001D1F15">
        <w:t xml:space="preserve">model </w:t>
      </w:r>
      <w:r w:rsidR="00E6712B">
        <w:t>720 or 720i</w:t>
      </w:r>
      <w:r w:rsidR="0088095F">
        <w:t>)</w:t>
      </w:r>
      <w:r w:rsidR="003676AA">
        <w:t xml:space="preserve"> was used</w:t>
      </w:r>
      <w:r w:rsidR="0088095F">
        <w:t xml:space="preserve"> and m</w:t>
      </w:r>
      <w:r w:rsidR="00084F76">
        <w:t>ultilevel g</w:t>
      </w:r>
      <w:r w:rsidR="003676AA">
        <w:t>roups</w:t>
      </w:r>
      <w:r w:rsidR="001D1F15" w:rsidRPr="001D1F15">
        <w:t xml:space="preserve"> followed the Hodapp-Anderso</w:t>
      </w:r>
      <w:r w:rsidR="00D421D8">
        <w:t>n-Parrish (HAP) grading system</w:t>
      </w:r>
      <w:r w:rsidR="00084F76">
        <w:t>.</w:t>
      </w:r>
      <w:r w:rsidR="00D421D8" w:rsidRPr="00D421D8">
        <w:rPr>
          <w:vertAlign w:val="superscript"/>
        </w:rPr>
        <w:t>13</w:t>
      </w:r>
    </w:p>
    <w:p w:rsidR="001F6FB7" w:rsidRDefault="00084F76" w:rsidP="00015205">
      <w:r>
        <w:t>M</w:t>
      </w:r>
      <w:r w:rsidR="00003D09">
        <w:t>anagement decisions</w:t>
      </w:r>
      <w:r>
        <w:t xml:space="preserve"> of COT op</w:t>
      </w:r>
      <w:r w:rsidR="00AC5A42">
        <w:t>tometrists were</w:t>
      </w:r>
      <w:r>
        <w:t xml:space="preserve"> (a) d</w:t>
      </w:r>
      <w:r w:rsidR="00775947">
        <w:t>ischarge</w:t>
      </w:r>
      <w:r>
        <w:t>, (b) f</w:t>
      </w:r>
      <w:r w:rsidR="00D70577">
        <w:t xml:space="preserve">ollow-up in </w:t>
      </w:r>
      <w:r w:rsidR="00775947">
        <w:t>the COT for suspected COAG</w:t>
      </w:r>
      <w:r>
        <w:t xml:space="preserve"> or (c) r</w:t>
      </w:r>
      <w:r w:rsidR="00D70577">
        <w:t>e</w:t>
      </w:r>
      <w:r w:rsidR="00775947">
        <w:t>fer</w:t>
      </w:r>
      <w:r>
        <w:t xml:space="preserve">ral to the </w:t>
      </w:r>
      <w:r w:rsidR="00775947">
        <w:t>HES</w:t>
      </w:r>
      <w:r w:rsidR="00AE3561">
        <w:t xml:space="preserve"> for </w:t>
      </w:r>
      <w:r w:rsidR="00775947">
        <w:t>COAG</w:t>
      </w:r>
      <w:r w:rsidR="00AE3561">
        <w:t xml:space="preserve"> diagnosis</w:t>
      </w:r>
      <w:r w:rsidR="004A1250">
        <w:t>.</w:t>
      </w:r>
      <w:r w:rsidR="001F6FB7" w:rsidRPr="001F6FB7">
        <w:rPr>
          <w:sz w:val="20"/>
        </w:rPr>
        <w:t xml:space="preserve"> </w:t>
      </w:r>
    </w:p>
    <w:p w:rsidR="00634749" w:rsidRDefault="00003D09" w:rsidP="00015205">
      <w:r>
        <w:lastRenderedPageBreak/>
        <w:t xml:space="preserve">Table 3 </w:t>
      </w:r>
      <w:r w:rsidR="000C7CB6">
        <w:t>shows</w:t>
      </w:r>
      <w:r w:rsidR="00DC7E9F">
        <w:t xml:space="preserve"> the equations used for BL</w:t>
      </w:r>
      <w:r>
        <w:t>S</w:t>
      </w:r>
      <w:r w:rsidRPr="001D3E24">
        <w:rPr>
          <w:vertAlign w:val="subscript"/>
        </w:rPr>
        <w:t>MLR</w:t>
      </w:r>
      <w:r w:rsidR="00127813">
        <w:t>.</w:t>
      </w:r>
      <w:r w:rsidR="004C760C" w:rsidRPr="004C760C">
        <w:rPr>
          <w:vertAlign w:val="superscript"/>
        </w:rPr>
        <w:t>5</w:t>
      </w:r>
      <w:r>
        <w:t xml:space="preserve"> Decision matrices we</w:t>
      </w:r>
      <w:r w:rsidR="00C04952">
        <w:t>re constructed for the 41</w:t>
      </w:r>
      <w:r>
        <w:t xml:space="preserve"> multilevel gro</w:t>
      </w:r>
      <w:r w:rsidR="00AE7E40">
        <w:t>up</w:t>
      </w:r>
      <w:r w:rsidR="00C04952">
        <w:t>s</w:t>
      </w:r>
      <w:r w:rsidR="00AE7E40">
        <w:t xml:space="preserve"> shown in Table 2 and </w:t>
      </w:r>
      <w:r w:rsidR="00C04952">
        <w:t>the</w:t>
      </w:r>
      <w:r w:rsidR="00320B3F">
        <w:t xml:space="preserve"> three </w:t>
      </w:r>
      <w:r w:rsidR="00AE7E40">
        <w:t>COT management decision</w:t>
      </w:r>
      <w:r w:rsidR="00320B3F">
        <w:t>s</w:t>
      </w:r>
      <w:r w:rsidR="00CA7F5A">
        <w:t xml:space="preserve"> (d</w:t>
      </w:r>
      <w:r w:rsidR="00AE7E40">
        <w:t>is</w:t>
      </w:r>
      <w:r w:rsidR="00CA7F5A">
        <w:t>charge, follow-up</w:t>
      </w:r>
      <w:r w:rsidR="00AE7E40">
        <w:t xml:space="preserve"> or</w:t>
      </w:r>
      <w:r w:rsidR="00CA7F5A">
        <w:t xml:space="preserve"> r</w:t>
      </w:r>
      <w:r>
        <w:t>efer)</w:t>
      </w:r>
      <w:r w:rsidR="00C04952">
        <w:t xml:space="preserve">; </w:t>
      </w:r>
      <w:r w:rsidR="00BB158A">
        <w:t xml:space="preserve">(41 x 3 =) </w:t>
      </w:r>
      <w:r w:rsidR="00C04952">
        <w:t>123</w:t>
      </w:r>
      <w:r w:rsidR="00CD5EFB">
        <w:t xml:space="preserve"> </w:t>
      </w:r>
      <w:r w:rsidR="00C04952">
        <w:t>decision matrices</w:t>
      </w:r>
      <w:r w:rsidR="00127813">
        <w:t xml:space="preserve"> in total</w:t>
      </w:r>
      <w:r w:rsidR="00C04952">
        <w:t xml:space="preserve">. </w:t>
      </w:r>
      <w:r w:rsidR="009F45AB">
        <w:t xml:space="preserve">Each decision matrix </w:t>
      </w:r>
      <w:r w:rsidR="00127813">
        <w:t>contained frequencies of true and false positives and negatives.</w:t>
      </w:r>
      <w:r w:rsidR="00A542ED">
        <w:t xml:space="preserve"> This gave rise to 41 sets of likelihood ratios for positive (TEST +) and negative (TEST -) test outcomes.</w:t>
      </w:r>
      <w:r w:rsidR="004B7683">
        <w:t xml:space="preserve"> </w:t>
      </w:r>
      <w:r w:rsidR="00A542ED">
        <w:t xml:space="preserve">Calculation of the probability of </w:t>
      </w:r>
      <w:r w:rsidR="00CD5EFB">
        <w:t>any</w:t>
      </w:r>
      <w:r w:rsidR="00A542ED">
        <w:t xml:space="preserve"> of the three COT management decisions then involved determining the product of </w:t>
      </w:r>
      <w:r w:rsidR="00CD5EFB">
        <w:t xml:space="preserve">all </w:t>
      </w:r>
      <w:r w:rsidR="00A542ED">
        <w:t xml:space="preserve">41 </w:t>
      </w:r>
      <w:r w:rsidR="00CD5EFB">
        <w:t xml:space="preserve">positive or negative </w:t>
      </w:r>
      <w:r w:rsidR="00A542ED">
        <w:t>likelihood ratios</w:t>
      </w:r>
      <w:r w:rsidR="00CD5EFB">
        <w:t>, depending on each test outcome. The final step was to select the COT management decision with the highest probability.</w:t>
      </w:r>
    </w:p>
    <w:p w:rsidR="00966CB6" w:rsidRDefault="00966CB6" w:rsidP="00DC7E9F">
      <w:r w:rsidRPr="00080A1A">
        <w:rPr>
          <w:b/>
        </w:rPr>
        <w:t>Table 3</w:t>
      </w:r>
      <w:r w:rsidR="009E7A79">
        <w:t xml:space="preserve"> Equations for Bayes’</w:t>
      </w:r>
      <w:r>
        <w:t xml:space="preserve"> based on decision matrices containing the frequency of true positives (TP), false positives (FP), true negatives (TN) and false negatives (FN) for every multilevel group (shown in table 2) and COT management decision.    </w:t>
      </w:r>
    </w:p>
    <w:tbl>
      <w:tblPr>
        <w:tblStyle w:val="TableGrid"/>
        <w:tblW w:w="0" w:type="auto"/>
        <w:jc w:val="center"/>
        <w:tblLook w:val="04A0" w:firstRow="1" w:lastRow="0" w:firstColumn="1" w:lastColumn="0" w:noHBand="0" w:noVBand="1"/>
      </w:tblPr>
      <w:tblGrid>
        <w:gridCol w:w="1625"/>
        <w:gridCol w:w="2514"/>
        <w:gridCol w:w="2427"/>
      </w:tblGrid>
      <w:tr w:rsidR="00966CB6" w:rsidTr="00966CB6">
        <w:trPr>
          <w:jc w:val="center"/>
        </w:trPr>
        <w:tc>
          <w:tcPr>
            <w:tcW w:w="0" w:type="auto"/>
          </w:tcPr>
          <w:p w:rsidR="00966CB6" w:rsidRDefault="00966CB6" w:rsidP="00D37FB5"/>
        </w:tc>
        <w:tc>
          <w:tcPr>
            <w:tcW w:w="0" w:type="auto"/>
          </w:tcPr>
          <w:p w:rsidR="00966CB6" w:rsidRDefault="00966CB6" w:rsidP="00D37FB5">
            <w:pPr>
              <w:jc w:val="center"/>
            </w:pPr>
            <w:r>
              <w:t>DECISION +</w:t>
            </w:r>
          </w:p>
        </w:tc>
        <w:tc>
          <w:tcPr>
            <w:tcW w:w="0" w:type="auto"/>
          </w:tcPr>
          <w:p w:rsidR="00966CB6" w:rsidRDefault="00966CB6" w:rsidP="00D37FB5">
            <w:pPr>
              <w:jc w:val="center"/>
            </w:pPr>
            <w:r>
              <w:t>DECISION -</w:t>
            </w:r>
          </w:p>
        </w:tc>
      </w:tr>
      <w:tr w:rsidR="00966CB6" w:rsidTr="00966CB6">
        <w:trPr>
          <w:jc w:val="center"/>
        </w:trPr>
        <w:tc>
          <w:tcPr>
            <w:tcW w:w="0" w:type="auto"/>
          </w:tcPr>
          <w:p w:rsidR="00966CB6" w:rsidRDefault="00966CB6" w:rsidP="00D37FB5">
            <w:pPr>
              <w:jc w:val="center"/>
            </w:pPr>
            <w:r>
              <w:t>TEST +</w:t>
            </w:r>
          </w:p>
        </w:tc>
        <w:tc>
          <w:tcPr>
            <w:tcW w:w="0" w:type="auto"/>
          </w:tcPr>
          <w:p w:rsidR="00966CB6" w:rsidRDefault="00966CB6" w:rsidP="00D37FB5">
            <w:pPr>
              <w:jc w:val="center"/>
            </w:pPr>
            <w:r>
              <w:t>TP</w:t>
            </w:r>
          </w:p>
        </w:tc>
        <w:tc>
          <w:tcPr>
            <w:tcW w:w="0" w:type="auto"/>
          </w:tcPr>
          <w:p w:rsidR="00966CB6" w:rsidRDefault="00966CB6" w:rsidP="00D37FB5">
            <w:pPr>
              <w:jc w:val="center"/>
            </w:pPr>
            <w:r>
              <w:t>FP</w:t>
            </w:r>
          </w:p>
        </w:tc>
      </w:tr>
      <w:tr w:rsidR="00966CB6" w:rsidTr="00966CB6">
        <w:trPr>
          <w:jc w:val="center"/>
        </w:trPr>
        <w:tc>
          <w:tcPr>
            <w:tcW w:w="0" w:type="auto"/>
          </w:tcPr>
          <w:p w:rsidR="00966CB6" w:rsidRDefault="00966CB6" w:rsidP="00D37FB5">
            <w:pPr>
              <w:jc w:val="center"/>
            </w:pPr>
            <w:r>
              <w:t>TEST -</w:t>
            </w:r>
          </w:p>
        </w:tc>
        <w:tc>
          <w:tcPr>
            <w:tcW w:w="0" w:type="auto"/>
          </w:tcPr>
          <w:p w:rsidR="00966CB6" w:rsidRDefault="00966CB6" w:rsidP="00D37FB5">
            <w:pPr>
              <w:jc w:val="center"/>
            </w:pPr>
            <w:r>
              <w:t>FN</w:t>
            </w:r>
          </w:p>
        </w:tc>
        <w:tc>
          <w:tcPr>
            <w:tcW w:w="0" w:type="auto"/>
          </w:tcPr>
          <w:p w:rsidR="00966CB6" w:rsidRDefault="00966CB6" w:rsidP="00D37FB5">
            <w:pPr>
              <w:jc w:val="center"/>
            </w:pPr>
            <w:r>
              <w:t>TN</w:t>
            </w:r>
          </w:p>
        </w:tc>
      </w:tr>
      <w:tr w:rsidR="00966CB6" w:rsidTr="00966CB6">
        <w:trPr>
          <w:jc w:val="center"/>
        </w:trPr>
        <w:tc>
          <w:tcPr>
            <w:tcW w:w="0" w:type="auto"/>
            <w:gridSpan w:val="3"/>
          </w:tcPr>
          <w:p w:rsidR="00966CB6" w:rsidRDefault="00966CB6" w:rsidP="00D37FB5">
            <w:pPr>
              <w:jc w:val="center"/>
            </w:pPr>
            <w:r w:rsidRPr="00A85283">
              <w:t>prevalence = (TP + FN) / (TP + FN + TN + FN)</w:t>
            </w:r>
          </w:p>
        </w:tc>
      </w:tr>
      <w:tr w:rsidR="00966CB6" w:rsidTr="00966CB6">
        <w:trPr>
          <w:jc w:val="center"/>
        </w:trPr>
        <w:tc>
          <w:tcPr>
            <w:tcW w:w="0" w:type="auto"/>
            <w:gridSpan w:val="3"/>
          </w:tcPr>
          <w:p w:rsidR="00966CB6" w:rsidRDefault="00966CB6" w:rsidP="00D37FB5">
            <w:pPr>
              <w:jc w:val="center"/>
            </w:pPr>
            <w:r w:rsidRPr="00A85283">
              <w:t>pre-test odds = prevalence / (1 – prevalence)</w:t>
            </w:r>
          </w:p>
        </w:tc>
      </w:tr>
      <w:tr w:rsidR="00966CB6" w:rsidTr="00966CB6">
        <w:trPr>
          <w:jc w:val="center"/>
        </w:trPr>
        <w:tc>
          <w:tcPr>
            <w:tcW w:w="0" w:type="auto"/>
            <w:gridSpan w:val="3"/>
          </w:tcPr>
          <w:p w:rsidR="00966CB6" w:rsidRDefault="00966CB6" w:rsidP="00D37FB5">
            <w:pPr>
              <w:jc w:val="center"/>
            </w:pPr>
            <w:r w:rsidRPr="00A85283">
              <w:t>sensitivity = TP / (TP + FN)</w:t>
            </w:r>
          </w:p>
        </w:tc>
      </w:tr>
      <w:tr w:rsidR="00966CB6" w:rsidTr="00966CB6">
        <w:trPr>
          <w:jc w:val="center"/>
        </w:trPr>
        <w:tc>
          <w:tcPr>
            <w:tcW w:w="0" w:type="auto"/>
            <w:gridSpan w:val="3"/>
          </w:tcPr>
          <w:p w:rsidR="00966CB6" w:rsidRDefault="00966CB6" w:rsidP="00D37FB5">
            <w:pPr>
              <w:jc w:val="center"/>
            </w:pPr>
            <w:r w:rsidRPr="00A85283">
              <w:t>specificity = TN / (TN + FP)</w:t>
            </w:r>
          </w:p>
        </w:tc>
      </w:tr>
      <w:tr w:rsidR="00966CB6" w:rsidTr="00966CB6">
        <w:trPr>
          <w:jc w:val="center"/>
        </w:trPr>
        <w:tc>
          <w:tcPr>
            <w:tcW w:w="0" w:type="auto"/>
            <w:gridSpan w:val="3"/>
          </w:tcPr>
          <w:p w:rsidR="00966CB6" w:rsidRDefault="00966CB6" w:rsidP="00D37FB5">
            <w:pPr>
              <w:jc w:val="center"/>
            </w:pPr>
            <w:r w:rsidRPr="003A13C1">
              <w:t>likelihood ratio (for TEST +) = sensitivity / (1 – specificity)</w:t>
            </w:r>
          </w:p>
        </w:tc>
      </w:tr>
      <w:tr w:rsidR="00966CB6" w:rsidTr="00966CB6">
        <w:trPr>
          <w:jc w:val="center"/>
        </w:trPr>
        <w:tc>
          <w:tcPr>
            <w:tcW w:w="0" w:type="auto"/>
            <w:gridSpan w:val="3"/>
          </w:tcPr>
          <w:p w:rsidR="00966CB6" w:rsidRDefault="00966CB6" w:rsidP="00D37FB5">
            <w:pPr>
              <w:jc w:val="center"/>
            </w:pPr>
            <w:r w:rsidRPr="00140B61">
              <w:t>likelihood ratio (for TEST -) = (1 – sensitivity) / specificity</w:t>
            </w:r>
          </w:p>
        </w:tc>
      </w:tr>
      <w:tr w:rsidR="00966CB6" w:rsidTr="00966CB6">
        <w:trPr>
          <w:jc w:val="center"/>
        </w:trPr>
        <w:tc>
          <w:tcPr>
            <w:tcW w:w="0" w:type="auto"/>
            <w:gridSpan w:val="3"/>
          </w:tcPr>
          <w:p w:rsidR="00966CB6" w:rsidRDefault="00966CB6" w:rsidP="00D37FB5">
            <w:pPr>
              <w:jc w:val="center"/>
            </w:pPr>
            <w:r w:rsidRPr="00F649AB">
              <w:t>post-test odds = pre-test odds x product of likelihood ratios for all tests</w:t>
            </w:r>
          </w:p>
        </w:tc>
      </w:tr>
      <w:tr w:rsidR="00966CB6" w:rsidTr="00966CB6">
        <w:trPr>
          <w:jc w:val="center"/>
        </w:trPr>
        <w:tc>
          <w:tcPr>
            <w:tcW w:w="0" w:type="auto"/>
            <w:gridSpan w:val="3"/>
          </w:tcPr>
          <w:p w:rsidR="00966CB6" w:rsidRDefault="00966CB6" w:rsidP="00D37FB5">
            <w:pPr>
              <w:jc w:val="center"/>
            </w:pPr>
            <w:r w:rsidRPr="004A2D20">
              <w:t>post-test probability = post-test odds / (1 + post-test odds)</w:t>
            </w:r>
          </w:p>
        </w:tc>
      </w:tr>
    </w:tbl>
    <w:p w:rsidR="00FC5B3F" w:rsidRDefault="00966CB6" w:rsidP="00FC5B3F">
      <w:pPr>
        <w:jc w:val="center"/>
      </w:pPr>
      <w:r>
        <w:t xml:space="preserve"> </w:t>
      </w:r>
    </w:p>
    <w:p w:rsidR="003E74B4" w:rsidRDefault="00634749" w:rsidP="00DC7E9F">
      <w:r>
        <w:t>A well-known problem with decision matrices is the occurrence of</w:t>
      </w:r>
      <w:r w:rsidRPr="00634749">
        <w:t xml:space="preserve"> zero </w:t>
      </w:r>
      <w:r>
        <w:t xml:space="preserve">frequency </w:t>
      </w:r>
      <w:r w:rsidRPr="00634749">
        <w:t>counts</w:t>
      </w:r>
      <w:r>
        <w:t xml:space="preserve"> which gi</w:t>
      </w:r>
      <w:r w:rsidRPr="00634749">
        <w:t>ve rise to likelihood ratios of zero.</w:t>
      </w:r>
      <w:r w:rsidR="004C760C" w:rsidRPr="004C760C">
        <w:rPr>
          <w:vertAlign w:val="superscript"/>
        </w:rPr>
        <w:t>14</w:t>
      </w:r>
      <w:r w:rsidRPr="00634749">
        <w:t xml:space="preserve"> </w:t>
      </w:r>
      <w:r>
        <w:t xml:space="preserve">It follows that the product of a number of likelihood ratios, including one </w:t>
      </w:r>
      <w:r w:rsidR="00756A76">
        <w:t>of zero value</w:t>
      </w:r>
      <w:r>
        <w:t xml:space="preserve">, </w:t>
      </w:r>
      <w:r w:rsidRPr="00634749">
        <w:t>would also be zero</w:t>
      </w:r>
      <w:r>
        <w:t>.</w:t>
      </w:r>
      <w:r w:rsidR="00C1533B">
        <w:t xml:space="preserve"> This would absolutely rule</w:t>
      </w:r>
      <w:r w:rsidR="00C1533B" w:rsidRPr="00634749">
        <w:t xml:space="preserve"> out a </w:t>
      </w:r>
      <w:r w:rsidR="00C1533B">
        <w:t>COT management decision</w:t>
      </w:r>
      <w:r w:rsidR="00C1533B" w:rsidRPr="00634749">
        <w:t xml:space="preserve"> when, in reality, no statistical mode</w:t>
      </w:r>
      <w:r w:rsidR="00C1533B">
        <w:t>l is perfect enough to do this.</w:t>
      </w:r>
      <w:r>
        <w:t xml:space="preserve"> </w:t>
      </w:r>
      <w:r w:rsidRPr="00634749">
        <w:t>The solution is</w:t>
      </w:r>
      <w:r w:rsidR="00516CCB">
        <w:t xml:space="preserve"> usually</w:t>
      </w:r>
      <w:r w:rsidRPr="00634749">
        <w:t xml:space="preserve"> to ma</w:t>
      </w:r>
      <w:r w:rsidR="00516CCB">
        <w:t xml:space="preserve">ke a Laplacian correction by </w:t>
      </w:r>
      <w:r w:rsidRPr="00634749">
        <w:t>adding 1 t</w:t>
      </w:r>
      <w:r w:rsidR="00516CCB">
        <w:t>o the counts in each cell of a diagnostic matrix</w:t>
      </w:r>
      <w:r w:rsidR="00C1533B">
        <w:t xml:space="preserve"> </w:t>
      </w:r>
      <w:r w:rsidR="004C760C" w:rsidRPr="004C760C">
        <w:rPr>
          <w:vertAlign w:val="superscript"/>
        </w:rPr>
        <w:t>14</w:t>
      </w:r>
      <w:r w:rsidRPr="00634749">
        <w:t xml:space="preserve"> </w:t>
      </w:r>
      <w:r w:rsidR="00C1533B">
        <w:t xml:space="preserve">but this also leads to </w:t>
      </w:r>
      <w:r w:rsidR="00C1533B" w:rsidRPr="00634749">
        <w:t>sm</w:t>
      </w:r>
      <w:r w:rsidR="00756A76">
        <w:t>all artificial alterations to</w:t>
      </w:r>
      <w:r w:rsidR="00C1533B">
        <w:t xml:space="preserve"> calculated likelihood ratios. </w:t>
      </w:r>
      <w:r>
        <w:t>A</w:t>
      </w:r>
      <w:r w:rsidRPr="00634749">
        <w:t xml:space="preserve"> L</w:t>
      </w:r>
      <w:r>
        <w:t xml:space="preserve">aplacian correction of 0.001 was used in the present study </w:t>
      </w:r>
      <w:r w:rsidRPr="00634749">
        <w:t xml:space="preserve">to </w:t>
      </w:r>
      <w:r w:rsidR="00C1533B">
        <w:t xml:space="preserve">ensure that </w:t>
      </w:r>
      <w:r w:rsidR="00756A76">
        <w:t xml:space="preserve">such alterations </w:t>
      </w:r>
      <w:r w:rsidR="00C1533B">
        <w:t>were minimised</w:t>
      </w:r>
      <w:r>
        <w:t>.</w:t>
      </w:r>
    </w:p>
    <w:p w:rsidR="006576E9" w:rsidRDefault="00F706AF" w:rsidP="00A01D73">
      <w:r>
        <w:t xml:space="preserve">Decisions made by </w:t>
      </w:r>
      <w:r w:rsidR="009E7A79">
        <w:t>Bayes’</w:t>
      </w:r>
      <w:r w:rsidR="005F2058">
        <w:t xml:space="preserve"> were compared to those of</w:t>
      </w:r>
      <w:r>
        <w:t xml:space="preserve"> the </w:t>
      </w:r>
      <w:r w:rsidR="009E7A79">
        <w:t>specialist</w:t>
      </w:r>
      <w:r w:rsidR="00A52257">
        <w:t xml:space="preserve"> optometrists.</w:t>
      </w:r>
      <w:r w:rsidR="009C1C30">
        <w:t xml:space="preserve"> </w:t>
      </w:r>
      <w:r>
        <w:t>The simplest way to evaluate</w:t>
      </w:r>
      <w:r w:rsidR="009E7A79">
        <w:t xml:space="preserve"> Bayes’</w:t>
      </w:r>
      <w:r w:rsidR="009C1C30">
        <w:t xml:space="preserve"> could have been to calculate likelihood ratios based on all 1006 cases (the training phase</w:t>
      </w:r>
      <w:r>
        <w:t>) and then to test how well these</w:t>
      </w:r>
      <w:r w:rsidR="009C1C30">
        <w:t xml:space="preserve"> </w:t>
      </w:r>
      <w:r w:rsidR="009E7A79">
        <w:t>predicted</w:t>
      </w:r>
      <w:r w:rsidR="009C1C30">
        <w:t xml:space="preserve"> optometrists’ decisions on the same 1006 cases (th</w:t>
      </w:r>
      <w:r w:rsidR="009A4B4C">
        <w:t xml:space="preserve">e testing phase). The </w:t>
      </w:r>
      <w:r w:rsidR="009C1C30">
        <w:t>problem with this</w:t>
      </w:r>
      <w:r w:rsidR="009A4B4C">
        <w:t xml:space="preserve"> approach </w:t>
      </w:r>
      <w:r>
        <w:t xml:space="preserve">was </w:t>
      </w:r>
      <w:r w:rsidR="009A4B4C">
        <w:t>that</w:t>
      </w:r>
      <w:r w:rsidR="009C1C30">
        <w:t xml:space="preserve"> training and testing </w:t>
      </w:r>
      <w:r>
        <w:t>would then have been</w:t>
      </w:r>
      <w:r w:rsidR="009C1C30">
        <w:t xml:space="preserve"> carried out on the </w:t>
      </w:r>
      <w:r w:rsidR="009A4B4C">
        <w:t>same cases, leading to a very</w:t>
      </w:r>
      <w:r>
        <w:t xml:space="preserve"> optimistic assessment of </w:t>
      </w:r>
      <w:r w:rsidR="009C1C30">
        <w:t xml:space="preserve">accuracy. </w:t>
      </w:r>
      <w:r w:rsidR="00B44A47">
        <w:t>R</w:t>
      </w:r>
      <w:r w:rsidR="00157C0D">
        <w:t>andomised stratified tenfold cross-validation</w:t>
      </w:r>
      <w:r w:rsidR="00B44A47">
        <w:t xml:space="preserve"> was used instead</w:t>
      </w:r>
      <w:r w:rsidR="00157C0D">
        <w:t>.</w:t>
      </w:r>
      <w:r w:rsidR="004C760C" w:rsidRPr="004C760C">
        <w:rPr>
          <w:vertAlign w:val="superscript"/>
        </w:rPr>
        <w:t>14</w:t>
      </w:r>
      <w:r w:rsidR="001C5B4C">
        <w:t xml:space="preserve"> </w:t>
      </w:r>
      <w:r w:rsidR="00157C0D">
        <w:t>Here, the dataset of 1006 cases was divided into 10 folds</w:t>
      </w:r>
      <w:r w:rsidR="00B44A47">
        <w:t xml:space="preserve"> of about 100 cases</w:t>
      </w:r>
      <w:r w:rsidR="009A4B4C">
        <w:t xml:space="preserve"> each. The cases</w:t>
      </w:r>
      <w:r w:rsidR="00157C0D">
        <w:t xml:space="preserve"> in each fold were selected randomly and stratific</w:t>
      </w:r>
      <w:r w:rsidR="009A4B4C">
        <w:t>ation ensured that each COT</w:t>
      </w:r>
      <w:r w:rsidR="00157C0D">
        <w:t xml:space="preserve"> decision was equally represented. Each </w:t>
      </w:r>
      <w:r w:rsidR="00157C0D">
        <w:lastRenderedPageBreak/>
        <w:t>fold</w:t>
      </w:r>
      <w:r w:rsidR="009A4B4C">
        <w:t>,</w:t>
      </w:r>
      <w:r w:rsidR="00157C0D">
        <w:t xml:space="preserve"> in tu</w:t>
      </w:r>
      <w:r w:rsidR="00B44A47">
        <w:t>rn</w:t>
      </w:r>
      <w:r w:rsidR="009A4B4C">
        <w:t>,</w:t>
      </w:r>
      <w:r w:rsidR="00B44A47">
        <w:t xml:space="preserve"> was used in the testing phase</w:t>
      </w:r>
      <w:r w:rsidR="00227AEB">
        <w:t xml:space="preserve"> with all other folds used in the</w:t>
      </w:r>
      <w:r w:rsidR="00157C0D">
        <w:t xml:space="preserve"> training</w:t>
      </w:r>
      <w:r w:rsidR="00227AEB">
        <w:t xml:space="preserve"> phase</w:t>
      </w:r>
      <w:r w:rsidR="00157C0D">
        <w:t xml:space="preserve">. Treating the data in this way </w:t>
      </w:r>
      <w:r w:rsidR="006576E9">
        <w:t>delivered</w:t>
      </w:r>
      <w:r w:rsidR="00157C0D">
        <w:t xml:space="preserve"> the m</w:t>
      </w:r>
      <w:r w:rsidR="00E45720">
        <w:t xml:space="preserve">ost realistic </w:t>
      </w:r>
      <w:r w:rsidR="009A4B4C">
        <w:t xml:space="preserve">estimate of </w:t>
      </w:r>
      <w:r w:rsidR="00157C0D">
        <w:t>accuracy</w:t>
      </w:r>
      <w:r w:rsidR="00A01D73">
        <w:t>.</w:t>
      </w:r>
      <w:r w:rsidR="004C760C" w:rsidRPr="004C760C">
        <w:rPr>
          <w:vertAlign w:val="superscript"/>
        </w:rPr>
        <w:t>14</w:t>
      </w:r>
    </w:p>
    <w:p w:rsidR="003E74B4" w:rsidRPr="005118BD" w:rsidRDefault="006576E9" w:rsidP="007429F6">
      <w:r>
        <w:t>Results were initially expressed in the form of ten separate confusion matrices</w:t>
      </w:r>
      <w:r w:rsidR="004C760C">
        <w:t xml:space="preserve">, </w:t>
      </w:r>
      <w:r w:rsidR="004C760C" w:rsidRPr="004C760C">
        <w:rPr>
          <w:vertAlign w:val="superscript"/>
        </w:rPr>
        <w:t>14</w:t>
      </w:r>
      <w:r w:rsidR="00C770B0">
        <w:t xml:space="preserve"> one for </w:t>
      </w:r>
      <w:r w:rsidR="00550F7E">
        <w:t xml:space="preserve">each </w:t>
      </w:r>
      <w:r>
        <w:t xml:space="preserve">cross-validation </w:t>
      </w:r>
      <w:r w:rsidR="00C770B0">
        <w:t>run</w:t>
      </w:r>
      <w:r>
        <w:t>. These matrices</w:t>
      </w:r>
      <w:r w:rsidR="00770228">
        <w:t xml:space="preserve"> simplified</w:t>
      </w:r>
      <w:r>
        <w:t xml:space="preserve"> </w:t>
      </w:r>
      <w:r w:rsidR="00B17DB0">
        <w:t xml:space="preserve">side-by-side </w:t>
      </w:r>
      <w:r>
        <w:t>comparison</w:t>
      </w:r>
      <w:r w:rsidR="00B17DB0">
        <w:t>s</w:t>
      </w:r>
      <w:r>
        <w:t xml:space="preserve"> of</w:t>
      </w:r>
      <w:r w:rsidR="009E7A79">
        <w:t xml:space="preserve"> the Bayes’ and specialist</w:t>
      </w:r>
      <w:r w:rsidR="00B17DB0">
        <w:t xml:space="preserve"> optometrists’ </w:t>
      </w:r>
      <w:r>
        <w:t>decisions</w:t>
      </w:r>
      <w:r w:rsidR="00B17DB0">
        <w:t xml:space="preserve"> to discharge, follow-up or refer.</w:t>
      </w:r>
      <w:r>
        <w:t xml:space="preserve">  Accuracy was expressed as the </w:t>
      </w:r>
      <w:r w:rsidR="009E7A79">
        <w:t>percentage of cases for which Bayes’ matched decisions made by specialist</w:t>
      </w:r>
      <w:r>
        <w:t xml:space="preserve"> optometrists.  </w:t>
      </w:r>
      <w:r w:rsidR="009A4B4C">
        <w:t>A weighted accuracy was calculated for each</w:t>
      </w:r>
      <w:r w:rsidR="005259AD">
        <w:t xml:space="preserve"> confusion matrix</w:t>
      </w:r>
      <w:r>
        <w:t>, being</w:t>
      </w:r>
      <w:r w:rsidR="009A4B4C">
        <w:t xml:space="preserve"> a single quantity that </w:t>
      </w:r>
      <w:r w:rsidR="00B62429">
        <w:t xml:space="preserve">simultaneously </w:t>
      </w:r>
      <w:r>
        <w:t>expressed</w:t>
      </w:r>
      <w:r w:rsidR="009A4B4C">
        <w:t xml:space="preserve"> the accuracy for all three COT </w:t>
      </w:r>
      <w:r w:rsidR="00D96A74">
        <w:t>decisions</w:t>
      </w:r>
      <w:r w:rsidR="009A4B4C">
        <w:t>.</w:t>
      </w:r>
      <w:r w:rsidR="004C760C" w:rsidRPr="004C760C">
        <w:rPr>
          <w:vertAlign w:val="superscript"/>
        </w:rPr>
        <w:t>14</w:t>
      </w:r>
      <w:r w:rsidR="00B17DB0">
        <w:t xml:space="preserve"> Confusion matrices also simplified calculation of </w:t>
      </w:r>
      <w:r w:rsidR="005E160D">
        <w:t xml:space="preserve">percentage </w:t>
      </w:r>
      <w:r w:rsidR="00B17DB0">
        <w:t>false discharge and false referral rates that</w:t>
      </w:r>
      <w:r w:rsidR="00661675">
        <w:t xml:space="preserve"> </w:t>
      </w:r>
      <w:r w:rsidR="00B62429">
        <w:t>would have arisen</w:t>
      </w:r>
      <w:r w:rsidR="00661675">
        <w:t xml:space="preserve">, theoretically, </w:t>
      </w:r>
      <w:r w:rsidR="009E7A79">
        <w:t>had Bayes’</w:t>
      </w:r>
      <w:r w:rsidR="00B17DB0">
        <w:t xml:space="preserve"> decisions replaced tho</w:t>
      </w:r>
      <w:r w:rsidR="009E7A79">
        <w:t>se of the specialist</w:t>
      </w:r>
      <w:r w:rsidR="00B17DB0">
        <w:t xml:space="preserve"> optometrists. </w:t>
      </w:r>
      <w:r w:rsidR="004832D7">
        <w:t>A</w:t>
      </w:r>
      <w:r w:rsidR="009A4B4C">
        <w:t>verage</w:t>
      </w:r>
      <w:r>
        <w:t>s</w:t>
      </w:r>
      <w:r w:rsidR="009A4B4C">
        <w:t xml:space="preserve"> and standard deviation</w:t>
      </w:r>
      <w:r w:rsidR="005E160D">
        <w:t>s were calculated</w:t>
      </w:r>
      <w:r>
        <w:t xml:space="preserve"> from </w:t>
      </w:r>
      <w:r w:rsidR="001359FE">
        <w:t>the ten confusion matrices</w:t>
      </w:r>
      <w:r>
        <w:t xml:space="preserve"> for </w:t>
      </w:r>
      <w:r w:rsidR="004832D7">
        <w:t>weighted accuracy</w:t>
      </w:r>
      <w:r w:rsidR="00B17DB0">
        <w:t>, false discharge and false referral rates.</w:t>
      </w:r>
      <w:r w:rsidR="00E563BA">
        <w:t xml:space="preserve"> These</w:t>
      </w:r>
      <w:r w:rsidR="00990C37">
        <w:t xml:space="preserve"> average values</w:t>
      </w:r>
      <w:r w:rsidR="00E563BA">
        <w:t xml:space="preserve"> are shown</w:t>
      </w:r>
      <w:r w:rsidR="005E7298">
        <w:t>, for brevity,</w:t>
      </w:r>
      <w:r w:rsidR="00E563BA">
        <w:t xml:space="preserve"> in a </w:t>
      </w:r>
      <w:r w:rsidR="00990C37">
        <w:t xml:space="preserve">single </w:t>
      </w:r>
      <w:r w:rsidR="00082BD1">
        <w:t>confusion matrix (Table 4</w:t>
      </w:r>
      <w:r w:rsidR="007429F6">
        <w:t>).</w:t>
      </w:r>
    </w:p>
    <w:p w:rsidR="00DC7E9F" w:rsidRDefault="00DC7E9F" w:rsidP="00022B60">
      <w:pPr>
        <w:rPr>
          <w:b/>
        </w:rPr>
      </w:pPr>
    </w:p>
    <w:p w:rsidR="00DC7E9F" w:rsidRDefault="00DC7E9F" w:rsidP="00022B60">
      <w:pPr>
        <w:rPr>
          <w:b/>
        </w:rPr>
      </w:pPr>
    </w:p>
    <w:p w:rsidR="009E7A79" w:rsidRDefault="009E7A79" w:rsidP="00022B60">
      <w:pPr>
        <w:rPr>
          <w:b/>
        </w:rPr>
      </w:pPr>
    </w:p>
    <w:p w:rsidR="009E7A79" w:rsidRDefault="009E7A79" w:rsidP="00022B60">
      <w:pPr>
        <w:rPr>
          <w:b/>
        </w:rPr>
      </w:pPr>
    </w:p>
    <w:p w:rsidR="009E7A79" w:rsidRDefault="009E7A79" w:rsidP="00022B60">
      <w:pPr>
        <w:rPr>
          <w:b/>
        </w:rPr>
      </w:pPr>
    </w:p>
    <w:p w:rsidR="003E74B4" w:rsidRDefault="00931CBE" w:rsidP="00022B60">
      <w:pPr>
        <w:rPr>
          <w:b/>
        </w:rPr>
      </w:pPr>
      <w:r>
        <w:rPr>
          <w:b/>
        </w:rPr>
        <w:t>Results</w:t>
      </w:r>
    </w:p>
    <w:p w:rsidR="003B7593" w:rsidRDefault="003B7593" w:rsidP="00022B60">
      <w:r w:rsidRPr="003B7593">
        <w:t>Table 4</w:t>
      </w:r>
      <w:r>
        <w:t xml:space="preserve"> summarises the findings of this study</w:t>
      </w:r>
      <w:r w:rsidR="00393528">
        <w:t xml:space="preserve">. </w:t>
      </w:r>
      <w:r w:rsidR="00873496">
        <w:t>Summing</w:t>
      </w:r>
      <w:r w:rsidR="00393528">
        <w:t xml:space="preserve"> the percentages shown in </w:t>
      </w:r>
      <w:r w:rsidR="00E913E0">
        <w:t>rows</w:t>
      </w:r>
      <w:r w:rsidR="00393528">
        <w:t xml:space="preserve"> gives the tota</w:t>
      </w:r>
      <w:r w:rsidR="000277EB">
        <w:t xml:space="preserve">l </w:t>
      </w:r>
      <w:r w:rsidR="00E913E0">
        <w:t>percentage</w:t>
      </w:r>
      <w:r w:rsidR="000277EB">
        <w:t xml:space="preserve"> of </w:t>
      </w:r>
      <w:r w:rsidR="00E913E0">
        <w:t>each man</w:t>
      </w:r>
      <w:r w:rsidR="00A66EA4">
        <w:t>agement decision made by the specialist</w:t>
      </w:r>
      <w:r w:rsidR="00E913E0">
        <w:t xml:space="preserve"> optometrists</w:t>
      </w:r>
      <w:r w:rsidR="00873496">
        <w:t>. Summing</w:t>
      </w:r>
      <w:r w:rsidR="00E913E0">
        <w:t xml:space="preserve"> the percentages</w:t>
      </w:r>
      <w:r w:rsidR="00873496">
        <w:t xml:space="preserve"> </w:t>
      </w:r>
      <w:r w:rsidR="00E913E0">
        <w:t>shown i</w:t>
      </w:r>
      <w:r w:rsidR="00A66EA4">
        <w:t>n columns gives the same for Bayes’</w:t>
      </w:r>
      <w:r w:rsidR="00E913E0">
        <w:t xml:space="preserve">. </w:t>
      </w:r>
    </w:p>
    <w:p w:rsidR="00565852" w:rsidRDefault="00565852" w:rsidP="00565852">
      <w:r>
        <w:rPr>
          <w:b/>
        </w:rPr>
        <w:t xml:space="preserve">Table 4 </w:t>
      </w:r>
      <w:r w:rsidRPr="0027636F">
        <w:t>Confusion matrix</w:t>
      </w:r>
      <w:r w:rsidR="00A66EA4">
        <w:t xml:space="preserve"> comparing Bayes’</w:t>
      </w:r>
      <w:r>
        <w:t xml:space="preserve"> manageme</w:t>
      </w:r>
      <w:r w:rsidR="00A66EA4">
        <w:t>nt decisions to those of the specialist</w:t>
      </w:r>
      <w:r>
        <w:t xml:space="preserve"> optometrists. Percentages shown were averaged from ten cross-validation runs. Standard deviations are shown in brackets. The bold figures shown diagonally are those in whi</w:t>
      </w:r>
      <w:r w:rsidR="00AE3561">
        <w:t>ch</w:t>
      </w:r>
      <w:r w:rsidR="00A66EA4">
        <w:t xml:space="preserve"> agreement occurred. Use of Bayes’</w:t>
      </w:r>
      <w:r>
        <w:t xml:space="preserve"> would have led to some false discharges (grey italics figures) and false referrals (black italics figures). Management decisions included discharge, follow-up in COT for suspected COAG (FUP) or referral to t</w:t>
      </w:r>
      <w:r w:rsidR="00AE3561">
        <w:t>he HES to confirm COAG (Refer).</w:t>
      </w:r>
    </w:p>
    <w:tbl>
      <w:tblPr>
        <w:tblStyle w:val="TableGrid"/>
        <w:tblW w:w="0" w:type="auto"/>
        <w:jc w:val="center"/>
        <w:tblLook w:val="04A0" w:firstRow="1" w:lastRow="0" w:firstColumn="1" w:lastColumn="0" w:noHBand="0" w:noVBand="1"/>
      </w:tblPr>
      <w:tblGrid>
        <w:gridCol w:w="1370"/>
        <w:gridCol w:w="1092"/>
        <w:gridCol w:w="1092"/>
        <w:gridCol w:w="967"/>
        <w:gridCol w:w="1078"/>
      </w:tblGrid>
      <w:tr w:rsidR="00565852" w:rsidTr="00565852">
        <w:trPr>
          <w:jc w:val="center"/>
        </w:trPr>
        <w:tc>
          <w:tcPr>
            <w:tcW w:w="0" w:type="auto"/>
            <w:gridSpan w:val="2"/>
            <w:vMerge w:val="restart"/>
          </w:tcPr>
          <w:p w:rsidR="00565852" w:rsidRPr="00CC0602" w:rsidRDefault="00565852" w:rsidP="00D37FB5">
            <w:pPr>
              <w:jc w:val="center"/>
            </w:pPr>
          </w:p>
        </w:tc>
        <w:tc>
          <w:tcPr>
            <w:tcW w:w="0" w:type="auto"/>
            <w:gridSpan w:val="3"/>
          </w:tcPr>
          <w:p w:rsidR="00565852" w:rsidRPr="00CC0602" w:rsidRDefault="00A66EA4" w:rsidP="00D37FB5">
            <w:pPr>
              <w:jc w:val="center"/>
            </w:pPr>
            <w:r>
              <w:t>Bayes’</w:t>
            </w:r>
          </w:p>
        </w:tc>
      </w:tr>
      <w:tr w:rsidR="00565852" w:rsidTr="00565852">
        <w:trPr>
          <w:jc w:val="center"/>
        </w:trPr>
        <w:tc>
          <w:tcPr>
            <w:tcW w:w="0" w:type="auto"/>
            <w:gridSpan w:val="2"/>
            <w:vMerge/>
          </w:tcPr>
          <w:p w:rsidR="00565852" w:rsidRPr="00CC0602" w:rsidRDefault="00565852" w:rsidP="00D37FB5">
            <w:pPr>
              <w:jc w:val="center"/>
            </w:pPr>
          </w:p>
        </w:tc>
        <w:tc>
          <w:tcPr>
            <w:tcW w:w="0" w:type="auto"/>
          </w:tcPr>
          <w:p w:rsidR="00565852" w:rsidRPr="00CC0602" w:rsidRDefault="00565852" w:rsidP="00D37FB5">
            <w:pPr>
              <w:jc w:val="center"/>
            </w:pPr>
            <w:r w:rsidRPr="00CC0602">
              <w:t>Discharge</w:t>
            </w:r>
          </w:p>
        </w:tc>
        <w:tc>
          <w:tcPr>
            <w:tcW w:w="0" w:type="auto"/>
          </w:tcPr>
          <w:p w:rsidR="00565852" w:rsidRPr="00CC0602" w:rsidRDefault="00565852" w:rsidP="00D37FB5">
            <w:pPr>
              <w:jc w:val="center"/>
            </w:pPr>
            <w:r w:rsidRPr="00CC0602">
              <w:t>FUP</w:t>
            </w:r>
          </w:p>
        </w:tc>
        <w:tc>
          <w:tcPr>
            <w:tcW w:w="0" w:type="auto"/>
          </w:tcPr>
          <w:p w:rsidR="00565852" w:rsidRPr="00CC0602" w:rsidRDefault="00565852" w:rsidP="00D37FB5">
            <w:pPr>
              <w:jc w:val="center"/>
            </w:pPr>
            <w:r w:rsidRPr="00CC0602">
              <w:t>Refer</w:t>
            </w:r>
          </w:p>
        </w:tc>
      </w:tr>
      <w:tr w:rsidR="00565852" w:rsidTr="00565852">
        <w:trPr>
          <w:jc w:val="center"/>
        </w:trPr>
        <w:tc>
          <w:tcPr>
            <w:tcW w:w="0" w:type="auto"/>
            <w:vMerge w:val="restart"/>
            <w:vAlign w:val="center"/>
          </w:tcPr>
          <w:p w:rsidR="00565852" w:rsidRDefault="00A66EA4" w:rsidP="00D37FB5">
            <w:pPr>
              <w:jc w:val="center"/>
            </w:pPr>
            <w:r>
              <w:t>specialist</w:t>
            </w:r>
            <w:r w:rsidR="00565852">
              <w:t xml:space="preserve"> </w:t>
            </w:r>
          </w:p>
          <w:p w:rsidR="00565852" w:rsidRPr="00CC0602" w:rsidRDefault="00565852" w:rsidP="00D37FB5">
            <w:pPr>
              <w:jc w:val="center"/>
            </w:pPr>
            <w:r>
              <w:t>optometrists</w:t>
            </w:r>
          </w:p>
        </w:tc>
        <w:tc>
          <w:tcPr>
            <w:tcW w:w="0" w:type="auto"/>
          </w:tcPr>
          <w:p w:rsidR="00565852" w:rsidRPr="00CC0602" w:rsidRDefault="00565852" w:rsidP="00D37FB5">
            <w:pPr>
              <w:jc w:val="center"/>
            </w:pPr>
            <w:r w:rsidRPr="00CC0602">
              <w:t>Discharge</w:t>
            </w:r>
          </w:p>
        </w:tc>
        <w:tc>
          <w:tcPr>
            <w:tcW w:w="0" w:type="auto"/>
          </w:tcPr>
          <w:p w:rsidR="00565852" w:rsidRPr="00210E42" w:rsidRDefault="00565852" w:rsidP="00D37FB5">
            <w:pPr>
              <w:jc w:val="center"/>
              <w:rPr>
                <w:b/>
              </w:rPr>
            </w:pPr>
            <w:r w:rsidRPr="00210E42">
              <w:rPr>
                <w:b/>
              </w:rPr>
              <w:t>78.3 (0.8)</w:t>
            </w:r>
          </w:p>
        </w:tc>
        <w:tc>
          <w:tcPr>
            <w:tcW w:w="0" w:type="auto"/>
          </w:tcPr>
          <w:p w:rsidR="00565852" w:rsidRPr="00CC0602" w:rsidRDefault="00565852" w:rsidP="00D37FB5">
            <w:pPr>
              <w:jc w:val="center"/>
            </w:pPr>
            <w:r>
              <w:t>0.2 (0.4)</w:t>
            </w:r>
          </w:p>
        </w:tc>
        <w:tc>
          <w:tcPr>
            <w:tcW w:w="0" w:type="auto"/>
          </w:tcPr>
          <w:p w:rsidR="00565852" w:rsidRPr="002132E3" w:rsidRDefault="00565852" w:rsidP="00D37FB5">
            <w:pPr>
              <w:jc w:val="center"/>
              <w:rPr>
                <w:i/>
              </w:rPr>
            </w:pPr>
            <w:r w:rsidRPr="002132E3">
              <w:rPr>
                <w:i/>
              </w:rPr>
              <w:t>0.8 (0.4)</w:t>
            </w:r>
          </w:p>
        </w:tc>
      </w:tr>
      <w:tr w:rsidR="00565852" w:rsidTr="00565852">
        <w:trPr>
          <w:jc w:val="center"/>
        </w:trPr>
        <w:tc>
          <w:tcPr>
            <w:tcW w:w="0" w:type="auto"/>
            <w:vMerge/>
          </w:tcPr>
          <w:p w:rsidR="00565852" w:rsidRPr="00CC0602" w:rsidRDefault="00565852" w:rsidP="00D37FB5">
            <w:pPr>
              <w:jc w:val="center"/>
            </w:pPr>
          </w:p>
        </w:tc>
        <w:tc>
          <w:tcPr>
            <w:tcW w:w="0" w:type="auto"/>
          </w:tcPr>
          <w:p w:rsidR="00565852" w:rsidRPr="00CC0602" w:rsidRDefault="00565852" w:rsidP="00D37FB5">
            <w:pPr>
              <w:jc w:val="center"/>
            </w:pPr>
            <w:r w:rsidRPr="00CC0602">
              <w:t>FUP</w:t>
            </w:r>
          </w:p>
        </w:tc>
        <w:tc>
          <w:tcPr>
            <w:tcW w:w="0" w:type="auto"/>
          </w:tcPr>
          <w:p w:rsidR="00565852" w:rsidRPr="002132E3" w:rsidRDefault="00565852" w:rsidP="00D37FB5">
            <w:pPr>
              <w:jc w:val="center"/>
              <w:rPr>
                <w:i/>
                <w:color w:val="808080" w:themeColor="background1" w:themeShade="80"/>
              </w:rPr>
            </w:pPr>
            <w:r w:rsidRPr="002132E3">
              <w:rPr>
                <w:i/>
                <w:color w:val="808080" w:themeColor="background1" w:themeShade="80"/>
              </w:rPr>
              <w:t>3.0 (1.6)</w:t>
            </w:r>
          </w:p>
        </w:tc>
        <w:tc>
          <w:tcPr>
            <w:tcW w:w="0" w:type="auto"/>
          </w:tcPr>
          <w:p w:rsidR="00565852" w:rsidRPr="00210E42" w:rsidRDefault="00565852" w:rsidP="00D37FB5">
            <w:pPr>
              <w:jc w:val="center"/>
              <w:rPr>
                <w:b/>
              </w:rPr>
            </w:pPr>
            <w:r w:rsidRPr="00210E42">
              <w:rPr>
                <w:b/>
              </w:rPr>
              <w:t>1.7 (1.3)</w:t>
            </w:r>
          </w:p>
        </w:tc>
        <w:tc>
          <w:tcPr>
            <w:tcW w:w="0" w:type="auto"/>
          </w:tcPr>
          <w:p w:rsidR="00565852" w:rsidRPr="002132E3" w:rsidRDefault="00565852" w:rsidP="00D37FB5">
            <w:pPr>
              <w:jc w:val="center"/>
              <w:rPr>
                <w:i/>
              </w:rPr>
            </w:pPr>
            <w:r w:rsidRPr="002132E3">
              <w:rPr>
                <w:i/>
              </w:rPr>
              <w:t>2.3 (1.5)</w:t>
            </w:r>
          </w:p>
        </w:tc>
      </w:tr>
      <w:tr w:rsidR="00565852" w:rsidTr="00565852">
        <w:trPr>
          <w:jc w:val="center"/>
        </w:trPr>
        <w:tc>
          <w:tcPr>
            <w:tcW w:w="0" w:type="auto"/>
            <w:vMerge/>
          </w:tcPr>
          <w:p w:rsidR="00565852" w:rsidRPr="00CC0602" w:rsidRDefault="00565852" w:rsidP="00D37FB5">
            <w:pPr>
              <w:jc w:val="center"/>
            </w:pPr>
          </w:p>
        </w:tc>
        <w:tc>
          <w:tcPr>
            <w:tcW w:w="0" w:type="auto"/>
          </w:tcPr>
          <w:p w:rsidR="00565852" w:rsidRPr="00CC0602" w:rsidRDefault="00565852" w:rsidP="00D37FB5">
            <w:pPr>
              <w:jc w:val="center"/>
            </w:pPr>
            <w:r w:rsidRPr="00CC0602">
              <w:t>Refer</w:t>
            </w:r>
          </w:p>
        </w:tc>
        <w:tc>
          <w:tcPr>
            <w:tcW w:w="0" w:type="auto"/>
          </w:tcPr>
          <w:p w:rsidR="00565852" w:rsidRPr="002132E3" w:rsidRDefault="00565852" w:rsidP="00D37FB5">
            <w:pPr>
              <w:jc w:val="center"/>
              <w:rPr>
                <w:i/>
                <w:color w:val="808080" w:themeColor="background1" w:themeShade="80"/>
              </w:rPr>
            </w:pPr>
            <w:r w:rsidRPr="002132E3">
              <w:rPr>
                <w:i/>
                <w:color w:val="808080" w:themeColor="background1" w:themeShade="80"/>
              </w:rPr>
              <w:t>0.4 (0.5)</w:t>
            </w:r>
          </w:p>
        </w:tc>
        <w:tc>
          <w:tcPr>
            <w:tcW w:w="0" w:type="auto"/>
          </w:tcPr>
          <w:p w:rsidR="00565852" w:rsidRPr="00CC0602" w:rsidRDefault="00565852" w:rsidP="00D37FB5">
            <w:pPr>
              <w:jc w:val="center"/>
            </w:pPr>
            <w:r>
              <w:t>1.1 (0.9)</w:t>
            </w:r>
          </w:p>
        </w:tc>
        <w:tc>
          <w:tcPr>
            <w:tcW w:w="0" w:type="auto"/>
          </w:tcPr>
          <w:p w:rsidR="00565852" w:rsidRPr="00210E42" w:rsidRDefault="00565852" w:rsidP="00D37FB5">
            <w:pPr>
              <w:jc w:val="center"/>
              <w:rPr>
                <w:b/>
              </w:rPr>
            </w:pPr>
            <w:r w:rsidRPr="00210E42">
              <w:rPr>
                <w:b/>
              </w:rPr>
              <w:t>12.2 (1.2)</w:t>
            </w:r>
          </w:p>
        </w:tc>
      </w:tr>
    </w:tbl>
    <w:p w:rsidR="00AE3561" w:rsidRDefault="00AE3561" w:rsidP="00B51AE1"/>
    <w:p w:rsidR="007D3D43" w:rsidRDefault="00E4328B" w:rsidP="00B51AE1">
      <w:r>
        <w:t>The</w:t>
      </w:r>
      <w:r w:rsidR="00A66EA4">
        <w:t xml:space="preserve"> average weighted accuracy of Bayes’</w:t>
      </w:r>
      <w:r>
        <w:t xml:space="preserve"> was 95.4% (standard deviation 1.6%). Note that this does not equal the</w:t>
      </w:r>
      <w:r w:rsidR="00565852">
        <w:t xml:space="preserve"> sum of the percentages shown in bold in</w:t>
      </w:r>
      <w:r w:rsidR="00A53A19">
        <w:t xml:space="preserve"> Table</w:t>
      </w:r>
      <w:r w:rsidR="00307686">
        <w:t xml:space="preserve"> 4 which</w:t>
      </w:r>
      <w:r>
        <w:t xml:space="preserve">, </w:t>
      </w:r>
      <w:r>
        <w:lastRenderedPageBreak/>
        <w:t xml:space="preserve">instead, </w:t>
      </w:r>
      <w:r w:rsidR="00307686">
        <w:t xml:space="preserve">show that </w:t>
      </w:r>
      <w:r w:rsidR="00A66EA4">
        <w:t>the management decisions of Bayes’ matched the specialist</w:t>
      </w:r>
      <w:r>
        <w:t xml:space="preserve"> optometrists 92.2</w:t>
      </w:r>
      <w:r w:rsidR="00307686">
        <w:t>% of the time.</w:t>
      </w:r>
      <w:r w:rsidR="007D3D43">
        <w:t xml:space="preserve"> Replacing the deci</w:t>
      </w:r>
      <w:r w:rsidR="00A66EA4">
        <w:t>sions of specialist optometrists with Bayes’</w:t>
      </w:r>
      <w:r w:rsidR="007D3D43">
        <w:t xml:space="preserve"> would have resulted in </w:t>
      </w:r>
      <w:r w:rsidR="00FC406D">
        <w:t>an average false discharge rate</w:t>
      </w:r>
      <w:r w:rsidR="00565852">
        <w:t xml:space="preserve"> (see grey italics figures in</w:t>
      </w:r>
      <w:r w:rsidR="00A53A19">
        <w:t xml:space="preserve"> Table</w:t>
      </w:r>
      <w:r w:rsidR="007D3D43">
        <w:t xml:space="preserve"> 4) of 3.4% (standard deviation 1.6%) and a</w:t>
      </w:r>
      <w:r w:rsidR="00FC406D">
        <w:t>n average false referral rate</w:t>
      </w:r>
      <w:r w:rsidR="00565852">
        <w:t xml:space="preserve"> (see black italics figures</w:t>
      </w:r>
      <w:r w:rsidR="00A53A19">
        <w:t xml:space="preserve"> in Table</w:t>
      </w:r>
      <w:r w:rsidR="007D3D43">
        <w:t xml:space="preserve"> 4) of 3.1% (standard deviation 1.5%).</w:t>
      </w:r>
    </w:p>
    <w:p w:rsidR="00E73A48" w:rsidRPr="00E73A48" w:rsidRDefault="007D45EA" w:rsidP="00B51AE1">
      <w:pPr>
        <w:rPr>
          <w:b/>
        </w:rPr>
      </w:pPr>
      <w:r>
        <w:rPr>
          <w:b/>
        </w:rPr>
        <w:t>Discussion</w:t>
      </w:r>
    </w:p>
    <w:p w:rsidR="00FA7851" w:rsidRDefault="001F439F" w:rsidP="00B51AE1">
      <w:r>
        <w:t xml:space="preserve">As far as we are aware, this is the first study </w:t>
      </w:r>
      <w:r w:rsidR="004E6A8E">
        <w:t>to</w:t>
      </w:r>
      <w:r>
        <w:t xml:space="preserve"> have</w:t>
      </w:r>
      <w:r w:rsidR="004030EF">
        <w:t xml:space="preserve"> reported</w:t>
      </w:r>
      <w:r w:rsidR="004E6A8E">
        <w:t xml:space="preserve"> the </w:t>
      </w:r>
      <w:r w:rsidR="00A66EA4">
        <w:t>accuracy of a</w:t>
      </w:r>
      <w:r>
        <w:t xml:space="preserve"> Bayesian learning system </w:t>
      </w:r>
      <w:r w:rsidR="00A66EA4">
        <w:t xml:space="preserve">applied to the </w:t>
      </w:r>
      <w:r w:rsidR="007D45EA">
        <w:t>predict</w:t>
      </w:r>
      <w:r w:rsidR="00A66EA4">
        <w:t>ion of</w:t>
      </w:r>
      <w:r w:rsidR="007D45EA">
        <w:t xml:space="preserve"> clinical decisions,</w:t>
      </w:r>
      <w:r w:rsidR="007D45EA" w:rsidRPr="00A8442C">
        <w:t xml:space="preserve"> </w:t>
      </w:r>
      <w:r w:rsidR="007D45EA">
        <w:t xml:space="preserve">relating to referral refinement </w:t>
      </w:r>
      <w:r w:rsidR="00A66EA4">
        <w:t>of COAG</w:t>
      </w:r>
      <w:r w:rsidR="007D45EA">
        <w:t>, made by specialist optometrists</w:t>
      </w:r>
      <w:r w:rsidR="004E6A8E">
        <w:t>.</w:t>
      </w:r>
    </w:p>
    <w:p w:rsidR="00FF57D2" w:rsidRPr="004030EF" w:rsidRDefault="00A66EA4" w:rsidP="00FF57D2">
      <w:r>
        <w:t>While the accuracy of Bayes’</w:t>
      </w:r>
      <w:r w:rsidR="00AB26F1">
        <w:t xml:space="preserve"> was</w:t>
      </w:r>
      <w:r w:rsidR="006F3CBC">
        <w:t xml:space="preserve"> high (95%), its false discharge (3.4%) and referral (3.1%) rates </w:t>
      </w:r>
      <w:r w:rsidR="00DD45C2">
        <w:t xml:space="preserve">indicated that it </w:t>
      </w:r>
      <w:r w:rsidR="00AB26F1">
        <w:t xml:space="preserve">had the potential to augment rather than </w:t>
      </w:r>
      <w:r w:rsidR="00DD45C2">
        <w:t>replace the decisions of specialist</w:t>
      </w:r>
      <w:r w:rsidR="006F3CBC">
        <w:t xml:space="preserve"> optometrists.</w:t>
      </w:r>
      <w:r w:rsidR="00AB26F1">
        <w:t xml:space="preserve"> This</w:t>
      </w:r>
      <w:r w:rsidR="006F3CBC">
        <w:t xml:space="preserve"> is because false discharges risked avoidable vision loss while false referrals risked avoidable NHS burden</w:t>
      </w:r>
      <w:r w:rsidR="005627BB">
        <w:t>.</w:t>
      </w:r>
      <w:r w:rsidR="00EB2135">
        <w:t xml:space="preserve"> We explored different methods of making</w:t>
      </w:r>
      <w:r w:rsidR="00343639" w:rsidRPr="00343639">
        <w:t xml:space="preserve"> </w:t>
      </w:r>
      <w:r w:rsidR="00DD45C2">
        <w:t>Bayes’</w:t>
      </w:r>
      <w:r w:rsidR="00EB2135">
        <w:t xml:space="preserve"> cost </w:t>
      </w:r>
      <w:r w:rsidR="00343639" w:rsidRPr="00343639">
        <w:t>sensitive</w:t>
      </w:r>
      <w:r w:rsidR="00DD45C2">
        <w:t>. As Bayes’</w:t>
      </w:r>
      <w:r w:rsidR="00343639" w:rsidRPr="00343639">
        <w:t xml:space="preserve"> </w:t>
      </w:r>
      <w:r w:rsidR="00EB2135">
        <w:t>works by choosing the management decision tha</w:t>
      </w:r>
      <w:r w:rsidR="007D45EA">
        <w:t>t has the highest probability, t</w:t>
      </w:r>
      <w:r w:rsidR="00EB2135">
        <w:t xml:space="preserve">he simplest method of adding cost sensitivity </w:t>
      </w:r>
      <w:r w:rsidR="000D7B7D" w:rsidRPr="000D7B7D">
        <w:rPr>
          <w:vertAlign w:val="superscript"/>
        </w:rPr>
        <w:t>14</w:t>
      </w:r>
      <w:r w:rsidR="007D45EA">
        <w:t xml:space="preserve"> wa</w:t>
      </w:r>
      <w:r w:rsidR="00EB2135">
        <w:t>s to weight one or more of the management decision probability values in order to move false discharges and referrals to follow-up. Various weightings were trialled and all successfully removed false dischar</w:t>
      </w:r>
      <w:r w:rsidR="00DD45C2">
        <w:t>ges and referr</w:t>
      </w:r>
      <w:r w:rsidR="00EB2135">
        <w:t>als but at the cost of a dramatic increase in follow</w:t>
      </w:r>
      <w:r w:rsidR="00B55F5D">
        <w:t>-ups</w:t>
      </w:r>
      <w:r w:rsidR="00EB2135">
        <w:t>.</w:t>
      </w:r>
    </w:p>
    <w:p w:rsidR="00E4328B" w:rsidRPr="008900AE" w:rsidRDefault="00DD45C2" w:rsidP="00B51AE1">
      <w:r>
        <w:t>There were two limitations to this study. The first of these was its conclusions have been based on application of the simplest form</w:t>
      </w:r>
      <w:r w:rsidR="00F7323D">
        <w:t xml:space="preserve"> </w:t>
      </w:r>
      <w:r w:rsidR="00FF57D2">
        <w:t>Bayes</w:t>
      </w:r>
      <w:r w:rsidR="00F7323D">
        <w:t>’ theorem</w:t>
      </w:r>
      <w:r w:rsidR="00FF57D2">
        <w:t xml:space="preserve">. Although </w:t>
      </w:r>
      <w:r w:rsidR="00F7323D">
        <w:t>this sort of</w:t>
      </w:r>
      <w:r w:rsidR="00FF57D2">
        <w:t xml:space="preserve"> learning scheme may perform just as well as more sophisticated machine lea</w:t>
      </w:r>
      <w:r w:rsidR="004030EF">
        <w:t>r</w:t>
      </w:r>
      <w:r w:rsidR="00FF57D2">
        <w:t>ning methods,</w:t>
      </w:r>
      <w:r w:rsidR="000D7B7D">
        <w:t xml:space="preserve"> </w:t>
      </w:r>
      <w:r w:rsidR="000D7B7D" w:rsidRPr="000D7B7D">
        <w:rPr>
          <w:vertAlign w:val="superscript"/>
        </w:rPr>
        <w:t>14</w:t>
      </w:r>
      <w:r w:rsidR="00FF57D2">
        <w:t xml:space="preserve"> no attempt was been made in this study to confirm this.</w:t>
      </w:r>
      <w:r w:rsidR="00F7323D">
        <w:t xml:space="preserve"> The</w:t>
      </w:r>
      <w:r>
        <w:t xml:space="preserve"> second limitation relates to the use of multilevel groups</w:t>
      </w:r>
      <w:r w:rsidR="00F7323D">
        <w:t xml:space="preserve"> based on NICE guidelines and previous literature. </w:t>
      </w:r>
      <w:r>
        <w:t>No attempt was made to discover whether b</w:t>
      </w:r>
      <w:r w:rsidR="00F00E5F">
        <w:t>etter groupings may have improved</w:t>
      </w:r>
      <w:r w:rsidR="00F7323D">
        <w:t xml:space="preserve"> the accuracy of B</w:t>
      </w:r>
      <w:r>
        <w:t>ayes’</w:t>
      </w:r>
      <w:r w:rsidR="00F7323D">
        <w:t>.</w:t>
      </w:r>
    </w:p>
    <w:p w:rsidR="00F6474A" w:rsidRDefault="00DD45C2" w:rsidP="00B51AE1">
      <w:r>
        <w:t>(1893</w:t>
      </w:r>
      <w:r w:rsidR="007429F6">
        <w:t xml:space="preserve"> words)</w:t>
      </w:r>
    </w:p>
    <w:p w:rsidR="008900AE" w:rsidRDefault="008900AE" w:rsidP="00B51AE1"/>
    <w:p w:rsidR="008900AE" w:rsidRDefault="008900AE" w:rsidP="00B51AE1"/>
    <w:p w:rsidR="004E1830" w:rsidRPr="008900AE" w:rsidRDefault="008900AE" w:rsidP="00B51AE1">
      <w:pPr>
        <w:rPr>
          <w:b/>
        </w:rPr>
      </w:pPr>
      <w:r w:rsidRPr="008900AE">
        <w:rPr>
          <w:b/>
        </w:rPr>
        <w:t>Conflict of Interest</w:t>
      </w:r>
    </w:p>
    <w:p w:rsidR="008900AE" w:rsidRDefault="008900AE" w:rsidP="00B51AE1">
      <w:r>
        <w:t>The authors declare no conflict of interest.</w:t>
      </w:r>
    </w:p>
    <w:p w:rsidR="008900AE" w:rsidRPr="008900AE" w:rsidRDefault="008900AE" w:rsidP="00B51AE1">
      <w:pPr>
        <w:rPr>
          <w:b/>
        </w:rPr>
      </w:pPr>
      <w:r w:rsidRPr="008900AE">
        <w:rPr>
          <w:b/>
        </w:rPr>
        <w:t>Acknowledgements</w:t>
      </w:r>
    </w:p>
    <w:p w:rsidR="008900AE" w:rsidRPr="007429F6" w:rsidRDefault="008900AE" w:rsidP="00B51AE1">
      <w:r>
        <w:t>None.</w:t>
      </w:r>
    </w:p>
    <w:p w:rsidR="004A7B27" w:rsidRDefault="004A7B27" w:rsidP="004A7B27">
      <w:r>
        <w:rPr>
          <w:b/>
        </w:rPr>
        <w:t>References</w:t>
      </w:r>
      <w:r>
        <w:t xml:space="preserve"> </w:t>
      </w:r>
    </w:p>
    <w:p w:rsidR="004A7B27" w:rsidRPr="00F00E5F" w:rsidRDefault="004A7B27" w:rsidP="004A7B27">
      <w:pPr>
        <w:pStyle w:val="ListParagraph"/>
        <w:numPr>
          <w:ilvl w:val="0"/>
          <w:numId w:val="3"/>
        </w:numPr>
      </w:pPr>
      <w:r w:rsidRPr="00F00E5F">
        <w:t>Baker H</w:t>
      </w:r>
      <w:r>
        <w:t>, Ratnarajan G, Harper RA, Edgar DF, Lawrenson JG</w:t>
      </w:r>
      <w:r w:rsidRPr="00F00E5F">
        <w:t xml:space="preserve">. Effectiveness of UK optometric enhanced eye care services: a realist review of the literature. </w:t>
      </w:r>
      <w:r w:rsidRPr="00F00E5F">
        <w:rPr>
          <w:i/>
        </w:rPr>
        <w:t>Ophthalmic</w:t>
      </w:r>
      <w:r>
        <w:rPr>
          <w:i/>
        </w:rPr>
        <w:t xml:space="preserve"> </w:t>
      </w:r>
      <w:r w:rsidRPr="00F00E5F">
        <w:rPr>
          <w:i/>
        </w:rPr>
        <w:t>Physio</w:t>
      </w:r>
      <w:r>
        <w:rPr>
          <w:i/>
        </w:rPr>
        <w:t>l</w:t>
      </w:r>
      <w:r w:rsidRPr="00F00E5F">
        <w:rPr>
          <w:i/>
        </w:rPr>
        <w:t xml:space="preserve"> Opt</w:t>
      </w:r>
      <w:r w:rsidRPr="00F00E5F">
        <w:t xml:space="preserve"> 2016; 36: 545-5</w:t>
      </w:r>
      <w:r>
        <w:t>5</w:t>
      </w:r>
      <w:r w:rsidRPr="00F00E5F">
        <w:t>7.</w:t>
      </w:r>
    </w:p>
    <w:p w:rsidR="004A7B27" w:rsidRPr="00F00E5F" w:rsidRDefault="004A7B27" w:rsidP="004A7B27">
      <w:pPr>
        <w:pStyle w:val="ListParagraph"/>
        <w:numPr>
          <w:ilvl w:val="0"/>
          <w:numId w:val="3"/>
        </w:numPr>
      </w:pPr>
      <w:r w:rsidRPr="00F00E5F">
        <w:lastRenderedPageBreak/>
        <w:t xml:space="preserve">Harper RL, Vernon S, Spry P. Postgraduate specialist glaucoma training and accreditation in optometry. </w:t>
      </w:r>
      <w:r>
        <w:rPr>
          <w:i/>
        </w:rPr>
        <w:t>Optom Pract</w:t>
      </w:r>
      <w:r w:rsidRPr="00F00E5F">
        <w:t xml:space="preserve"> 2013; 14: 125-136.</w:t>
      </w:r>
    </w:p>
    <w:p w:rsidR="004A7B27" w:rsidRPr="00F00E5F" w:rsidRDefault="004A7B27" w:rsidP="004A7B27">
      <w:pPr>
        <w:pStyle w:val="ListParagraph"/>
        <w:numPr>
          <w:ilvl w:val="0"/>
          <w:numId w:val="3"/>
        </w:numPr>
      </w:pPr>
      <w:r w:rsidRPr="00F00E5F">
        <w:t xml:space="preserve">Commissioning Guide: Glaucoma (Long Version) June 2016. </w:t>
      </w:r>
      <w:hyperlink r:id="rId9" w:history="1">
        <w:r w:rsidRPr="00F00E5F">
          <w:rPr>
            <w:rStyle w:val="Hyperlink"/>
          </w:rPr>
          <w:t>https://www.rcophth.ac.uk/wp-content/uploads/2016/06/Glaucoma-Commissioning-Guide-Long-June-2016-Final.pdf</w:t>
        </w:r>
      </w:hyperlink>
      <w:r>
        <w:t>, accessed 22</w:t>
      </w:r>
      <w:r w:rsidRPr="00F00E5F">
        <w:t>/</w:t>
      </w:r>
      <w:r>
        <w:t>6</w:t>
      </w:r>
      <w:r w:rsidRPr="00F00E5F">
        <w:t>/2017.</w:t>
      </w:r>
    </w:p>
    <w:p w:rsidR="004A7B27" w:rsidRPr="00F00E5F" w:rsidRDefault="004A7B27" w:rsidP="004A7B27">
      <w:pPr>
        <w:pStyle w:val="ListParagraph"/>
        <w:numPr>
          <w:ilvl w:val="0"/>
          <w:numId w:val="3"/>
        </w:numPr>
      </w:pPr>
      <w:r w:rsidRPr="00F00E5F">
        <w:t>Thomas R</w:t>
      </w:r>
      <w:r>
        <w:t>, Mengersen K, Parikh RS, Muliyil J</w:t>
      </w:r>
      <w:r w:rsidRPr="00F00E5F">
        <w:t xml:space="preserve">. Enter the reverend: introduction to and application of Bayes' theorem in clinical ophthalmology. </w:t>
      </w:r>
      <w:r>
        <w:rPr>
          <w:i/>
        </w:rPr>
        <w:t>Clin</w:t>
      </w:r>
      <w:r w:rsidRPr="00F00E5F">
        <w:rPr>
          <w:i/>
        </w:rPr>
        <w:t xml:space="preserve"> E</w:t>
      </w:r>
      <w:r>
        <w:rPr>
          <w:i/>
        </w:rPr>
        <w:t>xp</w:t>
      </w:r>
      <w:r w:rsidRPr="00F00E5F">
        <w:rPr>
          <w:i/>
        </w:rPr>
        <w:t xml:space="preserve"> O</w:t>
      </w:r>
      <w:r>
        <w:rPr>
          <w:i/>
        </w:rPr>
        <w:t xml:space="preserve">phthalmol </w:t>
      </w:r>
      <w:r w:rsidRPr="00F00E5F">
        <w:t>2011; 39: 865-70.</w:t>
      </w:r>
    </w:p>
    <w:p w:rsidR="004A7B27" w:rsidRPr="00F00E5F" w:rsidRDefault="004A7B27" w:rsidP="004A7B27">
      <w:pPr>
        <w:pStyle w:val="ListParagraph"/>
        <w:numPr>
          <w:ilvl w:val="0"/>
          <w:numId w:val="3"/>
        </w:numPr>
      </w:pPr>
      <w:r w:rsidRPr="00F00E5F">
        <w:t>Parikh R</w:t>
      </w:r>
      <w:r>
        <w:t>, Parikh S, Arun E, Thomas R.</w:t>
      </w:r>
      <w:r w:rsidRPr="00F00E5F">
        <w:t xml:space="preserve"> Likelihood ratios: clinical application in day-to-day practice. </w:t>
      </w:r>
      <w:r w:rsidRPr="00F00E5F">
        <w:rPr>
          <w:i/>
        </w:rPr>
        <w:t>Indian J Ophthalmol</w:t>
      </w:r>
      <w:r w:rsidRPr="00F00E5F">
        <w:t xml:space="preserve"> 2009; 57: 217-21.</w:t>
      </w:r>
    </w:p>
    <w:p w:rsidR="004A7B27" w:rsidRPr="00F00E5F" w:rsidRDefault="004A7B27" w:rsidP="004A7B27">
      <w:pPr>
        <w:pStyle w:val="ListParagraph"/>
        <w:numPr>
          <w:ilvl w:val="0"/>
          <w:numId w:val="3"/>
        </w:numPr>
      </w:pPr>
      <w:r w:rsidRPr="00F00E5F">
        <w:t>Sackett DL, Haynes RB, Guyatt GH,</w:t>
      </w:r>
      <w:r>
        <w:t xml:space="preserve"> Tugwell P. in </w:t>
      </w:r>
      <w:r w:rsidRPr="0015162F">
        <w:rPr>
          <w:i/>
        </w:rPr>
        <w:t>Clinical Epidemiology: A Basic Science for Clinical Medicine</w:t>
      </w:r>
      <w:r>
        <w:t>. Little, Brown &amp; Co: Boston, USA, 1991.</w:t>
      </w:r>
    </w:p>
    <w:p w:rsidR="004A7B27" w:rsidRPr="00F00E5F" w:rsidRDefault="004A7B27" w:rsidP="004A7B27">
      <w:pPr>
        <w:pStyle w:val="ListParagraph"/>
        <w:numPr>
          <w:ilvl w:val="0"/>
          <w:numId w:val="3"/>
        </w:numPr>
      </w:pPr>
      <w:r w:rsidRPr="00F00E5F">
        <w:t xml:space="preserve">Glaucoma: diagnosis and management. NICE guidelines [CG85]. April 2009. </w:t>
      </w:r>
      <w:hyperlink r:id="rId10" w:history="1">
        <w:r w:rsidRPr="00F00E5F">
          <w:rPr>
            <w:rStyle w:val="Hyperlink"/>
          </w:rPr>
          <w:t>https://www.nice.org.uk/guidance/cg85</w:t>
        </w:r>
      </w:hyperlink>
      <w:r>
        <w:t>, accessed 22/6</w:t>
      </w:r>
      <w:r w:rsidRPr="00F00E5F">
        <w:t>/2017.</w:t>
      </w:r>
    </w:p>
    <w:p w:rsidR="004A7B27" w:rsidRPr="00F00E5F" w:rsidRDefault="004A7B27" w:rsidP="004A7B27">
      <w:pPr>
        <w:pStyle w:val="ListParagraph"/>
        <w:numPr>
          <w:ilvl w:val="0"/>
          <w:numId w:val="3"/>
        </w:numPr>
      </w:pPr>
      <w:r w:rsidRPr="00F00E5F">
        <w:t>Williams AL</w:t>
      </w:r>
      <w:r>
        <w:t xml:space="preserve">, Gatla S, Leiby BE, Fahmy I, Biswas A, de Barros DM, et al. </w:t>
      </w:r>
      <w:r w:rsidRPr="00F00E5F">
        <w:t xml:space="preserve">The value of intraocular pressure asymmetry in diagnosing glaucoma. </w:t>
      </w:r>
      <w:r w:rsidRPr="006E03F0">
        <w:rPr>
          <w:i/>
        </w:rPr>
        <w:t>J Glaucoma</w:t>
      </w:r>
      <w:r w:rsidRPr="00F00E5F">
        <w:t xml:space="preserve"> 2013;</w:t>
      </w:r>
      <w:r>
        <w:t xml:space="preserve"> </w:t>
      </w:r>
      <w:r w:rsidRPr="00F00E5F">
        <w:t>22:</w:t>
      </w:r>
      <w:r>
        <w:t xml:space="preserve"> </w:t>
      </w:r>
      <w:r w:rsidRPr="00F00E5F">
        <w:t>215-8.</w:t>
      </w:r>
    </w:p>
    <w:p w:rsidR="004A7B27" w:rsidRPr="00F00E5F" w:rsidRDefault="004A7B27" w:rsidP="004A7B27">
      <w:pPr>
        <w:pStyle w:val="ListParagraph"/>
        <w:numPr>
          <w:ilvl w:val="0"/>
          <w:numId w:val="3"/>
        </w:numPr>
      </w:pPr>
      <w:r w:rsidRPr="00F00E5F">
        <w:t>Crowston JG</w:t>
      </w:r>
      <w:r>
        <w:t xml:space="preserve">, Hopley CR, Healey PR, Lee A, Mitchell P. </w:t>
      </w:r>
      <w:r w:rsidRPr="00F00E5F">
        <w:t xml:space="preserve">The effect of optic disc diameter on vertical cup to disc ratio percentiles in a population based cohort: the Blue Mountains Eye Study. </w:t>
      </w:r>
      <w:r>
        <w:rPr>
          <w:i/>
        </w:rPr>
        <w:t>Br J Ophthalmol</w:t>
      </w:r>
      <w:r w:rsidRPr="00F00E5F">
        <w:t xml:space="preserve"> 2004; 88: 766-70.</w:t>
      </w:r>
    </w:p>
    <w:p w:rsidR="004A7B27" w:rsidRPr="00F00E5F" w:rsidRDefault="004A7B27" w:rsidP="004A7B27">
      <w:pPr>
        <w:pStyle w:val="ListParagraph"/>
        <w:numPr>
          <w:ilvl w:val="0"/>
          <w:numId w:val="3"/>
        </w:numPr>
      </w:pPr>
      <w:r w:rsidRPr="00F00E5F">
        <w:t>Garway-Heath DF</w:t>
      </w:r>
      <w:r>
        <w:t xml:space="preserve">, Ruben ST, Viswanathan A, Hitchings RA. </w:t>
      </w:r>
      <w:r w:rsidRPr="00F00E5F">
        <w:t xml:space="preserve">Vertical cup/disc ratio in relation to optic disc size: its value in the assessment of the glaucoma suspect. </w:t>
      </w:r>
      <w:r>
        <w:rPr>
          <w:i/>
        </w:rPr>
        <w:t>Br J Ophthalmol</w:t>
      </w:r>
      <w:r w:rsidRPr="00F00E5F">
        <w:t xml:space="preserve"> 1998; 82: 1118-24.</w:t>
      </w:r>
    </w:p>
    <w:p w:rsidR="004A7B27" w:rsidRPr="00F00E5F" w:rsidRDefault="004A7B27" w:rsidP="004A7B27">
      <w:pPr>
        <w:pStyle w:val="ListParagraph"/>
        <w:numPr>
          <w:ilvl w:val="0"/>
          <w:numId w:val="3"/>
        </w:numPr>
      </w:pPr>
      <w:r w:rsidRPr="00F00E5F">
        <w:t xml:space="preserve">Gloster J. Quantitative relationship between cupping of the optic disc and visual field loss in chronic simple glaucoma. </w:t>
      </w:r>
      <w:r>
        <w:rPr>
          <w:i/>
        </w:rPr>
        <w:t>Br J Ophthalmol</w:t>
      </w:r>
      <w:r w:rsidRPr="00F00E5F">
        <w:t xml:space="preserve"> 1978; 62: 665-9.</w:t>
      </w:r>
    </w:p>
    <w:p w:rsidR="004A7B27" w:rsidRPr="00F00E5F" w:rsidRDefault="004A7B27" w:rsidP="004A7B27">
      <w:pPr>
        <w:pStyle w:val="ListParagraph"/>
        <w:numPr>
          <w:ilvl w:val="0"/>
          <w:numId w:val="3"/>
        </w:numPr>
      </w:pPr>
      <w:r w:rsidRPr="00F00E5F">
        <w:t>Ong LS</w:t>
      </w:r>
      <w:r>
        <w:t xml:space="preserve">, Mitchell P, Healey PR, Cumming RG. </w:t>
      </w:r>
      <w:r w:rsidRPr="00F00E5F">
        <w:t xml:space="preserve">Asymmetry in optic disc parameters: The Blue Mountains eye study. </w:t>
      </w:r>
      <w:r>
        <w:rPr>
          <w:i/>
        </w:rPr>
        <w:t>Invest</w:t>
      </w:r>
      <w:r w:rsidRPr="00F00E5F">
        <w:rPr>
          <w:i/>
        </w:rPr>
        <w:t xml:space="preserve"> Ophthalmol</w:t>
      </w:r>
      <w:r>
        <w:rPr>
          <w:i/>
        </w:rPr>
        <w:t xml:space="preserve"> Vis Sci</w:t>
      </w:r>
      <w:r w:rsidRPr="00F00E5F">
        <w:t xml:space="preserve"> 1999; 40: 849-57.</w:t>
      </w:r>
    </w:p>
    <w:p w:rsidR="004A7B27" w:rsidRPr="00F00E5F" w:rsidRDefault="004A7B27" w:rsidP="004A7B27">
      <w:pPr>
        <w:pStyle w:val="ListParagraph"/>
        <w:numPr>
          <w:ilvl w:val="0"/>
          <w:numId w:val="3"/>
        </w:numPr>
      </w:pPr>
      <w:r w:rsidRPr="00F00E5F">
        <w:t xml:space="preserve">Anderson D. </w:t>
      </w:r>
      <w:r w:rsidRPr="0064009E">
        <w:rPr>
          <w:i/>
        </w:rPr>
        <w:t>Automated static perimetry</w:t>
      </w:r>
      <w:r>
        <w:t>. Mosby–Year Book Inc: St Louis, USA,</w:t>
      </w:r>
      <w:r w:rsidRPr="00F00E5F">
        <w:t xml:space="preserve"> 1992.</w:t>
      </w:r>
    </w:p>
    <w:p w:rsidR="00295659" w:rsidRPr="00A511EE" w:rsidRDefault="004A7B27" w:rsidP="004A7B27">
      <w:pPr>
        <w:pStyle w:val="ListParagraph"/>
        <w:numPr>
          <w:ilvl w:val="0"/>
          <w:numId w:val="3"/>
        </w:numPr>
      </w:pPr>
      <w:r w:rsidRPr="00F00E5F">
        <w:t xml:space="preserve">Witten IH, Frank E, Hall MA. Data Mining. </w:t>
      </w:r>
      <w:r w:rsidRPr="0064009E">
        <w:rPr>
          <w:i/>
        </w:rPr>
        <w:t>Practical Machine Learning Tools and Techniques</w:t>
      </w:r>
      <w:r>
        <w:t>, 3rd edn. Elsevier: Oxford, UK,</w:t>
      </w:r>
      <w:r w:rsidRPr="00F00E5F">
        <w:t xml:space="preserve"> 2011.</w:t>
      </w:r>
    </w:p>
    <w:sectPr w:rsidR="00295659" w:rsidRPr="00A511EE">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F23" w:rsidRDefault="000E4F23" w:rsidP="0017444B">
      <w:pPr>
        <w:spacing w:after="0" w:line="240" w:lineRule="auto"/>
      </w:pPr>
      <w:r>
        <w:separator/>
      </w:r>
    </w:p>
  </w:endnote>
  <w:endnote w:type="continuationSeparator" w:id="0">
    <w:p w:rsidR="000E4F23" w:rsidRDefault="000E4F23" w:rsidP="00174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F23" w:rsidRDefault="000E4F23" w:rsidP="0017444B">
      <w:pPr>
        <w:spacing w:after="0" w:line="240" w:lineRule="auto"/>
      </w:pPr>
      <w:r>
        <w:separator/>
      </w:r>
    </w:p>
  </w:footnote>
  <w:footnote w:type="continuationSeparator" w:id="0">
    <w:p w:rsidR="000E4F23" w:rsidRDefault="000E4F23" w:rsidP="001744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sdtContent>
      <w:p w:rsidR="0017444B" w:rsidRDefault="0017444B">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B47B4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47B48">
          <w:rPr>
            <w:b/>
            <w:bCs/>
            <w:noProof/>
          </w:rPr>
          <w:t>1</w:t>
        </w:r>
        <w:r>
          <w:rPr>
            <w:b/>
            <w:bCs/>
            <w:sz w:val="24"/>
            <w:szCs w:val="24"/>
          </w:rPr>
          <w:fldChar w:fldCharType="end"/>
        </w:r>
      </w:p>
    </w:sdtContent>
  </w:sdt>
  <w:p w:rsidR="0017444B" w:rsidRDefault="001744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537FD"/>
    <w:multiLevelType w:val="hybridMultilevel"/>
    <w:tmpl w:val="897003B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4A71B6C"/>
    <w:multiLevelType w:val="hybridMultilevel"/>
    <w:tmpl w:val="F262472E"/>
    <w:lvl w:ilvl="0" w:tplc="0B0E74D2">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B54F56"/>
    <w:multiLevelType w:val="hybridMultilevel"/>
    <w:tmpl w:val="DACC7D4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122B8A"/>
    <w:multiLevelType w:val="hybridMultilevel"/>
    <w:tmpl w:val="158ACA9C"/>
    <w:lvl w:ilvl="0" w:tplc="4B80DAF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3BF"/>
    <w:rsid w:val="00000445"/>
    <w:rsid w:val="0000099D"/>
    <w:rsid w:val="00000F30"/>
    <w:rsid w:val="00001E32"/>
    <w:rsid w:val="00003D09"/>
    <w:rsid w:val="00015205"/>
    <w:rsid w:val="000201AD"/>
    <w:rsid w:val="00022B60"/>
    <w:rsid w:val="000277EB"/>
    <w:rsid w:val="0003231A"/>
    <w:rsid w:val="00043E60"/>
    <w:rsid w:val="0004769A"/>
    <w:rsid w:val="0005094E"/>
    <w:rsid w:val="0005155B"/>
    <w:rsid w:val="00080A1A"/>
    <w:rsid w:val="00082BD1"/>
    <w:rsid w:val="00084F76"/>
    <w:rsid w:val="00091711"/>
    <w:rsid w:val="0009542A"/>
    <w:rsid w:val="000A3E24"/>
    <w:rsid w:val="000C22B0"/>
    <w:rsid w:val="000C60E6"/>
    <w:rsid w:val="000C7CB6"/>
    <w:rsid w:val="000D7B7D"/>
    <w:rsid w:val="000E393C"/>
    <w:rsid w:val="000E4F23"/>
    <w:rsid w:val="000F515F"/>
    <w:rsid w:val="00107440"/>
    <w:rsid w:val="001120ED"/>
    <w:rsid w:val="00112E5B"/>
    <w:rsid w:val="001203C4"/>
    <w:rsid w:val="0012209B"/>
    <w:rsid w:val="0012582E"/>
    <w:rsid w:val="00127813"/>
    <w:rsid w:val="001359FE"/>
    <w:rsid w:val="00140B61"/>
    <w:rsid w:val="0014316A"/>
    <w:rsid w:val="00145083"/>
    <w:rsid w:val="0015162F"/>
    <w:rsid w:val="00151D2B"/>
    <w:rsid w:val="00152FC7"/>
    <w:rsid w:val="00157C0D"/>
    <w:rsid w:val="00167300"/>
    <w:rsid w:val="00171523"/>
    <w:rsid w:val="0017444B"/>
    <w:rsid w:val="00177ACA"/>
    <w:rsid w:val="00177E97"/>
    <w:rsid w:val="00187C13"/>
    <w:rsid w:val="001959E6"/>
    <w:rsid w:val="001A2E05"/>
    <w:rsid w:val="001A7F01"/>
    <w:rsid w:val="001B48BF"/>
    <w:rsid w:val="001C5B4C"/>
    <w:rsid w:val="001D072E"/>
    <w:rsid w:val="001D1F15"/>
    <w:rsid w:val="001D3E24"/>
    <w:rsid w:val="001F0A2A"/>
    <w:rsid w:val="001F3608"/>
    <w:rsid w:val="001F4220"/>
    <w:rsid w:val="001F4371"/>
    <w:rsid w:val="001F439F"/>
    <w:rsid w:val="001F5766"/>
    <w:rsid w:val="001F6FB7"/>
    <w:rsid w:val="00201A25"/>
    <w:rsid w:val="00210E42"/>
    <w:rsid w:val="002132E3"/>
    <w:rsid w:val="00226FB4"/>
    <w:rsid w:val="00227AEB"/>
    <w:rsid w:val="002345C1"/>
    <w:rsid w:val="00242810"/>
    <w:rsid w:val="00243368"/>
    <w:rsid w:val="0024468C"/>
    <w:rsid w:val="00244F42"/>
    <w:rsid w:val="002458F4"/>
    <w:rsid w:val="002570F7"/>
    <w:rsid w:val="00266334"/>
    <w:rsid w:val="00266399"/>
    <w:rsid w:val="00271572"/>
    <w:rsid w:val="0027636F"/>
    <w:rsid w:val="00276843"/>
    <w:rsid w:val="002805BA"/>
    <w:rsid w:val="00283DFE"/>
    <w:rsid w:val="00287531"/>
    <w:rsid w:val="0029466D"/>
    <w:rsid w:val="00295659"/>
    <w:rsid w:val="00296A3F"/>
    <w:rsid w:val="002A1251"/>
    <w:rsid w:val="002A2E24"/>
    <w:rsid w:val="002B0B9D"/>
    <w:rsid w:val="002B645D"/>
    <w:rsid w:val="002C146F"/>
    <w:rsid w:val="002D2C32"/>
    <w:rsid w:val="002E7F54"/>
    <w:rsid w:val="002F30F0"/>
    <w:rsid w:val="002F5936"/>
    <w:rsid w:val="002F7763"/>
    <w:rsid w:val="0030682A"/>
    <w:rsid w:val="00307686"/>
    <w:rsid w:val="00311127"/>
    <w:rsid w:val="00320B3F"/>
    <w:rsid w:val="00323469"/>
    <w:rsid w:val="0032348F"/>
    <w:rsid w:val="0032485E"/>
    <w:rsid w:val="00325BBB"/>
    <w:rsid w:val="00325D55"/>
    <w:rsid w:val="00330273"/>
    <w:rsid w:val="00335EE0"/>
    <w:rsid w:val="00343639"/>
    <w:rsid w:val="0034719E"/>
    <w:rsid w:val="00361FAF"/>
    <w:rsid w:val="003621D1"/>
    <w:rsid w:val="003662DC"/>
    <w:rsid w:val="00366C68"/>
    <w:rsid w:val="003676AA"/>
    <w:rsid w:val="00383D88"/>
    <w:rsid w:val="00393528"/>
    <w:rsid w:val="00397799"/>
    <w:rsid w:val="003A0331"/>
    <w:rsid w:val="003A13C1"/>
    <w:rsid w:val="003B12CD"/>
    <w:rsid w:val="003B7593"/>
    <w:rsid w:val="003C36BB"/>
    <w:rsid w:val="003D536A"/>
    <w:rsid w:val="003E5504"/>
    <w:rsid w:val="003E74B4"/>
    <w:rsid w:val="004014A8"/>
    <w:rsid w:val="004030EF"/>
    <w:rsid w:val="00433AEE"/>
    <w:rsid w:val="00440267"/>
    <w:rsid w:val="00440C28"/>
    <w:rsid w:val="00456580"/>
    <w:rsid w:val="00456897"/>
    <w:rsid w:val="0047331F"/>
    <w:rsid w:val="004832D7"/>
    <w:rsid w:val="004901E5"/>
    <w:rsid w:val="0049576E"/>
    <w:rsid w:val="004A1250"/>
    <w:rsid w:val="004A2D20"/>
    <w:rsid w:val="004A3B53"/>
    <w:rsid w:val="004A7B27"/>
    <w:rsid w:val="004B28A2"/>
    <w:rsid w:val="004B7683"/>
    <w:rsid w:val="004C0F25"/>
    <w:rsid w:val="004C6F81"/>
    <w:rsid w:val="004C760C"/>
    <w:rsid w:val="004E1830"/>
    <w:rsid w:val="004E3EF9"/>
    <w:rsid w:val="004E413D"/>
    <w:rsid w:val="004E5B90"/>
    <w:rsid w:val="004E6384"/>
    <w:rsid w:val="004E6A8E"/>
    <w:rsid w:val="004F1953"/>
    <w:rsid w:val="004F792C"/>
    <w:rsid w:val="005037B9"/>
    <w:rsid w:val="00507968"/>
    <w:rsid w:val="005118BD"/>
    <w:rsid w:val="00516CCB"/>
    <w:rsid w:val="00521D93"/>
    <w:rsid w:val="005259AD"/>
    <w:rsid w:val="00534ABA"/>
    <w:rsid w:val="00542015"/>
    <w:rsid w:val="00544E66"/>
    <w:rsid w:val="00550F7E"/>
    <w:rsid w:val="00555D51"/>
    <w:rsid w:val="005627BB"/>
    <w:rsid w:val="0056433E"/>
    <w:rsid w:val="00565852"/>
    <w:rsid w:val="0057370A"/>
    <w:rsid w:val="005818E8"/>
    <w:rsid w:val="0058493B"/>
    <w:rsid w:val="005A531E"/>
    <w:rsid w:val="005B31D0"/>
    <w:rsid w:val="005B3470"/>
    <w:rsid w:val="005B483B"/>
    <w:rsid w:val="005C7A30"/>
    <w:rsid w:val="005D5736"/>
    <w:rsid w:val="005E160D"/>
    <w:rsid w:val="005E6EF4"/>
    <w:rsid w:val="005E7298"/>
    <w:rsid w:val="005E7CE4"/>
    <w:rsid w:val="005F2058"/>
    <w:rsid w:val="005F5BF4"/>
    <w:rsid w:val="005F71D4"/>
    <w:rsid w:val="005F7E81"/>
    <w:rsid w:val="00600421"/>
    <w:rsid w:val="00621C16"/>
    <w:rsid w:val="0062426B"/>
    <w:rsid w:val="00634749"/>
    <w:rsid w:val="0064009E"/>
    <w:rsid w:val="00643DEE"/>
    <w:rsid w:val="006444F1"/>
    <w:rsid w:val="00656B95"/>
    <w:rsid w:val="006576E9"/>
    <w:rsid w:val="00661675"/>
    <w:rsid w:val="00683304"/>
    <w:rsid w:val="006A1B96"/>
    <w:rsid w:val="006A4A47"/>
    <w:rsid w:val="006B0318"/>
    <w:rsid w:val="006B0C2B"/>
    <w:rsid w:val="006C1BBB"/>
    <w:rsid w:val="006C31A2"/>
    <w:rsid w:val="006C5273"/>
    <w:rsid w:val="006E03F0"/>
    <w:rsid w:val="006E053A"/>
    <w:rsid w:val="006E5688"/>
    <w:rsid w:val="006F3CBC"/>
    <w:rsid w:val="006F6257"/>
    <w:rsid w:val="007004E2"/>
    <w:rsid w:val="007022B3"/>
    <w:rsid w:val="007163F7"/>
    <w:rsid w:val="00727F26"/>
    <w:rsid w:val="00734379"/>
    <w:rsid w:val="007429F6"/>
    <w:rsid w:val="0074436C"/>
    <w:rsid w:val="0075160A"/>
    <w:rsid w:val="00756A76"/>
    <w:rsid w:val="007669C1"/>
    <w:rsid w:val="00770228"/>
    <w:rsid w:val="00775947"/>
    <w:rsid w:val="00780235"/>
    <w:rsid w:val="00786BE7"/>
    <w:rsid w:val="007B794F"/>
    <w:rsid w:val="007C2F9F"/>
    <w:rsid w:val="007D3D43"/>
    <w:rsid w:val="007D45EA"/>
    <w:rsid w:val="007E3993"/>
    <w:rsid w:val="007F7BD7"/>
    <w:rsid w:val="008043D2"/>
    <w:rsid w:val="00804F11"/>
    <w:rsid w:val="008128F6"/>
    <w:rsid w:val="0081346F"/>
    <w:rsid w:val="00822447"/>
    <w:rsid w:val="00852237"/>
    <w:rsid w:val="008524C4"/>
    <w:rsid w:val="0086136F"/>
    <w:rsid w:val="008663E1"/>
    <w:rsid w:val="00873496"/>
    <w:rsid w:val="00880128"/>
    <w:rsid w:val="0088095F"/>
    <w:rsid w:val="00883B13"/>
    <w:rsid w:val="008900AE"/>
    <w:rsid w:val="00893A60"/>
    <w:rsid w:val="0089742C"/>
    <w:rsid w:val="0089777B"/>
    <w:rsid w:val="008A12E6"/>
    <w:rsid w:val="008B09B8"/>
    <w:rsid w:val="008B61B6"/>
    <w:rsid w:val="008C05FC"/>
    <w:rsid w:val="008C2D9A"/>
    <w:rsid w:val="008C3B80"/>
    <w:rsid w:val="008D0DF7"/>
    <w:rsid w:val="008D4FB9"/>
    <w:rsid w:val="008E312E"/>
    <w:rsid w:val="008F3A22"/>
    <w:rsid w:val="00914BF6"/>
    <w:rsid w:val="009168C4"/>
    <w:rsid w:val="00920DDE"/>
    <w:rsid w:val="00921231"/>
    <w:rsid w:val="00931CBE"/>
    <w:rsid w:val="00945DC4"/>
    <w:rsid w:val="0095055C"/>
    <w:rsid w:val="00950DEE"/>
    <w:rsid w:val="00962771"/>
    <w:rsid w:val="0096555D"/>
    <w:rsid w:val="00966CB6"/>
    <w:rsid w:val="00966D82"/>
    <w:rsid w:val="009703AB"/>
    <w:rsid w:val="009705BC"/>
    <w:rsid w:val="009741A4"/>
    <w:rsid w:val="00981E78"/>
    <w:rsid w:val="009830A8"/>
    <w:rsid w:val="00987FDA"/>
    <w:rsid w:val="00990C37"/>
    <w:rsid w:val="00996C11"/>
    <w:rsid w:val="009A029D"/>
    <w:rsid w:val="009A4B4C"/>
    <w:rsid w:val="009B2F55"/>
    <w:rsid w:val="009C1C30"/>
    <w:rsid w:val="009D4556"/>
    <w:rsid w:val="009E3C6D"/>
    <w:rsid w:val="009E7A79"/>
    <w:rsid w:val="009E7F93"/>
    <w:rsid w:val="009F0C1D"/>
    <w:rsid w:val="009F4570"/>
    <w:rsid w:val="009F45AB"/>
    <w:rsid w:val="009F6585"/>
    <w:rsid w:val="009F746E"/>
    <w:rsid w:val="00A01D73"/>
    <w:rsid w:val="00A04A72"/>
    <w:rsid w:val="00A06A98"/>
    <w:rsid w:val="00A12114"/>
    <w:rsid w:val="00A21947"/>
    <w:rsid w:val="00A36202"/>
    <w:rsid w:val="00A45CF1"/>
    <w:rsid w:val="00A503BF"/>
    <w:rsid w:val="00A511EE"/>
    <w:rsid w:val="00A52257"/>
    <w:rsid w:val="00A53A19"/>
    <w:rsid w:val="00A542ED"/>
    <w:rsid w:val="00A54526"/>
    <w:rsid w:val="00A5708E"/>
    <w:rsid w:val="00A62886"/>
    <w:rsid w:val="00A66EA4"/>
    <w:rsid w:val="00A72810"/>
    <w:rsid w:val="00A8442C"/>
    <w:rsid w:val="00A85283"/>
    <w:rsid w:val="00A879FB"/>
    <w:rsid w:val="00A97B01"/>
    <w:rsid w:val="00AA5138"/>
    <w:rsid w:val="00AB106C"/>
    <w:rsid w:val="00AB26F1"/>
    <w:rsid w:val="00AB409F"/>
    <w:rsid w:val="00AC15F5"/>
    <w:rsid w:val="00AC5A42"/>
    <w:rsid w:val="00AD5747"/>
    <w:rsid w:val="00AE3561"/>
    <w:rsid w:val="00AE7E40"/>
    <w:rsid w:val="00AF5744"/>
    <w:rsid w:val="00B04714"/>
    <w:rsid w:val="00B12A41"/>
    <w:rsid w:val="00B16DD6"/>
    <w:rsid w:val="00B17DB0"/>
    <w:rsid w:val="00B21000"/>
    <w:rsid w:val="00B25051"/>
    <w:rsid w:val="00B32133"/>
    <w:rsid w:val="00B34FC7"/>
    <w:rsid w:val="00B372BC"/>
    <w:rsid w:val="00B44A47"/>
    <w:rsid w:val="00B47B48"/>
    <w:rsid w:val="00B51AE1"/>
    <w:rsid w:val="00B55F5D"/>
    <w:rsid w:val="00B62429"/>
    <w:rsid w:val="00B6475C"/>
    <w:rsid w:val="00B672E7"/>
    <w:rsid w:val="00B70013"/>
    <w:rsid w:val="00B72A57"/>
    <w:rsid w:val="00B77322"/>
    <w:rsid w:val="00B97821"/>
    <w:rsid w:val="00BB158A"/>
    <w:rsid w:val="00BB44CD"/>
    <w:rsid w:val="00BB7ECB"/>
    <w:rsid w:val="00BC1B4A"/>
    <w:rsid w:val="00BC2C2F"/>
    <w:rsid w:val="00BD0BF1"/>
    <w:rsid w:val="00BD6A9E"/>
    <w:rsid w:val="00BE51CD"/>
    <w:rsid w:val="00BE7EAD"/>
    <w:rsid w:val="00BF6368"/>
    <w:rsid w:val="00C04952"/>
    <w:rsid w:val="00C11DE5"/>
    <w:rsid w:val="00C120F3"/>
    <w:rsid w:val="00C1533B"/>
    <w:rsid w:val="00C16A74"/>
    <w:rsid w:val="00C31D1F"/>
    <w:rsid w:val="00C35A6F"/>
    <w:rsid w:val="00C4047A"/>
    <w:rsid w:val="00C44847"/>
    <w:rsid w:val="00C71485"/>
    <w:rsid w:val="00C765C5"/>
    <w:rsid w:val="00C770B0"/>
    <w:rsid w:val="00C92E82"/>
    <w:rsid w:val="00C9549B"/>
    <w:rsid w:val="00C96BBC"/>
    <w:rsid w:val="00CA2BEF"/>
    <w:rsid w:val="00CA35C3"/>
    <w:rsid w:val="00CA7F5A"/>
    <w:rsid w:val="00CB09C0"/>
    <w:rsid w:val="00CB6D23"/>
    <w:rsid w:val="00CC0602"/>
    <w:rsid w:val="00CC7FA4"/>
    <w:rsid w:val="00CD3578"/>
    <w:rsid w:val="00CD5EFB"/>
    <w:rsid w:val="00CE6D53"/>
    <w:rsid w:val="00CE7D55"/>
    <w:rsid w:val="00D0378A"/>
    <w:rsid w:val="00D06143"/>
    <w:rsid w:val="00D07F06"/>
    <w:rsid w:val="00D274B4"/>
    <w:rsid w:val="00D33799"/>
    <w:rsid w:val="00D36AC0"/>
    <w:rsid w:val="00D36D8A"/>
    <w:rsid w:val="00D421D8"/>
    <w:rsid w:val="00D42E2A"/>
    <w:rsid w:val="00D506A0"/>
    <w:rsid w:val="00D53BB9"/>
    <w:rsid w:val="00D70577"/>
    <w:rsid w:val="00D71A88"/>
    <w:rsid w:val="00D8385A"/>
    <w:rsid w:val="00D96A74"/>
    <w:rsid w:val="00DA4D3A"/>
    <w:rsid w:val="00DA6E44"/>
    <w:rsid w:val="00DB02AB"/>
    <w:rsid w:val="00DB253C"/>
    <w:rsid w:val="00DB314A"/>
    <w:rsid w:val="00DC10E7"/>
    <w:rsid w:val="00DC2802"/>
    <w:rsid w:val="00DC4711"/>
    <w:rsid w:val="00DC7609"/>
    <w:rsid w:val="00DC7E9F"/>
    <w:rsid w:val="00DD45C2"/>
    <w:rsid w:val="00DD6A8D"/>
    <w:rsid w:val="00DE0D2D"/>
    <w:rsid w:val="00DF2AA9"/>
    <w:rsid w:val="00DF5824"/>
    <w:rsid w:val="00DF5D1D"/>
    <w:rsid w:val="00E10BCB"/>
    <w:rsid w:val="00E13B88"/>
    <w:rsid w:val="00E1742D"/>
    <w:rsid w:val="00E3274D"/>
    <w:rsid w:val="00E37E04"/>
    <w:rsid w:val="00E4328B"/>
    <w:rsid w:val="00E45720"/>
    <w:rsid w:val="00E47685"/>
    <w:rsid w:val="00E51923"/>
    <w:rsid w:val="00E55413"/>
    <w:rsid w:val="00E563BA"/>
    <w:rsid w:val="00E57829"/>
    <w:rsid w:val="00E57A7E"/>
    <w:rsid w:val="00E6712B"/>
    <w:rsid w:val="00E73A48"/>
    <w:rsid w:val="00E747C1"/>
    <w:rsid w:val="00E912B5"/>
    <w:rsid w:val="00E913E0"/>
    <w:rsid w:val="00EA3B1C"/>
    <w:rsid w:val="00EB2135"/>
    <w:rsid w:val="00EB4E15"/>
    <w:rsid w:val="00EB529B"/>
    <w:rsid w:val="00EC3F08"/>
    <w:rsid w:val="00ED6D04"/>
    <w:rsid w:val="00ED6EB4"/>
    <w:rsid w:val="00EE7FCF"/>
    <w:rsid w:val="00EF0479"/>
    <w:rsid w:val="00EF3729"/>
    <w:rsid w:val="00F00E5F"/>
    <w:rsid w:val="00F10819"/>
    <w:rsid w:val="00F134DD"/>
    <w:rsid w:val="00F1490D"/>
    <w:rsid w:val="00F212FC"/>
    <w:rsid w:val="00F2411C"/>
    <w:rsid w:val="00F320F4"/>
    <w:rsid w:val="00F34243"/>
    <w:rsid w:val="00F43381"/>
    <w:rsid w:val="00F44951"/>
    <w:rsid w:val="00F51846"/>
    <w:rsid w:val="00F61EAA"/>
    <w:rsid w:val="00F645A0"/>
    <w:rsid w:val="00F6474A"/>
    <w:rsid w:val="00F649AB"/>
    <w:rsid w:val="00F706AF"/>
    <w:rsid w:val="00F7313D"/>
    <w:rsid w:val="00F7323D"/>
    <w:rsid w:val="00F8232E"/>
    <w:rsid w:val="00F91342"/>
    <w:rsid w:val="00F919C5"/>
    <w:rsid w:val="00F93929"/>
    <w:rsid w:val="00F974BD"/>
    <w:rsid w:val="00FA1BEE"/>
    <w:rsid w:val="00FA3535"/>
    <w:rsid w:val="00FA4FC2"/>
    <w:rsid w:val="00FA52DD"/>
    <w:rsid w:val="00FA68AB"/>
    <w:rsid w:val="00FA6D70"/>
    <w:rsid w:val="00FA7851"/>
    <w:rsid w:val="00FB15BF"/>
    <w:rsid w:val="00FB3CFF"/>
    <w:rsid w:val="00FB4FE9"/>
    <w:rsid w:val="00FB6D79"/>
    <w:rsid w:val="00FC04FE"/>
    <w:rsid w:val="00FC406D"/>
    <w:rsid w:val="00FC5B3F"/>
    <w:rsid w:val="00FE68EA"/>
    <w:rsid w:val="00FF5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FCE54C-079B-4C8F-81F7-A8BCB356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43D2"/>
    <w:rPr>
      <w:color w:val="0563C1" w:themeColor="hyperlink"/>
      <w:u w:val="single"/>
    </w:rPr>
  </w:style>
  <w:style w:type="character" w:styleId="FollowedHyperlink">
    <w:name w:val="FollowedHyperlink"/>
    <w:basedOn w:val="DefaultParagraphFont"/>
    <w:uiPriority w:val="99"/>
    <w:semiHidden/>
    <w:unhideWhenUsed/>
    <w:rsid w:val="00FB15BF"/>
    <w:rPr>
      <w:color w:val="954F72" w:themeColor="followedHyperlink"/>
      <w:u w:val="single"/>
    </w:rPr>
  </w:style>
  <w:style w:type="paragraph" w:styleId="ListParagraph">
    <w:name w:val="List Paragraph"/>
    <w:basedOn w:val="Normal"/>
    <w:uiPriority w:val="34"/>
    <w:qFormat/>
    <w:rsid w:val="00962771"/>
    <w:pPr>
      <w:ind w:left="720"/>
      <w:contextualSpacing/>
    </w:pPr>
  </w:style>
  <w:style w:type="paragraph" w:styleId="Header">
    <w:name w:val="header"/>
    <w:basedOn w:val="Normal"/>
    <w:link w:val="HeaderChar"/>
    <w:uiPriority w:val="99"/>
    <w:unhideWhenUsed/>
    <w:rsid w:val="001744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44B"/>
  </w:style>
  <w:style w:type="paragraph" w:styleId="Footer">
    <w:name w:val="footer"/>
    <w:basedOn w:val="Normal"/>
    <w:link w:val="FooterChar"/>
    <w:uiPriority w:val="99"/>
    <w:unhideWhenUsed/>
    <w:rsid w:val="001744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44B"/>
  </w:style>
  <w:style w:type="table" w:styleId="TableGrid">
    <w:name w:val="Table Grid"/>
    <w:basedOn w:val="TableNormal"/>
    <w:uiPriority w:val="39"/>
    <w:rsid w:val="00EE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05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m.dunne@aston.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ice.org.uk/guidance/cg85" TargetMode="External"/><Relationship Id="rId4" Type="http://schemas.openxmlformats.org/officeDocument/2006/relationships/settings" Target="settings.xml"/><Relationship Id="rId9" Type="http://schemas.openxmlformats.org/officeDocument/2006/relationships/hyperlink" Target="https://www.rcophth.ac.uk/wp-content/uploads/2016/06/Glaucoma-Commissioning-Guide-Long-June-2016-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BC465-5930-4296-94A5-29362103C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2571</Words>
  <Characters>14660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Dunne</dc:creator>
  <cp:keywords/>
  <dc:description/>
  <cp:lastModifiedBy>Stork, Leigh</cp:lastModifiedBy>
  <cp:revision>2</cp:revision>
  <dcterms:created xsi:type="dcterms:W3CDTF">2018-04-17T12:39:00Z</dcterms:created>
  <dcterms:modified xsi:type="dcterms:W3CDTF">2018-04-17T12:39:00Z</dcterms:modified>
</cp:coreProperties>
</file>